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2"/>
      </w:r>
      <w:r>
        <w:t xml:space="preserve"> this, giving</w:t>
      </w:r>
      <w:r>
        <w:rPr>
          <w:rStyle w:val="FootnoteReference"/>
        </w:rPr>
        <w:footnoteReference w:id="17743"/>
      </w:r>
      <w:r>
        <w:t xml:space="preserve"> all diligence, add to your faith virtue</w:t>
      </w:r>
      <w:r>
        <w:rPr>
          <w:rStyle w:val="FootnoteReference"/>
        </w:rPr>
        <w:footnoteReference w:id="17744"/>
      </w:r>
      <w:r>
        <w:t xml:space="preserve">; and to virtue knowledge</w:t>
      </w:r>
      <w:r>
        <w:rPr>
          <w:rStyle w:val="FootnoteReference"/>
        </w:rPr>
        <w:footnoteReference w:id="17745"/>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6"/>
      </w:r>
      <w:r>
        <w:t xml:space="preserve">; and to patience godliness</w:t>
      </w:r>
      <w:r>
        <w:rPr>
          <w:rStyle w:val="FootnoteReference"/>
        </w:rPr>
        <w:footnoteReference w:id="17747"/>
      </w:r>
      <w:r>
        <w:t xml:space="preserve">;</w:t>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7"/>
      </w:r>
      <w:r>
        <w:t xml:space="preserve">; by reason of whom the way of truth shall be evil</w:t>
      </w:r>
      <w:r>
        <w:rPr>
          <w:rStyle w:val="FootnoteReference"/>
        </w:rPr>
        <w:footnoteReference w:id="17798"/>
      </w:r>
      <w:r>
        <w:t xml:space="preserve"> spoken of.</w:t>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9"/>
      </w:r>
      <w:r>
        <w:t xml:space="preserve"> not the old world, but saved Noah</w:t>
      </w:r>
      <w:r>
        <w:rPr>
          <w:rStyle w:val="FootnoteReference"/>
        </w:rPr>
        <w:footnoteReference w:id="17810"/>
      </w:r>
      <w:r>
        <w:t xml:space="preserve"> the eighth</w:t>
      </w:r>
      <w:r>
        <w:rPr>
          <w:rStyle w:val="FootnoteReference"/>
        </w:rPr>
        <w:footnoteReference w:id="17811"/>
      </w:r>
      <w:r>
        <w:t xml:space="preserve"> person, a preacher</w:t>
      </w:r>
      <w:r>
        <w:rPr>
          <w:rStyle w:val="FootnoteReference"/>
        </w:rPr>
        <w:footnoteReference w:id="17812"/>
      </w:r>
      <w:r>
        <w:t xml:space="preserve"> of righteousness, bringing</w:t>
      </w:r>
      <w:r>
        <w:rPr>
          <w:rStyle w:val="FootnoteReference"/>
        </w:rPr>
        <w:footnoteReference w:id="17813"/>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3"/>
      </w:r>
      <w:r>
        <w:t xml:space="preserve"> brute beasts, made to be taken and destroyed, speak evil of the things that they understand not; and shall utterly perish</w:t>
      </w:r>
      <w:r>
        <w:rPr>
          <w:rStyle w:val="FootnoteReference"/>
        </w:rPr>
        <w:footnoteReference w:id="1783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3"/>
      </w:r>
      <w:r>
        <w:t xml:space="preserve"> the right way, and are gone astray, following the way of Balaam</w:t>
      </w:r>
      <w:r>
        <w:rPr>
          <w:rStyle w:val="FootnoteReference"/>
        </w:rPr>
        <w:footnoteReference w:id="17844"/>
      </w:r>
      <w:r>
        <w:t xml:space="preserve"> the son of Bosor</w:t>
      </w:r>
      <w:r>
        <w:rPr>
          <w:rStyle w:val="FootnoteReference"/>
        </w:rPr>
        <w:footnoteReference w:id="17845"/>
      </w:r>
      <w:r>
        <w:t xml:space="preserve">, who loved the wages</w:t>
      </w:r>
      <w:r>
        <w:rPr>
          <w:rStyle w:val="FootnoteReference"/>
        </w:rPr>
        <w:footnoteReference w:id="17846"/>
      </w:r>
      <w:r>
        <w:t xml:space="preserve"> of unrighteousness;</w:t>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8"/>
      </w:r>
      <w:r>
        <w:t xml:space="preserve"> shall come in the last days scoffers</w:t>
      </w:r>
      <w:r>
        <w:rPr>
          <w:rStyle w:val="FootnoteReference"/>
        </w:rPr>
        <w:footnoteReference w:id="17879"/>
      </w:r>
      <w:r>
        <w:t xml:space="preserve">, walking</w:t>
      </w:r>
      <w:r>
        <w:rPr>
          <w:rStyle w:val="FootnoteReference"/>
        </w:rPr>
        <w:footnoteReference w:id="17880"/>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4"/>
      </w:r>
      <w:r>
        <w:t xml:space="preserve">, and the lust</w:t>
      </w:r>
      <w:r>
        <w:rPr>
          <w:rStyle w:val="FootnoteReference"/>
        </w:rPr>
        <w:footnoteReference w:id="18015"/>
      </w:r>
      <w:r>
        <w:t xml:space="preserve"> of the eyes, and the pride</w:t>
      </w:r>
      <w:r>
        <w:rPr>
          <w:rStyle w:val="FootnoteReference"/>
        </w:rPr>
        <w:footnoteReference w:id="18016"/>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abide in him; that, when he shall appear,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50"/>
      </w:r>
      <w:r>
        <w:t xml:space="preserve"> sons of God, and it does not yet appear what we shall be: but we know that, when he shall appear, we shall be like him; for we shall see him as he is.</w:t>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7"/>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4"/>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"beside": Luke 16:26; Luke 24:21.</w:t>
      </w:r>
    </w:p>
  </w:footnote>
  <w:footnote w:id="17743">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4">
    <w:p>
      <w:pPr>
        <w:pStyle w:val="FootnoteText"/>
      </w:pPr>
      <w:r>
        <w:rPr>
          <w:rStyle w:val="FootnoteReference"/>
        </w:rPr>
        <w:footnoteRef/>
      </w:r>
      <w:r>
        <w:t xml:space="preserve"> Cross-references for "virtue": Phil 4:8; 2Pet 1:3.</w:t>
      </w:r>
    </w:p>
  </w:footnote>
  <w:footnote w:id="17745">
    <w:p>
      <w:pPr>
        <w:pStyle w:val="FootnoteText"/>
      </w:pPr>
      <w:r>
        <w:rPr>
          <w:rStyle w:val="FootnoteReference"/>
        </w:rPr>
        <w:footnoteRef/>
      </w:r>
      <w:r>
        <w:t xml:space="preserve"> Cross-references for "knowledge": 1Cor 14:20; Eph 1:17-18; Eph 5:17; Phil 1:9; Col 1:9; 1Pet 3:7; 2Pet 1:2; 2Pet 3:18.</w:t>
      </w:r>
    </w:p>
  </w:footnote>
  <w:footnote w:id="17746">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7">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8">
    <w:p>
      <w:pPr>
        <w:pStyle w:val="FootnoteText"/>
      </w:pPr>
      <w:r>
        <w:rPr>
          <w:rStyle w:val="FootnoteReference"/>
        </w:rPr>
        <w:footnoteRef/>
      </w:r>
      <w:r>
        <w:t xml:space="preserve"> Cross-references: Acts 24:25; 1Cor 9:25; Gal 5:23; Titus 1:8; Titus 2:2.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"pernicious ways": Rom 2:24; 1Tim 5:14; Titus 2:5; Titus 2:8.</w:t>
      </w:r>
    </w:p>
  </w:footnote>
  <w:footnote w:id="17798">
    <w:p>
      <w:pPr>
        <w:pStyle w:val="FootnoteText"/>
      </w:pPr>
      <w:r>
        <w:rPr>
          <w:rStyle w:val="FootnoteReference"/>
        </w:rPr>
        <w:footnoteRef/>
      </w:r>
      <w:r>
        <w:t xml:space="preserve"> Cross-references for "evil": Acts 14:2; 1Pet 2:12; 2Pet 2:12; Jude 1:10; Jude 1:15.</w:t>
      </w:r>
    </w:p>
  </w:footnote>
  <w:footnote w:id="17799">
    <w:p>
      <w:pPr>
        <w:pStyle w:val="FootnoteText"/>
      </w:pPr>
      <w:r>
        <w:rPr>
          <w:rStyle w:val="FootnoteReference"/>
        </w:rPr>
        <w:footnoteRef/>
      </w:r>
      <w:r>
        <w:t xml:space="preserve"> Cross-references for "ways": 2Pet 2:15; 2Pet 2:21.</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Cross-references for "spared": Job 22:15-16; Matt 24:37-39; Luke 17:26-27; Heb 11:7.</w:t>
      </w:r>
    </w:p>
  </w:footnote>
  <w:footnote w:id="1781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1">
    <w:p>
      <w:pPr>
        <w:pStyle w:val="FootnoteText"/>
      </w:pPr>
      <w:r>
        <w:rPr>
          <w:rStyle w:val="FootnoteReference"/>
        </w:rPr>
        <w:footnoteRef/>
      </w:r>
      <w:r>
        <w:t xml:space="preserve"> Cross-references for "the eighth": Gen 7:1-24; 1Pet 3:20.</w:t>
      </w:r>
    </w:p>
  </w:footnote>
  <w:footnote w:id="17812">
    <w:p>
      <w:pPr>
        <w:pStyle w:val="FootnoteText"/>
      </w:pPr>
      <w:r>
        <w:rPr>
          <w:rStyle w:val="FootnoteReference"/>
        </w:rPr>
        <w:footnoteRef/>
      </w:r>
      <w:r>
        <w:t xml:space="preserve"> Cross-references for "a preacher": 1Pet 3:19; Jude 1:14-15.</w:t>
      </w:r>
    </w:p>
  </w:footnote>
  <w:footnote w:id="17813">
    <w:p>
      <w:pPr>
        <w:pStyle w:val="FootnoteText"/>
      </w:pPr>
      <w:r>
        <w:rPr>
          <w:rStyle w:val="FootnoteReference"/>
        </w:rPr>
        <w:footnoteRef/>
      </w:r>
      <w:r>
        <w:t xml:space="preserve"> Cross-references for "bringing":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for "as natural": Ps 49:10; Ps 92:6; Ps 94:8; Jer 4:22; Jer 5:4; Jer 10:8; Jer 10:21; Jer 12:3; Ezek 21:31; Jude 1:10.</w:t>
      </w:r>
    </w:p>
  </w:footnote>
  <w:footnote w:id="17834">
    <w:p>
      <w:pPr>
        <w:pStyle w:val="FootnoteText"/>
      </w:pPr>
      <w:r>
        <w:rPr>
          <w:rStyle w:val="FootnoteReference"/>
        </w:rPr>
        <w:footnoteRef/>
      </w:r>
      <w:r>
        <w:t xml:space="preserve"> Cross-references for "perish":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Cross-references for "forsaken": 1Sam 12:23; 1Kgs 18:18; 1Kgs 19:10; Prov 28:4; Ezek 9:10; Hos 14:8; Acts 13:10.</w:t>
      </w:r>
    </w:p>
  </w:footnote>
  <w:footnote w:id="17844">
    <w:p>
      <w:pPr>
        <w:pStyle w:val="FootnoteText"/>
      </w:pPr>
      <w:r>
        <w:rPr>
          <w:rStyle w:val="FootnoteReference"/>
        </w:rPr>
        <w:footnoteRef/>
      </w:r>
      <w:r>
        <w:t xml:space="preserve"> Personal name: Balaam. Personal-name meaning: Balaam — Not of the people; devourer. Source form: Balaam.</w:t>
      </w:r>
    </w:p>
  </w:footnote>
  <w:footnote w:id="17845">
    <w:p>
      <w:pPr>
        <w:pStyle w:val="FootnoteText"/>
      </w:pPr>
      <w:r>
        <w:rPr>
          <w:rStyle w:val="FootnoteReference"/>
        </w:rPr>
        <w:footnoteRef/>
      </w:r>
      <w:r>
        <w:t xml:space="preserve"> Place name: Bosor. Place-name meaning: Bosor — burning; foolish; mad; variant form of Beor. Source form: Bosor. Greek form: βοσορ.</w:t>
      </w:r>
    </w:p>
  </w:footnote>
  <w:footnote w:id="17846">
    <w:p>
      <w:pPr>
        <w:pStyle w:val="FootnoteText"/>
      </w:pPr>
      <w:r>
        <w:rPr>
          <w:rStyle w:val="FootnoteReference"/>
        </w:rPr>
        <w:footnoteRef/>
      </w:r>
      <w:r>
        <w:t xml:space="preserve"> Cross-references for "wages": Acts 1:18.</w:t>
      </w:r>
    </w:p>
  </w:footnote>
  <w:footnote w:id="17847">
    <w:p>
      <w:pPr>
        <w:pStyle w:val="FootnoteText"/>
      </w:pPr>
      <w:r>
        <w:rPr>
          <w:rStyle w:val="FootnoteReference"/>
        </w:rPr>
        <w:footnoteRef/>
      </w:r>
      <w:r>
        <w:t xml:space="preserve"> Cross-references for "Balaam": Num 22:5-7.</w:t>
      </w:r>
    </w:p>
  </w:footnote>
  <w:footnote w:id="17848">
    <w:p>
      <w:pPr>
        <w:pStyle w:val="FootnoteText"/>
      </w:pPr>
      <w:r>
        <w:rPr>
          <w:rStyle w:val="FootnoteReference"/>
        </w:rPr>
        <w:footnoteRef/>
      </w:r>
      <w:r>
        <w:t xml:space="preserve"> Cross-references: Num 22:18-21; Num 22:23; Num 22:28; Num 31:16; Deut 23:4-5; Mic 6:5; Jude 1:11; Rev 2:14.</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"that there": 1Tim 4:1-2; 2Tim 3:1; 1John 2:18; Jude 1:18.</w:t>
      </w:r>
    </w:p>
  </w:footnote>
  <w:footnote w:id="17879">
    <w:p>
      <w:pPr>
        <w:pStyle w:val="FootnoteText"/>
      </w:pPr>
      <w:r>
        <w:rPr>
          <w:rStyle w:val="FootnoteReference"/>
        </w:rPr>
        <w:footnoteRef/>
      </w:r>
      <w:r>
        <w:t xml:space="preserve"> Cross-references for "scoffers": Prov 1:22; Prov 3:34; Prov 14:6; Isa 5:19; Isa 28:14; Isa 29:20; Hos 7:5.</w:t>
      </w:r>
    </w:p>
  </w:footnote>
  <w:footnote w:id="17880">
    <w:p>
      <w:pPr>
        <w:pStyle w:val="FootnoteText"/>
      </w:pPr>
      <w:r>
        <w:rPr>
          <w:rStyle w:val="FootnoteReference"/>
        </w:rPr>
        <w:footnoteRef/>
      </w:r>
      <w:r>
        <w:t xml:space="preserve"> Cross-references for "walking": 2Cor 4:2; 2Pet 2:10; Jude 1:16;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5">
    <w:p>
      <w:pPr>
        <w:pStyle w:val="FootnoteText"/>
      </w:pPr>
      <w:r>
        <w:rPr>
          <w:rStyle w:val="FootnoteReference"/>
        </w:rPr>
        <w:footnoteRef/>
      </w:r>
      <w:r>
        <w:t xml:space="preserve"> Cross-references for "and the lust": Gen 3:6; Gen 6:2; Josh 7:21; Job 31:1; Ps 119:36-37; Eccl 5:10-11; Matt 4:8; Luke 4:5.</w:t>
      </w:r>
    </w:p>
  </w:footnote>
  <w:footnote w:id="18016">
    <w:p>
      <w:pPr>
        <w:pStyle w:val="FootnoteText"/>
      </w:pPr>
      <w:r>
        <w:rPr>
          <w:rStyle w:val="FootnoteReference"/>
        </w:rPr>
        <w:footnoteRef/>
      </w:r>
      <w:r>
        <w:t xml:space="preserve"> Cross-references for "and the pride": Ps 73:6; Dan 4:30; Rev 18:11-17; Esth 1:3-7.</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"now are we the":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