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900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332"/>
      </w:r>
      <w:r>
        <w:t xml:space="preserve"> as a queen, and am not a widow, and shall by no means see mourning.</w:t>
      </w:r>
      <w:r>
        <w:rPr>
          <w:rStyle w:val="FootnoteReference"/>
        </w:rPr>
        <w:footnoteReference w:id="19333"/>
      </w:r>
      <w:r>
        <w:rPr>
          <w:rStyle w:val="FootnoteReference"/>
        </w:rPr>
        <w:footnoteReference w:id="19334"/>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341"/>
      </w:r>
      <w:r>
        <w:rPr>
          <w:rStyle w:val="FootnoteReference"/>
        </w:rPr>
        <w:footnoteReference w:id="19342"/>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347"/>
      </w:r>
      <w:r>
        <w:t xml:space="preserve"> wood, and every ivory vessel, and every vessel of most precious wood, and of bronze, and iron, and marble,</w:t>
      </w:r>
      <w:r>
        <w:rPr>
          <w:rStyle w:val="FootnoteReference"/>
        </w:rPr>
        <w:footnoteReference w:id="19348"/>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incense, and myrrh, and frankincense, and wine, and oil, and fine flour, and wheat, and cattle, and sheep, and horses, and wagons, and bodies, and souls</w:t>
      </w:r>
      <w:r>
        <w:rPr>
          <w:rStyle w:val="FootnoteReference"/>
        </w:rPr>
        <w:footnoteReference w:id="19350"/>
      </w:r>
      <w:r>
        <w:t xml:space="preserve"> of men.</w:t>
      </w:r>
      <w:r>
        <w:rPr>
          <w:rStyle w:val="FootnoteReference"/>
        </w:rPr>
        <w:footnoteReference w:id="19351"/>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354"/>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such great wealth was made desolate. And every</w:t>
      </w:r>
      <w:r>
        <w:rPr>
          <w:rStyle w:val="FootnoteReference"/>
        </w:rPr>
        <w:footnoteReference w:id="19356"/>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Isa 22:12-14; Isa 47:1-2; Isa 47:7-9; Ezek 28:2-10; Zeph 2:15; 2Thess 2:4-8.</w:t>
      </w:r>
    </w:p>
  </w:footnote>
  <w:footnote w:id="19334">
    <w:p>
      <w:pPr>
        <w:pStyle w:val="FootnoteText"/>
      </w:pPr>
      <w:r>
        <w:rPr>
          <w:rStyle w:val="FootnoteReference"/>
        </w:rPr>
        <w:footnoteRef/>
      </w:r>
      <w:r>
        <w:t xml:space="preserve"> Cross-references: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30:7; Joel 1:15; Amos 5:16; Rev 18:16; Rev 18:19.</w:t>
      </w:r>
    </w:p>
  </w:footnote>
  <w:footnote w:id="19343">
    <w:p>
      <w:pPr>
        <w:pStyle w:val="FootnoteText"/>
      </w:pPr>
      <w:r>
        <w:rPr>
          <w:rStyle w:val="FootnoteReference"/>
        </w:rPr>
        <w:footnoteRef/>
      </w:r>
      <w:r>
        <w:t xml:space="preserve"> Cross-references: Isa 21:9; Rev 14:8.</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1Kgs 10:11-12; Prov 8:10-11; Ezek 27:5-25; Rev 17:4.</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Exod 21:16; Deut 24:7; Deut 28:68; Neh 5:4-5; Neh 5:8; Isa 50:1; Ezek 27:13; Amos 2:6; Amos 8:6; 1Tim 1:10.</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