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3555"/>
      </w:r>
      <w:r>
        <w:t xml:space="preserve"> again to every man that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3578"/>
      </w:r>
      <w:r>
        <w:t xml:space="preserve"> you.</w:t>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3613"/>
      </w:r>
      <w:r>
        <w:t xml:space="preserve"> of vain glory, provoking</w:t>
      </w:r>
      <w:r>
        <w:rPr>
          <w:rStyle w:val="FootnoteReference"/>
        </w:rPr>
        <w:footnoteReference w:id="13614"/>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 he is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3624"/>
      </w:r>
      <w:r>
        <w:t xml:space="preserve"> his own work, and then shall he have rejoicing</w:t>
      </w:r>
      <w:r>
        <w:rPr>
          <w:rStyle w:val="FootnoteReference"/>
        </w:rPr>
        <w:footnoteReference w:id="13625"/>
      </w:r>
      <w:r>
        <w:t xml:space="preserve"> in himself alone, and not</w:t>
      </w:r>
      <w:r>
        <w:rPr>
          <w:rStyle w:val="FootnoteReference"/>
        </w:rPr>
        <w:footnoteReference w:id="13626"/>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 dispensation of the fullness of times he might gather together in one all things in Christ, both which are in heaven, and which are on earth; even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 predestinated according to the purpose</w:t>
      </w:r>
      <w:r>
        <w:rPr>
          <w:rStyle w:val="FootnoteReference"/>
        </w:rPr>
        <w:footnoteReference w:id="13697"/>
      </w:r>
      <w:r>
        <w:t xml:space="preserve"> of him who works all things after the counsel</w:t>
      </w:r>
      <w:r>
        <w:rPr>
          <w:rStyle w:val="FootnoteReference"/>
        </w:rPr>
        <w:footnoteReference w:id="13698"/>
      </w:r>
      <w:r>
        <w:t xml:space="preserve"> of his own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3713"/>
      </w:r>
      <w:r>
        <w:t xml:space="preserve"> not to give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3724"/>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3780"/>
      </w:r>
      <w:r>
        <w:t xml:space="preserve"> one, and has broken down the middle</w:t>
      </w:r>
      <w:r>
        <w:rPr>
          <w:rStyle w:val="FootnoteReference"/>
        </w:rPr>
        <w:footnoteReference w:id="13781"/>
      </w:r>
      <w:r>
        <w:t xml:space="preserve"> wall of partition between us;</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Jesus</w:t>
      </w:r>
      <w:r>
        <w:rPr>
          <w:rStyle w:val="FootnoteReference"/>
        </w:rPr>
        <w:footnoteReference w:id="13795"/>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3827"/>
      </w:r>
      <w:r>
        <w:t xml:space="preserve"> of the mystery, which from the beginning</w:t>
      </w:r>
      <w:r>
        <w:rPr>
          <w:rStyle w:val="FootnoteReference"/>
        </w:rPr>
        <w:footnoteReference w:id="13828"/>
      </w:r>
      <w:r>
        <w:t xml:space="preserve"> of the world has been hid in God, who created</w:t>
      </w:r>
      <w:r>
        <w:rPr>
          <w:rStyle w:val="FootnoteReference"/>
        </w:rPr>
        <w:footnoteReference w:id="13829"/>
      </w:r>
      <w:r>
        <w:t xml:space="preserve"> all things by Jesus Christ:</w:t>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3842"/>
      </w:r>
      <w:r>
        <w:t xml:space="preserve"> family in heaven and earth is named,</w:t>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above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3882"/>
      </w:r>
      <w:r>
        <w:t xml:space="preserve">, what is it but that he also</w:t>
      </w:r>
      <w:r>
        <w:rPr>
          <w:rStyle w:val="FootnoteReference"/>
        </w:rPr>
        <w:footnoteReference w:id="13883"/>
      </w:r>
      <w:r>
        <w:t xml:space="preserve"> descended first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3887"/>
      </w:r>
      <w:r>
        <w:t xml:space="preserve">; and some,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3910"/>
      </w:r>
      <w:r>
        <w:t xml:space="preserve"> darkened, being alienated</w:t>
      </w:r>
      <w:r>
        <w:rPr>
          <w:rStyle w:val="FootnoteReference"/>
        </w:rPr>
        <w:footnoteReference w:id="13911"/>
      </w:r>
      <w:r>
        <w:t xml:space="preserve"> from the life of God through the ignorance that is in them, because of the blindness</w:t>
      </w:r>
      <w:r>
        <w:rPr>
          <w:rStyle w:val="FootnoteReference"/>
        </w:rPr>
        <w:footnoteReference w:id="13912"/>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3967"/>
      </w:r>
      <w:r>
        <w:t xml:space="preserve">, nor foolish talking, nor jesting, which are not convenient</w:t>
      </w:r>
      <w:r>
        <w:rPr>
          <w:rStyle w:val="FootnoteReference"/>
        </w:rPr>
        <w:footnoteReference w:id="13968"/>
      </w:r>
      <w:r>
        <w:t xml:space="preserve">: but rather giving of thanks.</w:t>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3987"/>
      </w:r>
      <w:r>
        <w:t xml:space="preserve"> works</w:t>
      </w:r>
      <w:r>
        <w:rPr>
          <w:rStyle w:val="FootnoteReference"/>
        </w:rPr>
        <w:footnoteReference w:id="13988"/>
      </w:r>
      <w:r>
        <w:t xml:space="preserve"> of darkness, but rather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yourselves one to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your loins girt about with truth, and having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upon</w:t>
      </w:r>
      <w:r>
        <w:rPr>
          <w:rStyle w:val="FootnoteReference"/>
        </w:rPr>
        <w:footnoteReference w:id="14127"/>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4151"/>
      </w:r>
      <w:r>
        <w:t xml:space="preserve"> are manifest in all the palace</w:t>
      </w:r>
      <w:r>
        <w:rPr>
          <w:rStyle w:val="FootnoteReference"/>
        </w:rPr>
        <w:footnoteReference w:id="14152"/>
      </w:r>
      <w:r>
        <w:t xml:space="preserve">, and in all other places</w:t>
      </w:r>
      <w:r>
        <w:rPr>
          <w:rStyle w:val="FootnoteReference"/>
        </w:rPr>
        <w:footnoteReference w:id="14153"/>
      </w:r>
      <w:r>
        <w:t xml:space="preserve">;</w:t>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4157"/>
      </w:r>
      <w:r>
        <w:t xml:space="preserve"> Christ even of envy and strife; and some also of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177"/>
      </w:r>
      <w:r>
        <w:t xml:space="preserve">, I know that I shall abide and continue with you all for your furtherance and joy of faith;</w:t>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murmurings and disputings</w:t>
      </w:r>
      <w:r>
        <w:rPr>
          <w:rStyle w:val="FootnoteReference"/>
        </w:rPr>
        <w:footnoteReference w:id="14229"/>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r>
        <w:t xml:space="preserve">{{field-off:Bible}}</w:t>
      </w:r>
    </w:p>
    <w:p>
      <w:r>
        <w:rPr>
          <w:sz w:val="18"/>
          <w:color w:val="777777"/>
        </w:rPr>
        <w:t xml:space="preserve">[[@Bible:Philippians 3:18]] </w:t>
      </w:r>
      <w:r>
        <w:rPr>
          <w:b/>
        </w:rPr>
        <w:t xml:space="preserve">18 </w:t>
      </w:r>
      <w:r>
        <w:t xml:space="preserve"> {{field-on:Bible}}</w:t>
      </w:r>
      <w:r>
        <w:t xml:space="preserve">(For many walk, of whom I have told you often, and now tell you even weeping, that they are the enemies</w:t>
      </w:r>
      <w:r>
        <w:rPr>
          <w:rStyle w:val="FootnoteReference"/>
        </w:rPr>
        <w:footnoteReference w:id="14341"/>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3"/>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5"/>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6"/>
      </w:r>
      <w:r>
        <w:rPr>
          <w:rStyle w:val="FootnoteReference"/>
        </w:rPr>
        <w:footnoteReference w:id="14397"/>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4"/>
      </w:r>
      <w:r>
        <w:t xml:space="preserve">.</w:t>
      </w:r>
      <w:r>
        <w:rPr>
          <w:rStyle w:val="FootnoteReference"/>
        </w:rPr>
        <w:footnoteReference w:id="14415"/>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3"/>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6"/>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1"/>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490"/>
      </w:r>
      <w:r>
        <w:t xml:space="preserve"> him all things consist.</w:t>
      </w:r>
      <w:r>
        <w:rPr>
          <w:rStyle w:val="FootnoteReference"/>
        </w:rPr>
        <w:footnoteReference w:id="14491"/>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49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2"/>
      </w:r>
      <w:r>
        <w:t xml:space="preserve"> are hid all the treasures of wisdom and knowledge.</w:t>
      </w:r>
      <w:r>
        <w:rPr>
          <w:rStyle w:val="FootnoteReference"/>
        </w:rPr>
        <w:footnoteReference w:id="14543"/>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4"/>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560"/>
      </w:r>
      <w:r>
        <w:t xml:space="preserve">.</w:t>
      </w:r>
      <w:r>
        <w:rPr>
          <w:rStyle w:val="FootnoteReference"/>
        </w:rPr>
        <w:footnoteReference w:id="14561"/>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2"/>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460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613"/>
      </w:r>
      <w:r>
        <w:rPr>
          <w:rStyle w:val="FootnoteReference"/>
        </w:rPr>
        <w:footnoteReference w:id="14614"/>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5"/>
      </w:r>
      <w:r>
        <w:rPr>
          <w:rStyle w:val="FootnoteReference"/>
        </w:rPr>
        <w:footnoteReference w:id="14616"/>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6"/>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1"/>
      </w:r>
      <w:r>
        <w:rPr>
          <w:rStyle w:val="FootnoteReference"/>
        </w:rPr>
        <w:footnoteReference w:id="14632"/>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4"/>
      </w:r>
      <w:r>
        <w:rPr>
          <w:rStyle w:val="FootnoteReference"/>
        </w:rPr>
        <w:footnoteReference w:id="14655"/>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679"/>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4"/>
      </w:r>
      <w:r>
        <w:rPr>
          <w:rStyle w:val="FootnoteReference"/>
        </w:rPr>
        <w:footnoteReference w:id="14685"/>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4"/>
      </w:r>
      <w:r>
        <w:t xml:space="preserve"> make it manifest, as I ought to speak.</w:t>
      </w:r>
      <w:r>
        <w:rPr>
          <w:rStyle w:val="FootnoteReference"/>
        </w:rPr>
        <w:footnoteReference w:id="14705"/>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6"/>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8"/>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13"/>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25"/>
      </w:r>
      <w:r>
        <w:rPr>
          <w:rStyle w:val="FootnoteReference"/>
        </w:rPr>
        <w:footnoteReference w:id="14826"/>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5"/>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4"/>
      </w:r>
      <w:r>
        <w:t xml:space="preserve">, if you stand fast in the Lord.</w:t>
      </w:r>
      <w:r>
        <w:rPr>
          <w:rStyle w:val="FootnoteReference"/>
        </w:rPr>
        <w:footnoteReference w:id="14895"/>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1"/>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1"/>
      </w:r>
      <w:r>
        <w:t xml:space="preserve">, but to holiness.</w:t>
      </w:r>
      <w:r>
        <w:rPr>
          <w:rStyle w:val="FootnoteReference"/>
        </w:rPr>
        <w:footnoteReference w:id="14932"/>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5"/>
      </w:r>
      <w:r>
        <w:t xml:space="preserve"> one another with these words.</w:t>
      </w:r>
      <w:r>
        <w:rPr>
          <w:rStyle w:val="FootnoteReference"/>
        </w:rPr>
        <w:footnoteReference w:id="14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9"/>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4"/>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8"/>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4"/>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5"/>
      </w:r>
      <w:r>
        <w:t xml:space="preserve"> not the Spirit</w:t>
      </w:r>
      <w:r>
        <w:rPr>
          <w:rStyle w:val="FootnoteReference"/>
        </w:rPr>
        <w:footnoteReference w:id="15016"/>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17"/>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20"/>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7"/>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8"/>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1"/>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4"/>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4"/>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5"/>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9"/>
      </w:r>
      <w:r>
        <w:rPr>
          <w:rStyle w:val="FootnoteReference"/>
        </w:rPr>
        <w:footnoteReference w:id="15110"/>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1"/>
      </w:r>
      <w:r>
        <w:rPr>
          <w:rStyle w:val="FootnoteReference"/>
        </w:rPr>
        <w:footnoteReference w:id="15112"/>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9"/>
      </w:r>
      <w:r>
        <w:rPr>
          <w:rStyle w:val="FootnoteReference"/>
        </w:rPr>
        <w:footnoteReference w:id="15150"/>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1"/>
      </w:r>
      <w:r>
        <w:rPr>
          <w:rStyle w:val="FootnoteReference"/>
        </w:rPr>
        <w:footnoteReference w:id="15162"/>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2"/>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2"/>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3"/>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4"/>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8"/>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20"/>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4"/>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1"/>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80"/>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1"/>
      </w:r>
      <w:r>
        <w:rPr>
          <w:rStyle w:val="FootnoteReference"/>
        </w:rPr>
        <w:footnoteReference w:id="15382"/>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6"/>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1"/>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9"/>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1"/>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40"/>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8"/>
      </w:r>
      <w:r>
        <w:t xml:space="preserve"> first faith.</w:t>
      </w:r>
      <w:r>
        <w:rPr>
          <w:rStyle w:val="FootnoteReference"/>
        </w:rPr>
        <w:footnoteReference w:id="15459"/>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8"/>
      </w:r>
      <w:r>
        <w:t xml:space="preserve">.</w:t>
      </w:r>
      <w:r>
        <w:rPr>
          <w:rStyle w:val="FootnoteReference"/>
        </w:rPr>
        <w:footnoteReference w:id="15469"/>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3"/>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6"/>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4"/>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7"/>
      </w:r>
      <w:r>
        <w:rPr>
          <w:rStyle w:val="FootnoteReference"/>
        </w:rPr>
        <w:footnoteReference w:id="15658"/>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9"/>
      </w:r>
      <w:r>
        <w:t xml:space="preserve"> deny himself.</w:t>
      </w:r>
      <w:r>
        <w:rPr>
          <w:rStyle w:val="FootnoteReference"/>
        </w:rPr>
        <w:footnoteReference w:id="15680"/>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7"/>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3"/>
      </w:r>
      <w:r>
        <w:rPr>
          <w:rStyle w:val="FootnoteReference"/>
        </w:rPr>
        <w:footnoteReference w:id="15734"/>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3"/>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8"/>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4"/>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8"/>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1"/>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2"/>
      </w:r>
      <w:r>
        <w:t xml:space="preserve"> our words.</w:t>
      </w:r>
      <w:r>
        <w:rPr>
          <w:rStyle w:val="FootnoteReference"/>
        </w:rPr>
        <w:footnoteReference w:id="1586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9"/>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1"/>
      </w:r>
      <w:r>
        <w:t xml:space="preserve"> of God that brings salvation has appeared to all men,</w:t>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3"/>
      </w:r>
      <w:r>
        <w:t xml:space="preserve"> him as myself.</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20"/>
      </w:r>
      <w:r>
        <w:t xml:space="preserve"> of God.</w:t>
      </w:r>
      <w:r>
        <w:rPr>
          <w:rStyle w:val="FootnoteReference"/>
        </w:rPr>
        <w:footnoteReference w:id="1632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for "trouble": Acts 15:1-2; Acts 15:24.</w:t>
      </w:r>
    </w:p>
  </w:footnote>
  <w:footnote w:id="13579">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"desirous": Luke 14:10; 1Cor 3:7; Phil 2:1-3; Jas 4:16.</w:t>
      </w:r>
    </w:p>
  </w:footnote>
  <w:footnote w:id="13614">
    <w:p>
      <w:pPr>
        <w:pStyle w:val="FootnoteText"/>
      </w:pPr>
      <w:r>
        <w:rPr>
          <w:rStyle w:val="FootnoteReference"/>
        </w:rPr>
        <w:footnoteRef/>
      </w:r>
      <w:r>
        <w:t xml:space="preserve"> Cross-references for "provoking": Gal 5:15; Jas 3:14-16; 1Pet 5:5.</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"rejoicing": Prov 14:14; 1Cor 4:3-4; 2Cor 1:12; 1John 3:19-22.</w:t>
      </w:r>
    </w:p>
  </w:footnote>
  <w:footnote w:id="13626">
    <w:p>
      <w:pPr>
        <w:pStyle w:val="FootnoteText"/>
      </w:pPr>
      <w:r>
        <w:rPr>
          <w:rStyle w:val="FootnoteReference"/>
        </w:rPr>
        <w:footnoteRef/>
      </w:r>
      <w:r>
        <w:t xml:space="preserve"> Cross-references for "and not": Luke 18:11; 1Cor 1:12-13; 1Cor 3:21-23; 1Cor 4:6-7; 2Cor 11:12-13; Gal 6:13.</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"beginning": Eph 1:4.</w:t>
      </w:r>
    </w:p>
  </w:footnote>
  <w:footnote w:id="13829">
    <w:p>
      <w:pPr>
        <w:pStyle w:val="FootnoteText"/>
      </w:pPr>
      <w:r>
        <w:rPr>
          <w:rStyle w:val="FootnoteReference"/>
        </w:rPr>
        <w:footnoteRef/>
      </w:r>
      <w:r>
        <w:t xml:space="preserve"> Cross-references for "created": Ps 33:6; Isa 44:24; John 1:1-3; John 5:17; John 5:19; John 10:30; Col 1:16-17; Heb 1:2-3; Heb 3:3-4.</w:t>
      </w:r>
    </w:p>
  </w:footnote>
  <w:footnote w:id="13830">
    <w:p>
      <w:pPr>
        <w:pStyle w:val="FootnoteText"/>
      </w:pPr>
      <w:r>
        <w:rPr>
          <w:rStyle w:val="FootnoteReference"/>
        </w:rPr>
        <w:footnoteRef/>
      </w:r>
      <w:r>
        <w:t xml:space="preserve"> Cross-references: Matt 10:27; Matt 28:19; Mark 16:15-16; Luke 24:47; Rom 16:26; Col 1:23; 2Tim 4:17; Rev 14:6.</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for "the whole":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1">
    <w:p>
      <w:pPr>
        <w:pStyle w:val="FootnoteText"/>
      </w:pPr>
      <w:r>
        <w:rPr>
          <w:rStyle w:val="FootnoteReference"/>
        </w:rPr>
        <w:footnoteRef/>
      </w:r>
      <w:r>
        <w:t xml:space="preserve"> Cross-references for "alienated": Rom 8:7-8; Gal 4:8; Eph 2:12; Col 1:21; 1Thess 4:5; Jas 4:4.</w:t>
      </w:r>
    </w:p>
  </w:footnote>
  <w:footnote w:id="13912">
    <w:p>
      <w:pPr>
        <w:pStyle w:val="FootnoteText"/>
      </w:pPr>
      <w:r>
        <w:rPr>
          <w:rStyle w:val="FootnoteReference"/>
        </w:rPr>
        <w:footnoteRef/>
      </w:r>
      <w:r>
        <w:t xml:space="preserve"> Cross-references for "blindness":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for "convenient":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for "upon":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for "the palace": Phil 4:22.</w:t>
      </w:r>
    </w:p>
  </w:footnote>
  <w:footnote w:id="14153">
    <w:p>
      <w:pPr>
        <w:pStyle w:val="FootnoteText"/>
      </w:pPr>
      <w:r>
        <w:rPr>
          <w:rStyle w:val="FootnoteReference"/>
        </w:rPr>
        <w:footnoteRef/>
      </w:r>
      <w:r>
        <w:t xml:space="preserve"> Cross-references for "in all other places": 1Thess 1:8-9.</w:t>
      </w:r>
    </w:p>
  </w:footnote>
  <w:footnote w:id="14154">
    <w:p>
      <w:pPr>
        <w:pStyle w:val="FootnoteText"/>
      </w:pPr>
      <w:r>
        <w:rPr>
          <w:rStyle w:val="FootnoteReference"/>
        </w:rPr>
        <w:footnoteRef/>
      </w:r>
      <w:r>
        <w:t xml:space="preserve"> Cross-references: Acts 20:23-24; Acts 21:11-13; Acts 26:29; Acts 26:31; Acts 28:17; Acts 28:20; Eph 3:1; Eph 4:1; Eph 6:20; Col 4:3-18.</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for "confidence":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