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as many things as they do not know: but what things they understand naturally, as irrational living creatures, in these things they corrupt themselves.</w:t>
      </w:r>
      <w:r>
        <w:rPr>
          <w:rStyle w:val="FootnoteReference"/>
        </w:rPr>
        <w:footnoteReference w:id="18331"/>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living creatures full</w:t>
      </w:r>
      <w:r>
        <w:rPr>
          <w:rStyle w:val="FootnoteReference"/>
        </w:rPr>
        <w:footnoteReference w:id="18654"/>
      </w:r>
      <w:r>
        <w:t xml:space="preserve"> of eyes before and behind.</w:t>
      </w:r>
      <w:r>
        <w:rPr>
          <w:rStyle w:val="FootnoteReference"/>
        </w:rPr>
        <w:footnoteReference w:id="18655"/>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living creatures,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living creatures and four and twenty elders fell down before the Lamb, each having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living creatures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living creature saying,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9002"/>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living creatures,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35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living creatures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shepherd them with a rod of iron: and he treads the winepress of the wine of the fury and wrath of God Almighty.</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coming down from heaven, having the key of the abyss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of the dragon</w:t>
      </w:r>
      <w:r>
        <w:rPr>
          <w:rStyle w:val="FootnoteReference"/>
        </w:rPr>
        <w:footnoteReference w:id="19438"/>
      </w:r>
      <w:r>
        <w:t xml:space="preserve">, the ancient serpent, who is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abyss, and shut him up, and sealed over him, that he should deceive</w:t>
      </w:r>
      <w:r>
        <w:rPr>
          <w:rStyle w:val="FootnoteReference"/>
        </w:rPr>
        <w:footnoteReference w:id="19441"/>
      </w:r>
      <w:r>
        <w:t xml:space="preserve"> the nations no longer, until the thousand</w:t>
      </w:r>
      <w:r>
        <w:rPr>
          <w:rStyle w:val="FootnoteReference"/>
        </w:rPr>
        <w:footnoteReference w:id="19442"/>
      </w:r>
      <w:r>
        <w:t xml:space="preserve"> years should be fulfilled: and after</w:t>
      </w:r>
      <w:r>
        <w:rPr>
          <w:rStyle w:val="FootnoteReference"/>
        </w:rPr>
        <w:footnoteReference w:id="19443"/>
      </w:r>
      <w:r>
        <w:t xml:space="preserve"> these things he must be loosed a little time.</w:t>
      </w:r>
      <w:r>
        <w:rPr>
          <w:rStyle w:val="FootnoteReference"/>
        </w:rPr>
        <w:footnoteReference w:id="19444"/>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standing before God; and books were opened: and another</w:t>
      </w:r>
      <w:r>
        <w:rPr>
          <w:rStyle w:val="FootnoteReference"/>
        </w:rPr>
        <w:footnoteReference w:id="19478"/>
      </w:r>
      <w:r>
        <w:t xml:space="preserve"> book was opened, which is the book of life: and the dead were judged from the things written in the books</w:t>
      </w:r>
      <w:r>
        <w:rPr>
          <w:rStyle w:val="FootnoteReference"/>
        </w:rPr>
        <w:footnoteReference w:id="19479"/>
      </w:r>
      <w:r>
        <w:t xml:space="preserve">, according to their works.</w:t>
      </w:r>
      <w:r>
        <w:rPr>
          <w:rStyle w:val="FootnoteReference"/>
        </w:rPr>
        <w:footnoteReference w:id="19480"/>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had passed away; and the sea is no more.</w:t>
      </w:r>
      <w:r>
        <w:rPr>
          <w:rStyle w:val="FootnoteReference"/>
        </w:rPr>
        <w:footnoteReference w:id="19488"/>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on them, which are the names of the twelve tribes of the sons of Israel</w:t>
      </w:r>
      <w:r>
        <w:rPr>
          <w:rStyle w:val="FootnoteReference"/>
        </w:rPr>
        <w:footnoteReference w:id="19528"/>
      </w:r>
      <w:r>
        <w:t xml:space="preserve">:</w:t>
      </w:r>
      <w:r>
        <w:rPr>
          <w:rStyle w:val="FootnoteReference"/>
        </w:rPr>
        <w:footnoteReference w:id="19529"/>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534"/>
      </w:r>
      <w:r>
        <w:t xml:space="preserve"> thousand stadia. Its length and breadth and height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adorned with every precious stone. The first foundation was jasper; the second, sapphire</w:t>
      </w:r>
      <w:r>
        <w:rPr>
          <w:rStyle w:val="FootnoteReference"/>
        </w:rPr>
        <w:footnoteReference w:id="19539"/>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552"/>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bright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89"/>
      </w:r>
      <w:r>
        <w:t xml:space="preserve">, beginning and end, the first and the last.</w:t>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Ezek 1:5-28; Ezek 10:14; Rev 4:8-9; Rev 5:6; Rev 5:14; Rev 6:1; Rev 7:11; Rev 14:3; Rev 15:7; Rev 19:4.</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Dan 6:17; Matt 27:66.</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Rom 14:10-12; 1Cor 4:5; 2Cor 5:10.</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Cross-references: Isa 27:1; Isa 57:20; Dan 7:3; Rev 13:1.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Ezra 9:9; Neh 12:27; Ps 51:18; Ps 122:7; Rev 21:17-20.</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Rev 21:11.</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