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01"/>
      </w:r>
      <w:r>
        <w:t xml:space="preserve"> things approving</w:t>
      </w:r>
      <w:r>
        <w:rPr>
          <w:rStyle w:val="FootnoteReference"/>
        </w:rPr>
        <w:footnoteReference w:id="12802"/>
      </w:r>
      <w:r>
        <w:t xml:space="preserve"> ourselves as the ministers of God, in much</w:t>
      </w:r>
      <w:r>
        <w:rPr>
          <w:rStyle w:val="FootnoteReference"/>
        </w:rPr>
        <w:footnoteReference w:id="12803"/>
      </w:r>
      <w:r>
        <w:t xml:space="preserve"> patience, in afflictions</w:t>
      </w:r>
      <w:r>
        <w:rPr>
          <w:rStyle w:val="FootnoteReference"/>
        </w:rPr>
        <w:footnoteReference w:id="12804"/>
      </w:r>
      <w:r>
        <w:t xml:space="preserve">, in necessities</w:t>
      </w:r>
      <w:r>
        <w:rPr>
          <w:rStyle w:val="FootnoteReference"/>
        </w:rPr>
        <w:footnoteReference w:id="12805"/>
      </w:r>
      <w:r>
        <w:t xml:space="preserve">, in distresses</w:t>
      </w:r>
      <w:r>
        <w:rPr>
          <w:rStyle w:val="FootnoteReference"/>
        </w:rPr>
        <w:footnoteReference w:id="12806"/>
      </w:r>
      <w:r>
        <w:t xml:space="preserve">,</w:t>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876"/>
      </w:r>
      <w:r>
        <w:t xml:space="preserve"> us by the coming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883"/>
      </w:r>
      <w:r>
        <w:t xml:space="preserve"> you sorry with a letter, I do not repent, though I did</w:t>
      </w:r>
      <w:r>
        <w:rPr>
          <w:rStyle w:val="FootnoteReference"/>
        </w:rPr>
        <w:footnoteReference w:id="1288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888"/>
      </w:r>
      <w:r>
        <w:t xml:space="preserve"> to salvation not to be repented of: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all": Acts 2:22; Rom 14:18; Rom 16:10; 1Cor 9:11; 2Cor 2:17; 2Cor 7:11; 1Thess 2:3-11; 1Tim 2:15.</w:t>
      </w:r>
    </w:p>
  </w:footnote>
  <w:footnote w:id="12802">
    <w:p>
      <w:pPr>
        <w:pStyle w:val="FootnoteText"/>
      </w:pPr>
      <w:r>
        <w:rPr>
          <w:rStyle w:val="FootnoteReference"/>
        </w:rPr>
        <w:footnoteRef/>
      </w:r>
      <w:r>
        <w:t xml:space="preserve"> Cross-references for "approving": Rom 5:8; 2Cor 4:2.</w:t>
      </w:r>
    </w:p>
  </w:footnote>
  <w:footnote w:id="12803">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4">
    <w:p>
      <w:pPr>
        <w:pStyle w:val="FootnoteText"/>
      </w:pPr>
      <w:r>
        <w:rPr>
          <w:rStyle w:val="FootnoteReference"/>
        </w:rPr>
        <w:footnoteRef/>
      </w:r>
      <w:r>
        <w:t xml:space="preserve"> Cross-references for "afflictions": Acts 20:23-24; 2Cor 4:17; Col 1:24; 1Thess 3:3; 2Tim 1:8; 2Tim 3:11-12; 2Tim 4:5.</w:t>
      </w:r>
    </w:p>
  </w:footnote>
  <w:footnote w:id="12805">
    <w:p>
      <w:pPr>
        <w:pStyle w:val="FootnoteText"/>
      </w:pPr>
      <w:r>
        <w:rPr>
          <w:rStyle w:val="FootnoteReference"/>
        </w:rPr>
        <w:footnoteRef/>
      </w:r>
      <w:r>
        <w:t xml:space="preserve"> Cross-references for "necessities": Acts 20:34; 1Cor 4:11-12; 2Cor 11:9; 2Cor 11:27; 2Cor 12:10; Phil 4:11-12.</w:t>
      </w:r>
    </w:p>
  </w:footnote>
  <w:footnote w:id="12806">
    <w:p>
      <w:pPr>
        <w:pStyle w:val="FootnoteText"/>
      </w:pPr>
      <w:r>
        <w:rPr>
          <w:rStyle w:val="FootnoteReference"/>
        </w:rPr>
        <w:footnoteRef/>
      </w:r>
      <w:r>
        <w:t xml:space="preserve"> Cross-references for "distresses": Rom 8:35-36; 2Cor 4:8; 1Thess 3:7.</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884">
    <w:p>
      <w:pPr>
        <w:pStyle w:val="FootnoteText"/>
      </w:pPr>
      <w:r>
        <w:rPr>
          <w:rStyle w:val="FootnoteReference"/>
        </w:rPr>
        <w:footnoteRef/>
      </w:r>
      <w:r>
        <w:t xml:space="preserve"> Cross-references for "though I did": Exod 5:22-23; Jer 20:7-9.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