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adorning let</w:t>
      </w:r>
      <w:r>
        <w:rPr>
          <w:rStyle w:val="FootnoteReference"/>
        </w:rPr>
        <w:footnoteReference w:id="17516"/>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Use hospitality</w:t>
      </w:r>
      <w:r>
        <w:rPr>
          <w:rStyle w:val="FootnoteReference"/>
        </w:rPr>
        <w:footnoteReference w:id="17614"/>
      </w:r>
      <w:r>
        <w:t xml:space="preserve"> one to another without grudging.</w:t>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care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p>
    <w:p>
      <w:r>
        <w:rPr>
          <w:b/>
        </w:rPr>
        <w:t xml:space="preserve">6 </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this voice which came from heaven we heard, when we were with him in the holy</w:t>
      </w:r>
      <w:r>
        <w:rPr>
          <w:rStyle w:val="FootnoteReference"/>
        </w:rPr>
        <w:footnoteReference w:id="17782"/>
      </w:r>
      <w:r>
        <w:t xml:space="preserve"> mount.</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the scripture is of any private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that he has promised us, even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p>
    <w:p>
      <w:r>
        <w:rPr>
          <w:b/>
        </w:rPr>
        <w:t xml:space="preserve">3 </w:t>
      </w:r>
      <w:r>
        <w:t xml:space="preserve">And every man that has this hope in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condemn us not, then have we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of the world: therefore speak they of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have we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record,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of God, and the whole world lies in wickedness</w:t>
      </w:r>
      <w:r>
        <w:rPr>
          <w:rStyle w:val="FootnoteReference"/>
        </w:rPr>
        <w:footnoteReference w:id="18207"/>
      </w:r>
      <w:r>
        <w:t xml:space="preserve">.</w:t>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to hear that my children walk</w:t>
      </w:r>
      <w:r>
        <w:rPr>
          <w:rStyle w:val="FootnoteReference"/>
        </w:rPr>
        <w:footnoteReference w:id="18254"/>
      </w:r>
      <w:r>
        <w:t xml:space="preserve"> in truth.</w:t>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of some have compassion, making a difference:</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