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 we were children, were in bondage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510"/>
      </w:r>
      <w:r>
        <w:t xml:space="preserve"> your enemy, because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zealously affected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of whom I travail in birth again until Christ</w:t>
      </w:r>
      <w:r>
        <w:rPr>
          <w:rStyle w:val="FootnoteReference"/>
        </w:rPr>
        <w:footnoteReference w:id="13514"/>
      </w:r>
      <w:r>
        <w:t xml:space="preserve"> be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516"/>
      </w:r>
      <w:r>
        <w:t xml:space="preserve"> present with you now, and to change my voice; for I stand in doubt of you</w:t>
      </w:r>
      <w:r>
        <w:rPr>
          <w:rStyle w:val="FootnoteReference"/>
        </w:rPr>
        <w:footnoteReference w:id="13517"/>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522"/>
      </w:r>
      <w:r>
        <w:t xml:space="preserve"> after the flesh; but he of the freewoman was by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3536"/>
      </w:r>
      <w:r>
        <w:t xml:space="preserve"> which is above is free</w:t>
      </w:r>
      <w:r>
        <w:rPr>
          <w:rStyle w:val="FootnoteReference"/>
        </w:rPr>
        <w:footnoteReference w:id="13537"/>
      </w:r>
      <w:r>
        <w:t xml:space="preserve">, which is the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Nevertheless what says the scripture? Cast</w:t>
      </w:r>
      <w:r>
        <w:rPr>
          <w:rStyle w:val="FootnoteReference"/>
        </w:rPr>
        <w:footnoteReference w:id="13546"/>
      </w:r>
      <w:r>
        <w:t xml:space="preserve"> out the bondwoman and her son: for the son of the bondwoman shall not be heir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555"/>
      </w:r>
      <w:r>
        <w:t xml:space="preserve"> again to every man that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578"/>
      </w:r>
      <w:r>
        <w:t xml:space="preserve"> you.</w:t>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613"/>
      </w:r>
      <w:r>
        <w:t xml:space="preserve"> of vain glory, provoking</w:t>
      </w:r>
      <w:r>
        <w:rPr>
          <w:rStyle w:val="FootnoteReference"/>
        </w:rPr>
        <w:footnoteReference w:id="13614"/>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 he is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624"/>
      </w:r>
      <w:r>
        <w:t xml:space="preserve"> his own work, and then shall he have rejoicing</w:t>
      </w:r>
      <w:r>
        <w:rPr>
          <w:rStyle w:val="FootnoteReference"/>
        </w:rPr>
        <w:footnoteReference w:id="13625"/>
      </w:r>
      <w:r>
        <w:t xml:space="preserve"> in himself alone, and not</w:t>
      </w:r>
      <w:r>
        <w:rPr>
          <w:rStyle w:val="FootnoteReference"/>
        </w:rPr>
        <w:footnoteReference w:id="13626"/>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 dispensation of the fullness of times he might gather together in one all things in Christ, both which are in heaven, and which are on earth; even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 predestinated according to the purpose</w:t>
      </w:r>
      <w:r>
        <w:rPr>
          <w:rStyle w:val="FootnoteReference"/>
        </w:rPr>
        <w:footnoteReference w:id="13697"/>
      </w:r>
      <w:r>
        <w:t xml:space="preserve"> of him who works all things after the counsel</w:t>
      </w:r>
      <w:r>
        <w:rPr>
          <w:rStyle w:val="FootnoteReference"/>
        </w:rPr>
        <w:footnoteReference w:id="13698"/>
      </w:r>
      <w:r>
        <w:t xml:space="preserve"> of his own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713"/>
      </w:r>
      <w:r>
        <w:t xml:space="preserve"> not to give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724"/>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842"/>
      </w:r>
      <w:r>
        <w:t xml:space="preserve"> family in heaven and earth is named,</w:t>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yourselves one to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9"/>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for "stand in doubt of you":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for "trouble": Acts 15:1-2; Acts 15:24.</w:t>
      </w:r>
    </w:p>
  </w:footnote>
  <w:footnote w:id="13579">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"desirous": Luke 14:10; 1Cor 3:7; Phil 2:1-3; Jas 4:16.</w:t>
      </w:r>
    </w:p>
  </w:footnote>
  <w:footnote w:id="13614">
    <w:p>
      <w:pPr>
        <w:pStyle w:val="FootnoteText"/>
      </w:pPr>
      <w:r>
        <w:rPr>
          <w:rStyle w:val="FootnoteReference"/>
        </w:rPr>
        <w:footnoteRef/>
      </w:r>
      <w:r>
        <w:t xml:space="preserve"> Cross-references for "provoking": Gal 5:15; Jas 3:14-16; 1Pet 5:5.</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"rejoicing": Prov 14:14; 1Cor 4:3-4; 2Cor 1:12; 1John 3:19-22.</w:t>
      </w:r>
    </w:p>
  </w:footnote>
  <w:footnote w:id="13626">
    <w:p>
      <w:pPr>
        <w:pStyle w:val="FootnoteText"/>
      </w:pPr>
      <w:r>
        <w:rPr>
          <w:rStyle w:val="FootnoteReference"/>
        </w:rPr>
        <w:footnoteRef/>
      </w:r>
      <w:r>
        <w:t xml:space="preserve"> Cross-references for "and not": Luke 18:11; 1Cor 1:12-13; 1Cor 3:21-23; 1Cor 4:6-7; 2Cor 11:12-13; Gal 6:13.</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