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Am I therefore become</w:t>
      </w:r>
      <w:r>
        <w:rPr>
          <w:rStyle w:val="FootnoteReference"/>
        </w:rPr>
        <w:footnoteReference w:id="13510"/>
      </w:r>
      <w:r>
        <w:t xml:space="preserve"> your enemy, because I tell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p>
    <w:p>
      <w:r>
        <w:rPr>
          <w:b/>
        </w:rPr>
        <w:t xml:space="preserve">20 </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the one by a bondmaid, the other by a freewoman.</w:t>
      </w:r>
    </w:p>
    <w:p>
      <w:r>
        <w:rPr>
          <w:b/>
        </w:rPr>
        <w:t xml:space="preserve">23 </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