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2"/>
      </w:r>
      <w:r>
        <w:t xml:space="preserve">, and has been tamed of mankind:</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fountain send forth at the same place</w:t>
      </w:r>
      <w:r>
        <w:rPr>
          <w:rStyle w:val="FootnoteReference"/>
        </w:rPr>
        <w:footnoteReference w:id="17193"/>
      </w:r>
      <w:r>
        <w:t xml:space="preserve"> sweet water and bitter?</w:t>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descends not from above, but is earthly, sensual</w:t>
      </w:r>
      <w:r>
        <w:rPr>
          <w:rStyle w:val="FootnoteReference"/>
        </w:rPr>
        <w:footnoteReference w:id="17205"/>
      </w:r>
      <w:r>
        <w:t xml:space="preserve">, devilish</w:t>
      </w:r>
      <w:r>
        <w:rPr>
          <w:rStyle w:val="FootnoteReference"/>
        </w:rPr>
        <w:footnoteReference w:id="17206"/>
      </w:r>
      <w:r>
        <w:t xml:space="preserve">.</w:t>
      </w:r>
      <w:r>
        <w:rPr>
          <w:rStyle w:val="FootnoteReference"/>
        </w:rPr>
        <w:footnoteReference w:id="17207"/>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8"/>
      </w:r>
      <w:r>
        <w:t xml:space="preserve"> that is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and easy to be implored, full</w:t>
      </w:r>
      <w:r>
        <w:rPr>
          <w:rStyle w:val="FootnoteReference"/>
        </w:rPr>
        <w:footnoteReference w:id="17212"/>
      </w:r>
      <w:r>
        <w:t xml:space="preserve"> of mercy and good fruits, without partiality,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heaviness.</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 among</w:t>
      </w:r>
      <w:r>
        <w:rPr>
          <w:rStyle w:val="FootnoteReference"/>
        </w:rPr>
        <w:footnoteReference w:id="17291"/>
      </w:r>
      <w:r>
        <w:t xml:space="preserve"> you afflicted? let him pray. Is any merry</w:t>
      </w:r>
      <w:r>
        <w:rPr>
          <w:rStyle w:val="FootnoteReference"/>
        </w:rPr>
        <w:footnoteReference w:id="17292"/>
      </w:r>
      <w:r>
        <w:t xml:space="preserve">? let him sing</w:t>
      </w:r>
      <w:r>
        <w:rPr>
          <w:rStyle w:val="FootnoteReference"/>
        </w:rPr>
        <w:footnoteReference w:id="17293"/>
      </w:r>
      <w:r>
        <w:t xml:space="preserve"> psalms.</w:t>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subject</w:t>
      </w:r>
      <w:r>
        <w:rPr>
          <w:rStyle w:val="FootnoteReference"/>
        </w:rPr>
        <w:footnoteReference w:id="17304"/>
      </w:r>
      <w:r>
        <w:t xml:space="preserve"> to like passions as we are, and he prayed earnestly that it might not rain: and it rained not</w:t>
      </w:r>
      <w:r>
        <w:rPr>
          <w:rStyle w:val="FootnoteReference"/>
        </w:rPr>
        <w:footnoteReference w:id="17305"/>
      </w:r>
      <w:r>
        <w:t xml:space="preserve"> on the earth by the space of three years and six months.</w:t>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even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the precious blood of Christ, as of a lamb without blemish and without spot: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guile</w:t>
      </w:r>
      <w:r>
        <w:rPr>
          <w:rStyle w:val="FootnoteReference"/>
        </w:rPr>
        <w:footnoteReference w:id="17497"/>
      </w:r>
      <w:r>
        <w:t xml:space="preserve"> found in his mouth:</w:t>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adorning let</w:t>
      </w:r>
      <w:r>
        <w:rPr>
          <w:rStyle w:val="FootnoteReference"/>
        </w:rPr>
        <w:footnoteReference w:id="17516"/>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Use hospitality</w:t>
      </w:r>
      <w:r>
        <w:rPr>
          <w:rStyle w:val="FootnoteReference"/>
        </w:rPr>
        <w:footnoteReference w:id="17614"/>
      </w:r>
      <w:r>
        <w:t xml:space="preserve"> one to another without grudging.</w:t>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care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p>
    <w:p>
      <w:r>
        <w:rPr>
          <w:b/>
        </w:rPr>
        <w:t xml:space="preserve">6 </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this voice which came from heaven we heard, when we were with him in the holy</w:t>
      </w:r>
      <w:r>
        <w:rPr>
          <w:rStyle w:val="FootnoteReference"/>
        </w:rPr>
        <w:footnoteReference w:id="17782"/>
      </w:r>
      <w:r>
        <w:t xml:space="preserve"> mount.</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the scripture is of any private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that he has promised us, even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p>
    <w:p>
      <w:r>
        <w:rPr>
          <w:b/>
        </w:rPr>
        <w:t xml:space="preserve">3 </w:t>
      </w:r>
      <w:r>
        <w:t xml:space="preserve">And every man that has this hope in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condemn us not, then have we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of the world: therefore speak they of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have we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record,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of God, and the whole world lies in wickedness</w:t>
      </w:r>
      <w:r>
        <w:rPr>
          <w:rStyle w:val="FootnoteReference"/>
        </w:rPr>
        <w:footnoteReference w:id="18207"/>
      </w:r>
      <w:r>
        <w:t xml:space="preserve">.</w:t>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for "place":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for "sensual": 1Cor 2:14.</w:t>
      </w:r>
    </w:p>
  </w:footnote>
  <w:footnote w:id="17206">
    <w:p>
      <w:pPr>
        <w:pStyle w:val="FootnoteText"/>
      </w:pPr>
      <w:r>
        <w:rPr>
          <w:rStyle w:val="FootnoteReference"/>
        </w:rPr>
        <w:footnoteRef/>
      </w:r>
      <w:r>
        <w:t xml:space="preserve"> Cross-references for "devilish": Gen 3:1-5; John 8:44; Acts 13:10; 2Cor 11:3; 2Cor 11:13-15; 1John 3:8-10; Jude 1:19; Rev 9:11; Rev 12:9.</w:t>
      </w:r>
    </w:p>
  </w:footnote>
  <w:footnote w:id="1720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2">
    <w:p>
      <w:pPr>
        <w:pStyle w:val="FootnoteText"/>
      </w:pPr>
      <w:r>
        <w:rPr>
          <w:rStyle w:val="FootnoteReference"/>
        </w:rPr>
        <w:footnoteRef/>
      </w:r>
      <w:r>
        <w:t xml:space="preserve"> Cross-references for "any merry": Judg 16:23-25; Dan 5:4.</w:t>
      </w:r>
    </w:p>
  </w:footnote>
  <w:footnote w:id="17293">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for "subject": Acts 10:26; Acts 14:15.</w:t>
      </w:r>
    </w:p>
  </w:footnote>
  <w:footnote w:id="17305">
    <w:p>
      <w:pPr>
        <w:pStyle w:val="FootnoteText"/>
      </w:pPr>
      <w:r>
        <w:rPr>
          <w:rStyle w:val="FootnoteReference"/>
        </w:rPr>
        <w:footnoteRef/>
      </w:r>
      <w:r>
        <w:t xml:space="preserve"> Cross-references for "and it rained not": Luke 4:25.</w:t>
      </w:r>
    </w:p>
  </w:footnote>
  <w:footnote w:id="17306">
    <w:p>
      <w:pPr>
        <w:pStyle w:val="FootnoteText"/>
      </w:pPr>
      <w:r>
        <w:rPr>
          <w:rStyle w:val="FootnoteReference"/>
        </w:rPr>
        <w:footnoteRef/>
      </w:r>
      <w:r>
        <w:t xml:space="preserve"> Cross-references: 1Kgs 17:1.</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