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inheritance incorruptible</w:t>
      </w:r>
      <w:r>
        <w:rPr>
          <w:rStyle w:val="FootnoteReference"/>
        </w:rPr>
        <w:footnoteReference w:id="17344"/>
      </w:r>
      <w:r>
        <w:t xml:space="preserve">, and undefiled</w:t>
      </w:r>
      <w:r>
        <w:rPr>
          <w:rStyle w:val="FootnoteReference"/>
        </w:rPr>
        <w:footnoteReference w:id="17345"/>
      </w:r>
      <w:r>
        <w:t xml:space="preserve">, and that fades not away, reserved</w:t>
      </w:r>
      <w:r>
        <w:rPr>
          <w:rStyle w:val="FootnoteReference"/>
        </w:rPr>
        <w:footnoteReference w:id="17346"/>
      </w:r>
      <w:r>
        <w:t xml:space="preserve"> in heaven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even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obedient</w:t>
      </w:r>
      <w:r>
        <w:rPr>
          <w:rStyle w:val="FootnoteReference"/>
        </w:rPr>
        <w:footnoteReference w:id="17382"/>
      </w:r>
      <w:r>
        <w:t xml:space="preserve"> children, not fashioning yourselves according to the former lusts in your ignorance:</w:t>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the precious blood of Christ, as of a lamb without blemish and without spot: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Which in time past were not a people, but are now the people of God: which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Dearly beloved, I plead to you as strangers and pilgrims, abstain</w:t>
      </w:r>
      <w:r>
        <w:rPr>
          <w:rStyle w:val="FootnoteReference"/>
        </w:rPr>
        <w:footnoteReference w:id="17464"/>
      </w:r>
      <w:r>
        <w:t xml:space="preserve"> from fleshly lusts,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Servants, be subject to your masters with all fear;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deserves giving of thanks, if a man for conscience</w:t>
      </w:r>
      <w:r>
        <w:rPr>
          <w:rStyle w:val="FootnoteReference"/>
        </w:rPr>
        <w:footnoteReference w:id="17489"/>
      </w:r>
      <w:r>
        <w:t xml:space="preserve"> toward God endure grief, suffering</w:t>
      </w:r>
      <w:r>
        <w:rPr>
          <w:rStyle w:val="FootnoteReference"/>
        </w:rPr>
        <w:footnoteReference w:id="17490"/>
      </w:r>
      <w:r>
        <w:t xml:space="preserve"> wrongfully.</w:t>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guile</w:t>
      </w:r>
      <w:r>
        <w:rPr>
          <w:rStyle w:val="FootnoteReference"/>
        </w:rPr>
        <w:footnoteReference w:id="17497"/>
      </w:r>
      <w:r>
        <w:t xml:space="preserve"> found in his mouth:</w:t>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adorning let</w:t>
      </w:r>
      <w:r>
        <w:rPr>
          <w:rStyle w:val="FootnoteReference"/>
        </w:rPr>
        <w:footnoteReference w:id="17516"/>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shun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That he no longer should live the rest of his time in the flesh to the lusts</w:t>
      </w:r>
      <w:r>
        <w:rPr>
          <w:rStyle w:val="FootnoteReference"/>
        </w:rPr>
        <w:footnoteReference w:id="17593"/>
      </w:r>
      <w:r>
        <w:t xml:space="preserve"> of men, but to the will</w:t>
      </w:r>
      <w:r>
        <w:rPr>
          <w:rStyle w:val="FootnoteReference"/>
        </w:rPr>
        <w:footnoteReference w:id="17594"/>
      </w:r>
      <w:r>
        <w:t xml:space="preserve"> of God</w:t>
      </w:r>
      <w:r>
        <w:rPr>
          <w:rStyle w:val="FootnoteReference"/>
        </w:rPr>
        <w:footnoteReference w:id="17595"/>
      </w:r>
      <w:r>
        <w:t xml:space="preserve">.</w:t>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Use hospitality</w:t>
      </w:r>
      <w:r>
        <w:rPr>
          <w:rStyle w:val="FootnoteReference"/>
        </w:rPr>
        <w:footnoteReference w:id="17614"/>
      </w:r>
      <w:r>
        <w:t xml:space="preserve"> one to another without grudging.</w:t>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as a thief, or as an evildoer, or as a busybody</w:t>
      </w:r>
      <w:r>
        <w:rPr>
          <w:rStyle w:val="FootnoteReference"/>
        </w:rPr>
        <w:footnoteReference w:id="17640"/>
      </w:r>
      <w:r>
        <w:t xml:space="preserve"> in other men's matters.</w:t>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8"/>
      </w:r>
      <w:r>
        <w:t xml:space="preserve"> appear?</w:t>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Neither as being lords over God's heritage</w:t>
      </w:r>
      <w:r>
        <w:rPr>
          <w:rStyle w:val="FootnoteReference"/>
        </w:rPr>
        <w:footnoteReference w:id="17670"/>
      </w:r>
      <w:r>
        <w:t xml:space="preserve">, but being ensamples to the flock.</w:t>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care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be vigilant; because your adversary the devil</w:t>
      </w:r>
      <w:r>
        <w:rPr>
          <w:rStyle w:val="FootnoteReference"/>
        </w:rPr>
        <w:footnoteReference w:id="17687"/>
      </w:r>
      <w:r>
        <w:t xml:space="preserve">, as a roaring lion, walks about,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p>
    <w:p>
      <w:r>
        <w:rPr>
          <w:b/>
        </w:rPr>
        <w:t xml:space="preserve">6 </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this voice which came from heaven we heard, when we were with him in the holy</w:t>
      </w:r>
      <w:r>
        <w:rPr>
          <w:rStyle w:val="FootnoteReference"/>
        </w:rPr>
        <w:footnoteReference w:id="17782"/>
      </w:r>
      <w:r>
        <w:t xml:space="preserve"> mount.</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the scripture is of any private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that he has promised us, even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p>
    <w:p>
      <w:r>
        <w:rPr>
          <w:b/>
        </w:rPr>
        <w:t xml:space="preserve">3 </w:t>
      </w:r>
      <w:r>
        <w:t xml:space="preserve">And every man that has this hope in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condemn us not, then have we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of the world: therefore speak they of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have we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record,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of God, and the whole world lies in wickedness</w:t>
      </w:r>
      <w:r>
        <w:rPr>
          <w:rStyle w:val="FootnoteReference"/>
        </w:rPr>
        <w:footnoteReference w:id="18207"/>
      </w:r>
      <w:r>
        <w:t xml:space="preserve">.</w:t>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to hear that my children walk</w:t>
      </w:r>
      <w:r>
        <w:rPr>
          <w:rStyle w:val="FootnoteReference"/>
        </w:rPr>
        <w:footnoteReference w:id="18254"/>
      </w:r>
      <w:r>
        <w:t xml:space="preserve"> in truth.</w:t>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of some have compassion, making a difference:</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have seen, and the things which are, and the things which shall be hereafter;</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deeds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p>
    <w:p>
      <w:r>
        <w:rPr>
          <w:b/>
        </w:rPr>
        <w:t xml:space="preserve">16 </w:t>
      </w:r>
      <w:r>
        <w:t xml:space="preserve">So then because you are lukewarm, and neither cold nor hot, I will spew you out of my mouth.</w:t>
      </w:r>
      <w:r>
        <w:rPr>
          <w:rStyle w:val="FootnoteReference"/>
        </w:rPr>
        <w:footnoteReference w:id="18611"/>
      </w:r>
    </w:p>
    <w:p>
      <w:r>
        <w:rPr>
          <w:b/>
        </w:rPr>
        <w:t xml:space="preserve">17 </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had opened the second seal, I heard the second beast say,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p>
    <w:p>
      <w:r>
        <w:rPr>
          <w:b/>
        </w:rPr>
        <w:t xml:space="preserve">10 </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p>
    <w:p>
      <w:r>
        <w:rPr>
          <w:b/>
        </w:rPr>
        <w:t xml:space="preserve">11 </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for "obedient":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"for conscience": Matt 5:10-12; John 15:21; Rom 13:5; 2Tim 1:12; 1Pet 3:14-17.</w:t>
      </w:r>
    </w:p>
  </w:footnote>
  <w:footnote w:id="17490">
    <w:p>
      <w:pPr>
        <w:pStyle w:val="FootnoteText"/>
      </w:pPr>
      <w:r>
        <w:rPr>
          <w:rStyle w:val="FootnoteReference"/>
        </w:rPr>
        <w:footnoteRef/>
      </w:r>
      <w:r>
        <w:t xml:space="preserve"> Cross-references for "suffering": Job 21:27; Ps 35:19; Ps 38:19; Ps 69:4; Ps 119:86.</w:t>
      </w:r>
    </w:p>
  </w:footnote>
  <w:footnote w:id="17491">
    <w:p>
      <w:pPr>
        <w:pStyle w:val="FootnoteText"/>
      </w:pPr>
      <w:r>
        <w:rPr>
          <w:rStyle w:val="FootnoteReference"/>
        </w:rPr>
        <w:footnoteRef/>
      </w:r>
      <w:r>
        <w:t xml:space="preserve"> Cross-references: Acts 11:23; 1Cor 15:10; 2Cor 1:12; 2Cor 8:1.</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for "guile": John 1:47; Rev 14:5.</w:t>
      </w:r>
    </w:p>
  </w:footnote>
  <w:footnote w:id="1749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for "adorning let":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lusts": Hos 6:7; Mark 7:21; Eph 2:3.</w:t>
      </w:r>
    </w:p>
  </w:footnote>
  <w:footnote w:id="17594">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8">
    <w:p>
      <w:pPr>
        <w:pStyle w:val="FootnoteText"/>
      </w:pPr>
      <w:r>
        <w:rPr>
          <w:rStyle w:val="FootnoteReference"/>
        </w:rPr>
        <w:footnoteRef/>
      </w:r>
      <w:r>
        <w:t xml:space="preserve"> Cross-references: Rom 7:4; Rom 14:7; Eph 4:17; Eph 4:22-24; Eph 5:7-8; Col 3:7-8; Titus 3:3-8; 1Pet 2:1; 1Pet 2:14.</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for "hospitality":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for "a busybody":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for "the sinner": Gen 13:13; 1Sam 15:18; Luke 15:1; Rom 5:8.</w:t>
      </w:r>
    </w:p>
  </w:footnote>
  <w:footnote w:id="1764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for "heritage": Deut 32:9; Ps 33:12; Ps 74:2; Mic 7:14; Acts 20:28; 1Pet 2:9.</w:t>
      </w:r>
    </w:p>
  </w:footnote>
  <w:footnote w:id="17671">
    <w:p>
      <w:pPr>
        <w:pStyle w:val="FootnoteText"/>
      </w:pPr>
      <w:r>
        <w:rPr>
          <w:rStyle w:val="FootnoteReference"/>
        </w:rPr>
        <w:footnoteRef/>
      </w:r>
      <w:r>
        <w:t xml:space="preserve"> Cross-references: Ezek 34:4; Matt 20:25-26; Matt 23:8-10; Mark 10:42-45; Luke 22:24-27; 1Cor 3:5; 1Cor 3:9; 2Cor 1:24; 2Cor 4:5; 3John 1:9-10.</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