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4"/>
      </w:r>
      <w:r>
        <w:t xml:space="preserve">, and undefiled</w:t>
      </w:r>
      <w:r>
        <w:rPr>
          <w:rStyle w:val="FootnoteReference"/>
        </w:rPr>
        <w:footnoteReference w:id="17345"/>
      </w:r>
      <w:r>
        <w:t xml:space="preserve">, and that fades not away, reserved</w:t>
      </w:r>
      <w:r>
        <w:rPr>
          <w:rStyle w:val="FootnoteReference"/>
        </w:rPr>
        <w:footnoteReference w:id="17346"/>
      </w:r>
      <w:r>
        <w:t xml:space="preserve"> in heaven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2"/>
      </w:r>
      <w:r>
        <w:t xml:space="preserve"> children, not fashioning yourselves according to the former lusts in your ignorance:</w:t>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4"/>
      </w:r>
      <w:r>
        <w:t xml:space="preserve"> from fleshly lusts,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9"/>
      </w:r>
      <w:r>
        <w:t xml:space="preserve"> toward God endure grief, suffering</w:t>
      </w:r>
      <w:r>
        <w:rPr>
          <w:rStyle w:val="FootnoteReference"/>
        </w:rPr>
        <w:footnoteReference w:id="17490"/>
      </w:r>
      <w:r>
        <w:t xml:space="preserve"> wrongfully.</w:t>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7"/>
      </w:r>
      <w:r>
        <w:t xml:space="preserve"> found in his mouth:</w:t>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6"/>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4"/>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care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for "obedient":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"for conscience": Matt 5:10-12; John 15:21; Rom 13:5; 2Tim 1:12; 1Pet 3:14-17.</w:t>
      </w:r>
    </w:p>
  </w:footnote>
  <w:footnote w:id="17490">
    <w:p>
      <w:pPr>
        <w:pStyle w:val="FootnoteText"/>
      </w:pPr>
      <w:r>
        <w:rPr>
          <w:rStyle w:val="FootnoteReference"/>
        </w:rPr>
        <w:footnoteRef/>
      </w:r>
      <w:r>
        <w:t xml:space="preserve"> Cross-references for "suffering": Job 21:27; Ps 35:19; Ps 38:19; Ps 69:4; Ps 119:86.</w:t>
      </w:r>
    </w:p>
  </w:footnote>
  <w:footnote w:id="17491">
    <w:p>
      <w:pPr>
        <w:pStyle w:val="FootnoteText"/>
      </w:pPr>
      <w:r>
        <w:rPr>
          <w:rStyle w:val="FootnoteReference"/>
        </w:rPr>
        <w:footnoteRef/>
      </w:r>
      <w:r>
        <w:t xml:space="preserve"> Cross-references: Acts 11:23; 1Cor 15:10; 2Cor 1:12; 2Cor 8:1.</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for "guile": John 1:47; Rev 14:5.</w:t>
      </w:r>
    </w:p>
  </w:footnote>
  <w:footnote w:id="1749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