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735"/>
      </w:r>
      <w:r>
        <w:t xml:space="preserve"> desiring to be clothed</w:t>
      </w:r>
      <w:r>
        <w:rPr>
          <w:rStyle w:val="FootnoteReference"/>
        </w:rPr>
        <w:footnoteReference w:id="12736"/>
      </w:r>
      <w:r>
        <w:t xml:space="preserve"> upon with our house which is from heaven:</w:t>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738"/>
      </w:r>
      <w:r>
        <w:t xml:space="preserve"> are in this tabernacle do groan, being burdened: not for that we would be unclothed, but clothed upon, that mortality</w:t>
      </w:r>
      <w:r>
        <w:rPr>
          <w:rStyle w:val="FootnoteReference"/>
        </w:rPr>
        <w:footnoteReference w:id="12739"/>
      </w:r>
      <w:r>
        <w:t xml:space="preserve"> might be swallowed up of life.</w:t>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776"/>
      </w:r>
      <w:r>
        <w:t xml:space="preserve"> Christ, and has given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801"/>
      </w:r>
      <w:r>
        <w:t xml:space="preserve"> things approving</w:t>
      </w:r>
      <w:r>
        <w:rPr>
          <w:rStyle w:val="FootnoteReference"/>
        </w:rPr>
        <w:footnoteReference w:id="12802"/>
      </w:r>
      <w:r>
        <w:t xml:space="preserve"> ourselves as the ministers of God, in much</w:t>
      </w:r>
      <w:r>
        <w:rPr>
          <w:rStyle w:val="FootnoteReference"/>
        </w:rPr>
        <w:footnoteReference w:id="12803"/>
      </w:r>
      <w:r>
        <w:t xml:space="preserve"> patience, in afflictions</w:t>
      </w:r>
      <w:r>
        <w:rPr>
          <w:rStyle w:val="FootnoteReference"/>
        </w:rPr>
        <w:footnoteReference w:id="12804"/>
      </w:r>
      <w:r>
        <w:t xml:space="preserve">, in necessities</w:t>
      </w:r>
      <w:r>
        <w:rPr>
          <w:rStyle w:val="FootnoteReference"/>
        </w:rPr>
        <w:footnoteReference w:id="12805"/>
      </w:r>
      <w:r>
        <w:t xml:space="preserve">, in distresses</w:t>
      </w:r>
      <w:r>
        <w:rPr>
          <w:rStyle w:val="FootnoteReference"/>
        </w:rPr>
        <w:footnoteReference w:id="12806"/>
      </w:r>
      <w:r>
        <w:t xml:space="preserve">,</w:t>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876"/>
      </w:r>
      <w:r>
        <w:t xml:space="preserve"> us by the coming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883"/>
      </w:r>
      <w:r>
        <w:t xml:space="preserve"> you sorry with a letter, I do not repent, though I did</w:t>
      </w:r>
      <w:r>
        <w:rPr>
          <w:rStyle w:val="FootnoteReference"/>
        </w:rPr>
        <w:footnoteReference w:id="12884"/>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888"/>
      </w:r>
      <w:r>
        <w:t xml:space="preserve"> to salvation not to be repented of: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8"/>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8"/>
      </w:r>
      <w:r>
        <w:rPr>
          <w:rStyle w:val="FootnoteReference"/>
        </w:rPr>
        <w:footnoteReference w:id="12989"/>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4"/>
      </w:r>
      <w:r>
        <w:t xml:space="preserve"> be to God for his unspeakable gift.</w:t>
      </w:r>
      <w:r>
        <w:rPr>
          <w:rStyle w:val="FootnoteReference"/>
        </w:rPr>
        <w:footnoteReference w:id="13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2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7"/>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8"/>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39"/>
      </w:r>
      <w:r>
        <w:rPr>
          <w:rStyle w:val="FootnoteReference"/>
        </w:rPr>
        <w:footnoteReference w:id="1314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8"/>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2"/>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0"/>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6"/>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7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4"/>
      </w:r>
      <w:r>
        <w:t xml:space="preserve"> not a mediator of one, but God is one.</w:t>
      </w:r>
      <w:r>
        <w:rPr>
          <w:rStyle w:val="FootnoteReference"/>
        </w:rPr>
        <w:footnoteReference w:id="1344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7"/>
      </w:r>
      <w:r>
        <w:t xml:space="preserve"> has come, we are no longer under a schoolmaster.</w:t>
      </w:r>
      <w:r>
        <w:rPr>
          <w:rStyle w:val="FootnoteReference"/>
        </w:rPr>
        <w:footnoteReference w:id="1345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5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8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6"/>
      </w:r>
      <w:r>
        <w:t xml:space="preserve"> afraid of you, lest I have bestowed upon you labor in vain.</w:t>
      </w:r>
      <w:r>
        <w:rPr>
          <w:rStyle w:val="FootnoteReference"/>
        </w:rPr>
        <w:footnoteReference w:id="1349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8"/>
      </w:r>
      <w:r>
        <w:rPr>
          <w:rStyle w:val="FootnoteReference"/>
        </w:rPr>
        <w:footnoteReference w:id="1349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0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0"/>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1"/>
      </w:r>
      <w:r>
        <w:t xml:space="preserve"> was, are the children of promise.</w:t>
      </w:r>
      <w:r>
        <w:rPr>
          <w:rStyle w:val="FootnoteReference"/>
        </w:rPr>
        <w:footnoteReference w:id="1354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6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7"/>
      </w:r>
      <w:r>
        <w:t xml:space="preserve"> you.</w:t>
      </w:r>
      <w:r>
        <w:rPr>
          <w:rStyle w:val="FootnoteReference"/>
        </w:rPr>
        <w:footnoteReference w:id="1357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2"/>
      </w:r>
      <w:r>
        <w:rPr>
          <w:rStyle w:val="FootnoteReference"/>
        </w:rPr>
        <w:footnoteReference w:id="1358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4"/>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0"/>
      </w:r>
      <w:r>
        <w:rPr>
          <w:rStyle w:val="FootnoteReference"/>
        </w:rPr>
        <w:footnoteReference w:id="13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6"/>
      </w:r>
      <w:r>
        <w:t xml:space="preserve"> such there is no law.</w:t>
      </w:r>
      <w:r>
        <w:rPr>
          <w:rStyle w:val="FootnoteReference"/>
        </w:rPr>
        <w:footnoteReference w:id="13607"/>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0"/>
      </w:r>
      <w:r>
        <w:rPr>
          <w:rStyle w:val="FootnoteReference"/>
        </w:rPr>
        <w:footnoteReference w:id="13611"/>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1"/>
      </w:r>
      <w:r>
        <w:rPr>
          <w:rStyle w:val="FootnoteReference"/>
        </w:rPr>
        <w:footnoteReference w:id="13622"/>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6"/>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7"/>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5"/>
      </w:r>
      <w:r>
        <w:rPr>
          <w:rStyle w:val="FootnoteReference"/>
        </w:rPr>
        <w:footnoteReference w:id="1365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3"/>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1"/>
      </w:r>
      <w:r>
        <w:rPr>
          <w:rStyle w:val="FootnoteReference"/>
        </w:rPr>
        <w:footnoteReference w:id="13692"/>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699"/>
      </w:r>
      <w:r>
        <w:rPr>
          <w:rStyle w:val="FootnoteReference"/>
        </w:rPr>
        <w:footnoteReference w:id="1370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1"/>
      </w:r>
      <w:r>
        <w:rPr>
          <w:rStyle w:val="FootnoteReference"/>
        </w:rPr>
        <w:footnoteReference w:id="13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3"/>
      </w:r>
      <w:r>
        <w:t xml:space="preserve"> in trespasses and sins;</w:t>
      </w:r>
      <w:r>
        <w:rPr>
          <w:rStyle w:val="FootnoteReference"/>
        </w:rPr>
        <w:footnoteReference w:id="13734"/>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7"/>
      </w:r>
      <w:r>
        <w:rPr>
          <w:rStyle w:val="FootnoteReference"/>
        </w:rPr>
        <w:footnoteReference w:id="1378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5"/>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6"/>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7"/>
      </w:r>
      <w:r>
        <w:rPr>
          <w:rStyle w:val="FootnoteReference"/>
        </w:rPr>
        <w:footnoteReference w:id="13838"/>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39"/>
      </w:r>
      <w:r>
        <w:t xml:space="preserve"> of our Lord Jesus Christ,</w:t>
      </w:r>
      <w:r>
        <w:rPr>
          <w:rStyle w:val="FootnoteReference"/>
        </w:rPr>
        <w:footnoteReference w:id="13840"/>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1"/>
      </w:r>
      <w:r>
        <w:t xml:space="preserve"> family in heaven and earth is named,</w:t>
      </w:r>
      <w:r>
        <w:rPr>
          <w:rStyle w:val="FootnoteReference"/>
        </w:rPr>
        <w:footnoteReference w:id="13842"/>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7"/>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2"/>
      </w:r>
      <w:r>
        <w:rPr>
          <w:rStyle w:val="FootnoteReference"/>
        </w:rPr>
        <w:footnoteReference w:id="139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4"/>
      </w:r>
      <w:r>
        <w:t xml:space="preserve"> what is acceptable</w:t>
      </w:r>
      <w:r>
        <w:rPr>
          <w:rStyle w:val="FootnoteReference"/>
        </w:rPr>
        <w:footnoteReference w:id="1398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0"/>
      </w:r>
      <w:r>
        <w:rPr>
          <w:rStyle w:val="FootnoteReference"/>
        </w:rPr>
        <w:footnoteReference w:id="1399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4"/>
      </w:r>
      <w:r>
        <w:t xml:space="preserve"> yourselves one to another in the fear of God.</w:t>
      </w:r>
      <w:r>
        <w:rPr>
          <w:rStyle w:val="FootnoteReference"/>
        </w:rPr>
        <w:footnoteReference w:id="140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6"/>
      </w:r>
      <w:r>
        <w:t xml:space="preserve"> yourselves to your own husbands, as to the Lord.</w:t>
      </w:r>
      <w:r>
        <w:rPr>
          <w:rStyle w:val="FootnoteReference"/>
        </w:rPr>
        <w:footnoteReference w:id="140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3"/>
      </w:r>
      <w:r>
        <w:rPr>
          <w:rStyle w:val="FootnoteReference"/>
        </w:rPr>
        <w:footnoteReference w:id="1402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2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4"/>
      </w:r>
      <w:r>
        <w:t xml:space="preserve"> will doing service, as to the Lord, and not to men:</w:t>
      </w:r>
      <w:r>
        <w:rPr>
          <w:rStyle w:val="FootnoteReference"/>
        </w:rPr>
        <w:footnoteReference w:id="14055"/>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7"/>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4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7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1"/>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1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8"/>
      </w:r>
      <w:r>
        <w:rPr>
          <w:rStyle w:val="FootnoteReference"/>
        </w:rPr>
        <w:footnoteReference w:id="1424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8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19"/>
      </w:r>
      <w:r>
        <w:t xml:space="preserve"> to the resurrection of the dead.</w:t>
      </w:r>
      <w:r>
        <w:rPr>
          <w:rStyle w:val="FootnoteReference"/>
        </w:rPr>
        <w:footnoteReference w:id="1432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"earnestly": Phil 1:23.</w:t>
      </w:r>
    </w:p>
  </w:footnote>
  <w:footnote w:id="12736">
    <w:p>
      <w:pPr>
        <w:pStyle w:val="FootnoteText"/>
      </w:pPr>
      <w:r>
        <w:rPr>
          <w:rStyle w:val="FootnoteReference"/>
        </w:rPr>
        <w:footnoteRef/>
      </w:r>
      <w:r>
        <w:t xml:space="preserve"> Cross-references for "clothed": 1Cor 15:53-54; 2Cor 5:3-4.</w:t>
      </w:r>
    </w:p>
  </w:footnote>
  <w:footnote w:id="12737">
    <w:p>
      <w:pPr>
        <w:pStyle w:val="FootnoteText"/>
      </w:pPr>
      <w:r>
        <w:rPr>
          <w:rStyle w:val="FootnoteReference"/>
        </w:rPr>
        <w:footnoteRef/>
      </w:r>
      <w:r>
        <w:t xml:space="preserve"> Cross-references: Rom 7:24; Rom 8:23; 2Cor 5:4; 1Pet 1:6-7.</w:t>
      </w:r>
    </w:p>
  </w:footnote>
  <w:footnote w:id="12738">
    <w:p>
      <w:pPr>
        <w:pStyle w:val="FootnoteText"/>
      </w:pPr>
      <w:r>
        <w:rPr>
          <w:rStyle w:val="FootnoteReference"/>
        </w:rPr>
        <w:footnoteRef/>
      </w:r>
      <w:r>
        <w:t xml:space="preserve"> Cross-references for "we that": 2Pet 1:13.</w:t>
      </w:r>
    </w:p>
  </w:footnote>
  <w:footnote w:id="12739">
    <w:p>
      <w:pPr>
        <w:pStyle w:val="FootnoteText"/>
      </w:pPr>
      <w:r>
        <w:rPr>
          <w:rStyle w:val="FootnoteReference"/>
        </w:rPr>
        <w:footnoteRef/>
      </w:r>
      <w:r>
        <w:t xml:space="preserve"> Cross-references for "that mortality": Isa 25:8; 1Cor 15:53-54.</w:t>
      </w:r>
    </w:p>
  </w:footnote>
  <w:footnote w:id="12740">
    <w:p>
      <w:pPr>
        <w:pStyle w:val="FootnoteText"/>
      </w:pPr>
      <w:r>
        <w:rPr>
          <w:rStyle w:val="FootnoteReference"/>
        </w:rPr>
        <w:footnoteRef/>
      </w:r>
      <w:r>
        <w:t xml:space="preserve"> Cross-references: 2Cor 5:2.</w:t>
      </w:r>
    </w:p>
  </w:footnote>
  <w:footnote w:id="12741">
    <w:p>
      <w:pPr>
        <w:pStyle w:val="FootnoteText"/>
      </w:pPr>
      <w:r>
        <w:rPr>
          <w:rStyle w:val="FootnoteReference"/>
        </w:rPr>
        <w:footnoteRef/>
      </w:r>
      <w:r>
        <w:t xml:space="preserve"> Cross-references: 2Cor 5:3.</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all": Acts 2:22; Rom 14:18; Rom 16:10; 1Cor 9:11; 2Cor 2:17; 2Cor 7:11; 1Thess 2:3-11; 1Tim 2:15.</w:t>
      </w:r>
    </w:p>
  </w:footnote>
  <w:footnote w:id="12802">
    <w:p>
      <w:pPr>
        <w:pStyle w:val="FootnoteText"/>
      </w:pPr>
      <w:r>
        <w:rPr>
          <w:rStyle w:val="FootnoteReference"/>
        </w:rPr>
        <w:footnoteRef/>
      </w:r>
      <w:r>
        <w:t xml:space="preserve"> Cross-references for "approving": Rom 5:8; 2Cor 4:2.</w:t>
      </w:r>
    </w:p>
  </w:footnote>
  <w:footnote w:id="12803">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4">
    <w:p>
      <w:pPr>
        <w:pStyle w:val="FootnoteText"/>
      </w:pPr>
      <w:r>
        <w:rPr>
          <w:rStyle w:val="FootnoteReference"/>
        </w:rPr>
        <w:footnoteRef/>
      </w:r>
      <w:r>
        <w:t xml:space="preserve"> Cross-references for "afflictions": Acts 20:23-24; 2Cor 4:17; Col 1:24; 1Thess 3:3; 2Tim 1:8; 2Tim 3:11-12; 2Tim 4:5.</w:t>
      </w:r>
    </w:p>
  </w:footnote>
  <w:footnote w:id="12805">
    <w:p>
      <w:pPr>
        <w:pStyle w:val="FootnoteText"/>
      </w:pPr>
      <w:r>
        <w:rPr>
          <w:rStyle w:val="FootnoteReference"/>
        </w:rPr>
        <w:footnoteRef/>
      </w:r>
      <w:r>
        <w:t xml:space="preserve"> Cross-references for "necessities": Acts 20:34; 1Cor 4:11-12; 2Cor 11:9; 2Cor 11:27; 2Cor 12:10; Phil 4:11-12.</w:t>
      </w:r>
    </w:p>
  </w:footnote>
  <w:footnote w:id="12806">
    <w:p>
      <w:pPr>
        <w:pStyle w:val="FootnoteText"/>
      </w:pPr>
      <w:r>
        <w:rPr>
          <w:rStyle w:val="FootnoteReference"/>
        </w:rPr>
        <w:footnoteRef/>
      </w:r>
      <w:r>
        <w:t xml:space="preserve"> Cross-references for "distresses": Rom 8:35-36; 2Cor 4:8; 1Thess 3:7.</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884">
    <w:p>
      <w:pPr>
        <w:pStyle w:val="FootnoteText"/>
      </w:pPr>
      <w:r>
        <w:rPr>
          <w:rStyle w:val="FootnoteReference"/>
        </w:rPr>
        <w:footnoteRef/>
      </w:r>
      <w:r>
        <w:t xml:space="preserve"> Cross-references for "though I did": Exod 5:22-23; Jer 20:7-9.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