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Frag. 4QTobit a ar (4Q196), 4QTobit b ar (4Q197), 4QTobit c ar (4Q198), 4QTobit d ar (4Q199), and 4QTobit e heb (4Q200) 2nd-1st centuries BC | Subst. 4QTobit a ar (4Q196), 4QTobit b ar (4Q197), 4QTobit c ar (4Q198), 4QTobit d ar (4Q199), and 4QTobit e heb (4Q200) provide the earliest surviving Tobit evidence 2nd-1st centuries BC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Frag. 2QSir (2Q18), 11QPsa (11Q5), and the Masada Ben Sira scroll (MasSir) preserve Hebrew Sirach material; the Greek translator's prologue is early reception evidence ca. 37 BC-AD 70 for 2Q18 and 11Q5; first half of 1st century BC for MasSir | Subst. Masada Ben Sira scroll (MasSir), preserving substantial Hebrew Sirach material first half of 1st century BC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fierce anger</w:t>
      </w:r>
      <w:r>
        <w:rPr>
          <w:rStyle w:val="FootnoteReference"/>
        </w:rPr>
        <w:footnoteReference w:id="1"/>
      </w:r>
      <w:r>
        <w:t xml:space="preserve">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Gk. Codex Alexandrinus preserves 1 Maccabees in Greek 5th century AD</w:t>
      </w:r>
    </w:p>
    <w:p>
      <w:r>
        <w:rPr>
          <w:b/>
        </w:rPr>
        <w:t xml:space="preserve">Earliest External Attestation. </w:t>
      </w:r>
      <w:r>
        <w:t xml:space="preserve">Antiquities of the Jews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fierce anger</w:t>
      </w:r>
      <w:r>
        <w:rPr>
          <w:rStyle w:val="FootnoteReference"/>
        </w:rPr>
        <w:footnoteReference w:id="2"/>
      </w:r>
      <w:r>
        <w:t xml:space="preserve">.</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his anger burned</w:t>
      </w:r>
      <w:r>
        <w:rPr>
          <w:rStyle w:val="FootnoteReference"/>
        </w:rPr>
        <w:footnoteReference w:id="3"/>
      </w:r>
      <w:r>
        <w:t xml:space="preserve">, and he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his anger burned against the lawless men</w:t>
      </w:r>
      <w:r>
        <w:rPr>
          <w:rStyle w:val="FootnoteReference"/>
        </w:rPr>
        <w:footnoteReference w:id="4"/>
      </w:r>
      <w:r>
        <w:t xml:space="preserve">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come into their borders again</w:t>
      </w:r>
      <w:r>
        <w:rPr>
          <w:rStyle w:val="FootnoteReference"/>
        </w:rPr>
        <w:footnoteReference w:id="5"/>
      </w:r>
      <w:r>
        <w:t xml:space="preserve">.</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Gk. Codex Vaticanus and Alexandrinus preserve 1 Esdras in Greek 4th-5th century AD</w:t>
      </w:r>
    </w:p>
    <w:p>
      <w:r>
        <w:rPr>
          <w:b/>
        </w:rPr>
        <w:t xml:space="preserve">Earliest External Attestation. </w:t>
      </w:r>
      <w:r>
        <w:t xml:space="preserve">Antiquities of the Jews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Gk. Codex Alexandrinus preserves the Prayer of Manasseh among the Odes 5th century AD</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11QPsa (11Q5), the Great Psalms Scroll, is a substantial early Psalms witness with notable collection features ca. 37 BC-AD 70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literally says wrath of anger. The body renders the doubled anger phrase as fierce anger.</w:t>
      </w:r>
    </w:p>
  </w:footnote>
  <w:footnote w:id="2">
    <w:p>
      <w:pPr>
        <w:pStyle w:val="FootnoteText"/>
      </w:pPr>
      <w:r>
        <w:rPr>
          <w:rStyle w:val="FootnoteReference"/>
        </w:rPr>
        <w:footnoteRef/>
      </w:r>
      <w:r>
        <w:t xml:space="preserve">Translation note: Greek literally says wrath of anger. The body renders the doubled anger phrase as fierce anger.</w:t>
      </w:r>
    </w:p>
  </w:footnote>
  <w:footnote w:id="3">
    <w:p>
      <w:pPr>
        <w:pStyle w:val="FootnoteText"/>
      </w:pPr>
      <w:r>
        <w:rPr>
          <w:rStyle w:val="FootnoteReference"/>
        </w:rPr>
        <w:footnoteRef/>
      </w:r>
      <w:r>
        <w:t xml:space="preserve">Translation note: Greek literally says he was angered with wrath. The body renders the doubled anger idiom as his anger burned.</w:t>
      </w:r>
    </w:p>
  </w:footnote>
  <w:footnote w:id="4">
    <w:p>
      <w:pPr>
        <w:pStyle w:val="FootnoteText"/>
      </w:pPr>
      <w:r>
        <w:rPr>
          <w:rStyle w:val="FootnoteReference"/>
        </w:rPr>
        <w:footnoteRef/>
      </w:r>
      <w:r>
        <w:t xml:space="preserve">Translation note: Greek literally says he was angered with wrath against the lawless men. The body renders the doubled anger idiom as his anger burned.</w:t>
      </w:r>
    </w:p>
  </w:footnote>
  <w:footnote w:id="5">
    <w:p>
      <w:pPr>
        <w:pStyle w:val="FootnoteText"/>
      </w:pPr>
      <w:r>
        <w:rPr>
          <w:rStyle w:val="FootnoteReference"/>
        </w:rPr>
        <w:footnoteRef/>
      </w:r>
      <w:r>
        <w:t xml:space="preserve">Translation note: Greek literally says he did not add again to come into their borders. The body renders the add-to idiom as did not come again.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