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4"/>
      </w:r>
      <w:r>
        <w:t xml:space="preserve"> of low degree rejoice</w:t>
      </w:r>
      <w:r>
        <w:rPr>
          <w:rStyle w:val="FootnoteReference"/>
        </w:rPr>
        <w:footnoteReference w:id="17065"/>
      </w:r>
      <w:r>
        <w:t xml:space="preserve"> in that he is exalted:</w:t>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gift and every perfect gift is from above, and comes down from the</w:t>
      </w:r>
      <w:r>
        <w:rPr>
          <w:rStyle w:val="FootnoteReference"/>
        </w:rPr>
        <w:footnoteReference w:id="17078"/>
      </w:r>
      <w:r>
        <w:t xml:space="preserve"> Father of lights, with whom is no variableness</w:t>
      </w:r>
      <w:r>
        <w:rPr>
          <w:rStyle w:val="FootnoteReference"/>
        </w:rPr>
        <w:footnoteReference w:id="17079"/>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religion and undefiled before God and the Father is this, To visit</w:t>
      </w:r>
      <w:r>
        <w:rPr>
          <w:rStyle w:val="FootnoteReference"/>
        </w:rPr>
        <w:footnoteReference w:id="17102"/>
      </w:r>
      <w:r>
        <w:t xml:space="preserve"> the fatherless and widows in their affliction, and to keep</w:t>
      </w:r>
      <w:r>
        <w:rPr>
          <w:rStyle w:val="FootnoteReference"/>
        </w:rPr>
        <w:footnoteReference w:id="17103"/>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2"/>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when he had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for "patience":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for "the brother": Deut 15:7; Deut 15:9; Deut 15:11; Ps 62:9; Prov 17:5; Prov 19:1; Luke 1:52; Jas 2:5-6.</w:t>
      </w:r>
    </w:p>
  </w:footnote>
  <w:footnote w:id="17065">
    <w:p>
      <w:pPr>
        <w:pStyle w:val="FootnoteText"/>
      </w:pPr>
      <w:r>
        <w:rPr>
          <w:rStyle w:val="FootnoteReference"/>
        </w:rPr>
        <w:footnoteRef/>
      </w:r>
      <w:r>
        <w:t xml:space="preserve"> Cross-references for "rejoice":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for "no variableness":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