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this, that the trying of your faith works patience</w:t>
      </w:r>
      <w:r>
        <w:rPr>
          <w:rStyle w:val="FootnoteReference"/>
        </w:rPr>
        <w:footnoteReference w:id="17053"/>
      </w:r>
      <w:r>
        <w:t xml:space="preserve">.</w:t>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If any of you lack wisdom, let him ask of God, that gives to all men liberally, and reproaches not; and it shall be given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 minded man is unstable in all his ways.</w:t>
      </w:r>
      <w:r>
        <w:rPr>
          <w:rStyle w:val="FootnoteReference"/>
        </w:rPr>
        <w:footnoteReference w:id="17063"/>
      </w:r>
    </w:p>
    <w:p>
      <w:r>
        <w:rPr>
          <w:b/>
        </w:rPr>
        <w:t xml:space="preserve">9 </w:t>
      </w:r>
      <w:r>
        <w:t xml:space="preserve">Let the brother</w:t>
      </w:r>
      <w:r>
        <w:rPr>
          <w:rStyle w:val="FootnoteReference"/>
        </w:rPr>
        <w:footnoteReference w:id="17064"/>
      </w:r>
      <w:r>
        <w:t xml:space="preserve"> of low degree rejoice</w:t>
      </w:r>
      <w:r>
        <w:rPr>
          <w:rStyle w:val="FootnoteReference"/>
        </w:rPr>
        <w:footnoteReference w:id="17065"/>
      </w:r>
      <w:r>
        <w:t xml:space="preserve"> in that he is exalted:</w:t>
      </w:r>
      <w:r>
        <w:rPr>
          <w:rStyle w:val="FootnoteReference"/>
        </w:rPr>
        <w:footnoteReference w:id="17066"/>
      </w:r>
    </w:p>
    <w:p>
      <w:r>
        <w:rPr>
          <w:b/>
        </w:rPr>
        <w:t xml:space="preserve">10 </w:t>
      </w:r>
      <w:r>
        <w:t xml:space="preserve">But the rich, in that he is made low: because as the flower of the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gift and every perfect gift is from above, and comes down from the</w:t>
      </w:r>
      <w:r>
        <w:rPr>
          <w:rStyle w:val="FootnoteReference"/>
        </w:rPr>
        <w:footnoteReference w:id="17078"/>
      </w:r>
      <w:r>
        <w:t xml:space="preserve"> Father of lights, with whom is no variableness</w:t>
      </w:r>
      <w:r>
        <w:rPr>
          <w:rStyle w:val="FootnoteReference"/>
        </w:rPr>
        <w:footnoteReference w:id="17079"/>
      </w:r>
      <w:r>
        <w:t xml:space="preserve">, neither shadow of turning.</w:t>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works not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religion and undefiled before God and the Father is this, To visit</w:t>
      </w:r>
      <w:r>
        <w:rPr>
          <w:rStyle w:val="FootnoteReference"/>
        </w:rPr>
        <w:footnoteReference w:id="17102"/>
      </w:r>
      <w:r>
        <w:t xml:space="preserve"> the fatherless and widows in their affliction, and to keep</w:t>
      </w:r>
      <w:r>
        <w:rPr>
          <w:rStyle w:val="FootnoteReference"/>
        </w:rPr>
        <w:footnoteReference w:id="17103"/>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he shall have judgment without mercy, that has showed no mercy; and mercy rejoices against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be naked, and destitute of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Even so faith, if it has not works, is dead, being alone.</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will you know, O vain</w:t>
      </w:r>
      <w:r>
        <w:rPr>
          <w:rStyle w:val="FootnoteReference"/>
        </w:rPr>
        <w:footnoteReference w:id="17152"/>
      </w:r>
      <w:r>
        <w:t xml:space="preserve"> man, that faith without works is dead?</w:t>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when he had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2"/>
      </w:r>
      <w:r>
        <w:t xml:space="preserve">, and has been tamed of mankind:</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fountain send forth at the same place</w:t>
      </w:r>
      <w:r>
        <w:rPr>
          <w:rStyle w:val="FootnoteReference"/>
        </w:rPr>
        <w:footnoteReference w:id="17193"/>
      </w:r>
      <w:r>
        <w:t xml:space="preserve"> sweet water and bitter?</w:t>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even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the precious blood of Christ, as of a lamb without blemish and without spot: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guile</w:t>
      </w:r>
      <w:r>
        <w:rPr>
          <w:rStyle w:val="FootnoteReference"/>
        </w:rPr>
        <w:footnoteReference w:id="17497"/>
      </w:r>
      <w:r>
        <w:t xml:space="preserve"> found in his mouth:</w:t>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adorning let</w:t>
      </w:r>
      <w:r>
        <w:rPr>
          <w:rStyle w:val="FootnoteReference"/>
        </w:rPr>
        <w:footnoteReference w:id="17516"/>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Use hospitality</w:t>
      </w:r>
      <w:r>
        <w:rPr>
          <w:rStyle w:val="FootnoteReference"/>
        </w:rPr>
        <w:footnoteReference w:id="17614"/>
      </w:r>
      <w:r>
        <w:t xml:space="preserve"> one to another without grudging.</w:t>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care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p>
    <w:p>
      <w:r>
        <w:rPr>
          <w:b/>
        </w:rPr>
        <w:t xml:space="preserve">6 </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this voice which came from heaven we heard, when we were with him in the holy</w:t>
      </w:r>
      <w:r>
        <w:rPr>
          <w:rStyle w:val="FootnoteReference"/>
        </w:rPr>
        <w:footnoteReference w:id="17782"/>
      </w:r>
      <w:r>
        <w:t xml:space="preserve"> mount.</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the scripture is of any private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for "patience":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for "the brother": Deut 15:7; Deut 15:9; Deut 15:11; Ps 62:9; Prov 17:5; Prov 19:1; Luke 1:52; Jas 2:5-6.</w:t>
      </w:r>
    </w:p>
  </w:footnote>
  <w:footnote w:id="17065">
    <w:p>
      <w:pPr>
        <w:pStyle w:val="FootnoteText"/>
      </w:pPr>
      <w:r>
        <w:rPr>
          <w:rStyle w:val="FootnoteReference"/>
        </w:rPr>
        <w:footnoteRef/>
      </w:r>
      <w:r>
        <w:t xml:space="preserve"> Cross-references for "rejoice":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for "no variableness":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