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3"/>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4"/>
      </w:r>
      <w:r>
        <w:t xml:space="preserve"> of low degree rejoice</w:t>
      </w:r>
      <w:r>
        <w:rPr>
          <w:rStyle w:val="FootnoteReference"/>
        </w:rPr>
        <w:footnoteReference w:id="17065"/>
      </w:r>
      <w:r>
        <w:t xml:space="preserve"> in that he is exalted:</w:t>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gift and every perfect gift is from above, and comes down from the</w:t>
      </w:r>
      <w:r>
        <w:rPr>
          <w:rStyle w:val="FootnoteReference"/>
        </w:rPr>
        <w:footnoteReference w:id="17078"/>
      </w:r>
      <w:r>
        <w:t xml:space="preserve"> Father of lights, with whom is no variableness</w:t>
      </w:r>
      <w:r>
        <w:rPr>
          <w:rStyle w:val="FootnoteReference"/>
        </w:rPr>
        <w:footnoteReference w:id="17079"/>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religion and undefiled before God and the Father is this, To visit</w:t>
      </w:r>
      <w:r>
        <w:rPr>
          <w:rStyle w:val="FootnoteReference"/>
        </w:rPr>
        <w:footnoteReference w:id="17102"/>
      </w:r>
      <w:r>
        <w:t xml:space="preserve"> the fatherless and widows in their affliction, and to keep</w:t>
      </w:r>
      <w:r>
        <w:rPr>
          <w:rStyle w:val="FootnoteReference"/>
        </w:rPr>
        <w:footnoteReference w:id="17103"/>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2"/>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when he had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2"/>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descends not from above, but is earthly, sensual</w:t>
      </w:r>
      <w:r>
        <w:rPr>
          <w:rStyle w:val="FootnoteReference"/>
        </w:rPr>
        <w:footnoteReference w:id="17205"/>
      </w:r>
      <w:r>
        <w:t xml:space="preserve">, devilish</w:t>
      </w:r>
      <w:r>
        <w:rPr>
          <w:rStyle w:val="FootnoteReference"/>
        </w:rPr>
        <w:footnoteReference w:id="17206"/>
      </w:r>
      <w:r>
        <w:t xml:space="preserve">.</w:t>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that is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and easy to be implored, full</w:t>
      </w:r>
      <w:r>
        <w:rPr>
          <w:rStyle w:val="FootnoteReference"/>
        </w:rPr>
        <w:footnoteReference w:id="17212"/>
      </w:r>
      <w:r>
        <w:t xml:space="preserve"> of mercy and good fruits, without partiality,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heaviness.</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1"/>
      </w:r>
      <w:r>
        <w:t xml:space="preserve"> you afflicted? let him pray. Is any merry</w:t>
      </w:r>
      <w:r>
        <w:rPr>
          <w:rStyle w:val="FootnoteReference"/>
        </w:rPr>
        <w:footnoteReference w:id="17292"/>
      </w:r>
      <w:r>
        <w:t xml:space="preserve">? let him sing</w:t>
      </w:r>
      <w:r>
        <w:rPr>
          <w:rStyle w:val="FootnoteReference"/>
        </w:rPr>
        <w:footnoteReference w:id="17293"/>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subject</w:t>
      </w:r>
      <w:r>
        <w:rPr>
          <w:rStyle w:val="FootnoteReference"/>
        </w:rPr>
        <w:footnoteReference w:id="17304"/>
      </w:r>
      <w:r>
        <w:t xml:space="preserve"> to like passions as we are, and he prayed earnestly that it might not rain: and it rained not</w:t>
      </w:r>
      <w:r>
        <w:rPr>
          <w:rStyle w:val="FootnoteReference"/>
        </w:rPr>
        <w:footnoteReference w:id="17305"/>
      </w:r>
      <w:r>
        <w:t xml:space="preserve"> on the earth by the space of three years and six months.</w:t>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7"/>
      </w:r>
      <w:r>
        <w:t xml:space="preserve"> found in his mouth:</w:t>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for "patience":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for "the brother": Deut 15:7; Deut 15:9; Deut 15:11; Ps 62:9; Prov 17:5; Prov 19:1; Luke 1:52; Jas 2:5-6.</w:t>
      </w:r>
    </w:p>
  </w:footnote>
  <w:footnote w:id="17065">
    <w:p>
      <w:pPr>
        <w:pStyle w:val="FootnoteText"/>
      </w:pPr>
      <w:r>
        <w:rPr>
          <w:rStyle w:val="FootnoteReference"/>
        </w:rPr>
        <w:footnoteRef/>
      </w:r>
      <w:r>
        <w:t xml:space="preserve"> Cross-references for "rejoice":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for "no variableness":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for "place":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for "sensual": 1Cor 2:14.</w:t>
      </w:r>
    </w:p>
  </w:footnote>
  <w:footnote w:id="17206">
    <w:p>
      <w:pPr>
        <w:pStyle w:val="FootnoteText"/>
      </w:pPr>
      <w:r>
        <w:rPr>
          <w:rStyle w:val="FootnoteReference"/>
        </w:rPr>
        <w:footnoteRef/>
      </w:r>
      <w:r>
        <w:t xml:space="preserve"> Cross-references for "devilish": Gen 3:1-5; John 8:44; Acts 13:10; 2Cor 11:3; 2Cor 11:13-15; 1John 3:8-10; Jude 1:19; Rev 9:11; Rev 12:9.</w:t>
      </w:r>
    </w:p>
  </w:footnote>
  <w:footnote w:id="1720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2">
    <w:p>
      <w:pPr>
        <w:pStyle w:val="FootnoteText"/>
      </w:pPr>
      <w:r>
        <w:rPr>
          <w:rStyle w:val="FootnoteReference"/>
        </w:rPr>
        <w:footnoteRef/>
      </w:r>
      <w:r>
        <w:t xml:space="preserve"> Cross-references for "any merry": Judg 16:23-25; Dan 5:4.</w:t>
      </w:r>
    </w:p>
  </w:footnote>
  <w:footnote w:id="1729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for "subject": Acts 10:26; Acts 14:15.</w:t>
      </w:r>
    </w:p>
  </w:footnote>
  <w:footnote w:id="17305">
    <w:p>
      <w:pPr>
        <w:pStyle w:val="FootnoteText"/>
      </w:pPr>
      <w:r>
        <w:rPr>
          <w:rStyle w:val="FootnoteReference"/>
        </w:rPr>
        <w:footnoteRef/>
      </w:r>
      <w:r>
        <w:t xml:space="preserve"> Cross-references for "and it rained not": Luke 4:25.</w:t>
      </w:r>
    </w:p>
  </w:footnote>
  <w:footnote w:id="17306">
    <w:p>
      <w:pPr>
        <w:pStyle w:val="FootnoteText"/>
      </w:pPr>
      <w:r>
        <w:rPr>
          <w:rStyle w:val="FootnoteReference"/>
        </w:rPr>
        <w:footnoteRef/>
      </w:r>
      <w:r>
        <w:t xml:space="preserve"> Cross-references: 1Kgs 17:1.</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