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did not repent: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who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did not repent afterward, that you might believe him.</w:t>
      </w:r>
      <w:r>
        <w:rPr>
          <w:rStyle w:val="FootnoteReference"/>
        </w:rPr>
        <w:footnoteReference w:id="1797"/>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3923"/>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does not come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418"/>
      </w:r>
      <w:r>
        <w:t xml:space="preserve"> you here any food?</w:t>
      </w:r>
      <w:r>
        <w:rPr>
          <w:rStyle w:val="FootnoteReference"/>
        </w:rPr>
        <w:footnoteReference w:id="6419"/>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did not believe,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does not keep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does not hear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does not come,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did not believe: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does not dwell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did not believe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who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does not dwell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Rather,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then shall we say? Is the law</w:t>
      </w:r>
      <w:r>
        <w:rPr>
          <w:rStyle w:val="FootnoteReference"/>
        </w:rPr>
        <w:footnoteReference w:id="11873"/>
      </w:r>
      <w:r>
        <w:t xml:space="preserve"> sin? May it not be. But I did not know sin except through the law: for I had</w:t>
      </w:r>
      <w:r>
        <w:rPr>
          <w:rStyle w:val="FootnoteReference"/>
        </w:rPr>
        <w:footnoteReference w:id="11874"/>
      </w:r>
      <w:r>
        <w:t xml:space="preserve"> not known desire, unless the law had said, You shall not covet.</w:t>
      </w:r>
      <w:r>
        <w:rPr>
          <w:rStyle w:val="FootnoteReference"/>
        </w:rPr>
        <w:footnoteReference w:id="11875"/>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indeed the Spirit of God dwell in you. Now if anyone have not the Spirit of Christ, he is</w:t>
      </w:r>
      <w:r>
        <w:rPr>
          <w:rStyle w:val="FootnoteReference"/>
        </w:rPr>
        <w:footnoteReference w:id="11949"/>
      </w:r>
      <w:r>
        <w:t xml:space="preserve"> none of his.</w:t>
      </w:r>
      <w:r>
        <w:rPr>
          <w:rStyle w:val="FootnoteReference"/>
        </w:rPr>
        <w:footnoteReference w:id="11950"/>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indeed we suffer with him, that we may be also glorified together.</w:t>
      </w:r>
      <w:r>
        <w:rPr>
          <w:rStyle w:val="FootnoteReference"/>
        </w:rPr>
        <w:footnoteReference w:id="11973"/>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does not eat; and let not him who does not eat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does not eat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who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does not receive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indeed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having come from a woman, having come under law,</w:t>
      </w:r>
      <w:r>
        <w:rPr>
          <w:rStyle w:val="FootnoteReference"/>
        </w:rPr>
        <w:footnoteReference w:id="14727"/>
      </w:r>
      <w:r>
        <w:rPr>
          <w:rStyle w:val="FootnoteReference"/>
        </w:rPr>
        <w:footnoteReference w:id="14728"/>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5366"/>
      </w:r>
      <w:r>
        <w:t xml:space="preserve">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deep affections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who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who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did not believe?</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8081"/>
      </w:r>
      <w:r>
        <w:t xml:space="preserve"> covenant inaugurated without blood.</w:t>
      </w:r>
      <w:r>
        <w:rPr>
          <w:rStyle w:val="FootnoteReference"/>
        </w:rPr>
        <w:footnoteReference w:id="18082"/>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did not perish with those who did not believe</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does not keep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do righteousness is not of God, neither</w:t>
      </w:r>
      <w:r>
        <w:rPr>
          <w:rStyle w:val="FootnoteReference"/>
        </w:rPr>
        <w:footnoteReference w:id="19636"/>
      </w:r>
      <w:r>
        <w:t xml:space="preserve"> the one who does not love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does not love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does not hear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does not love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9737"/>
      </w:r>
      <w:r>
        <w:t xml:space="preserve"> is the Christ</w:t>
      </w:r>
      <w:r>
        <w:rPr>
          <w:rStyle w:val="FootnoteReference"/>
        </w:rPr>
        <w:footnoteReference w:id="19738"/>
      </w:r>
      <w:r>
        <w:t xml:space="preserve"> has been born of God: and everyone who loves the one who fathered loves also the one begotten from him.</w:t>
      </w:r>
      <w:r>
        <w:rPr>
          <w:rStyle w:val="FootnoteReference"/>
        </w:rPr>
        <w:footnoteReference w:id="19739"/>
      </w:r>
      <w:r>
        <w:rPr>
          <w:rStyle w:val="FootnoteReference"/>
        </w:rPr>
        <w:footnoteReference w:id="19740"/>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did not believe.</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garment reaching to the feet,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did not repent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did not repent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"and ye believed": Matt 11:18; Matt 21:25; Luke 7:29-30; John 5:33-36; Acts 13:25-29.</w:t>
      </w:r>
    </w:p>
  </w:footnote>
  <w:footnote w:id="1798">
    <w:p>
      <w:pPr>
        <w:pStyle w:val="FootnoteText"/>
      </w:pPr>
      <w:r>
        <w:rPr>
          <w:rStyle w:val="FootnoteReference"/>
        </w:rPr>
        <w:footnoteRef/>
      </w:r>
      <w:r>
        <w:t xml:space="preserve"> Cross-references for "the publicans": Luke 7:37-50.</w:t>
      </w:r>
    </w:p>
  </w:footnote>
  <w:footnote w:id="1799">
    <w:p>
      <w:pPr>
        <w:pStyle w:val="FootnoteText"/>
      </w:pPr>
      <w:r>
        <w:rPr>
          <w:rStyle w:val="FootnoteReference"/>
        </w:rPr>
        <w:footnoteRef/>
      </w:r>
      <w:r>
        <w:t xml:space="preserve"> Cross-references for "repented": Ps 81:11-12; Zech 7:11-12; John 5:37-40; 2Tim 2:25; Heb 3:12; Heb 6:6-8; Rev 2:21.</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"Have": John 21:5; John 21:10-13.</w:t>
      </w:r>
    </w:p>
  </w:footnote>
  <w:footnote w:id="6419">
    <w:p>
      <w:pPr>
        <w:pStyle w:val="FootnoteText"/>
      </w:pPr>
      <w:r>
        <w:rPr>
          <w:rStyle w:val="FootnoteReference"/>
        </w:rPr>
        <w:footnoteRef/>
      </w:r>
      <w:r>
        <w:t xml:space="preserve"> Cross-references for "believed": Gen 45:26-28; Job 9:16; Ps 126:1-2; John 16:22.</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"he is": John 17:9-10; 1Cor 3:21-23; 1Cor 15:23; 2Cor 10:7; Gal 5:24; Rev 13:8; Rev 20:15.</w:t>
      </w:r>
    </w:p>
  </w:footnote>
  <w:footnote w:id="11950">
    <w:p>
      <w:pPr>
        <w:pStyle w:val="FootnoteText"/>
      </w:pPr>
      <w:r>
        <w:rPr>
          <w:rStyle w:val="FootnoteReference"/>
        </w:rPr>
        <w:footnoteRef/>
      </w:r>
      <w:r>
        <w:t xml:space="preserve"> Cross-references for "But ye": Ezek 11:19; Ezek 36:26-27; John 3:6; Rom 8:2.</w:t>
      </w:r>
    </w:p>
  </w:footnote>
  <w:footnote w:id="11951">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"the fulness": Gen 49:10; Dan 9:24-26; Mal 3:1; Mark 1:15; Acts 1:7; Eph 1:10; Heb 9:10.</w:t>
      </w:r>
    </w:p>
  </w:footnote>
  <w:footnote w:id="14728">
    <w:p>
      <w:pPr>
        <w:pStyle w:val="FootnoteText"/>
      </w:pPr>
      <w:r>
        <w:rPr>
          <w:rStyle w:val="FootnoteReference"/>
        </w:rPr>
        <w:footnoteRef/>
      </w:r>
      <w:r>
        <w:t xml:space="preserve"> Cross-references: Isa 48:16; Zech 2:8-11; John 3:16; John 6:38; John 8:42; John 10:36; 1John 4:9-10; 1John 4:14.</w:t>
      </w:r>
    </w:p>
  </w:footnote>
  <w:footnote w:id="1472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30">
    <w:p>
      <w:pPr>
        <w:pStyle w:val="FootnoteText"/>
      </w:pPr>
      <w:r>
        <w:rPr>
          <w:rStyle w:val="FootnoteReference"/>
        </w:rPr>
        <w:footnoteRef/>
      </w:r>
      <w:r>
        <w:t xml:space="preserve"> Cross-references for "of a": Gen 3:15; Isa 7:14; Jer 31:22; Mic 5:3; Matt 1:23; Luke 1:31; Luke 1:35; Luke 2:7.</w:t>
      </w:r>
    </w:p>
  </w:footnote>
  <w:footnote w:id="14731">
    <w:p>
      <w:pPr>
        <w:pStyle w:val="FootnoteText"/>
      </w:pPr>
      <w:r>
        <w:rPr>
          <w:rStyle w:val="FootnoteReference"/>
        </w:rPr>
        <w:footnoteRef/>
      </w:r>
      <w:r>
        <w:t xml:space="preserve"> Cross-references for "made under": Matt 3:15; Matt 5:17; Luke 2:21-27; Rom 15:8; Col 2:14.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"did not believe":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"believeth": Matt 16:16; John 1:12-13; John 6:69; Acts 8:37; Rom 10:9-10; 1John 2:22-23; 1John 4:2; 1John 4:14-15.</w:t>
      </w:r>
    </w:p>
  </w:footnote>
  <w:footnote w:id="19740">
    <w:p>
      <w:pPr>
        <w:pStyle w:val="FootnoteText"/>
      </w:pPr>
      <w:r>
        <w:rPr>
          <w:rStyle w:val="FootnoteReference"/>
        </w:rPr>
        <w:footnoteRef/>
      </w:r>
      <w:r>
        <w:t xml:space="preserve"> Cross-references for "is born": 1John 2:29; 1John 3:9; 1John 4:7; 1John 5:4.</w:t>
      </w:r>
    </w:p>
  </w:footnote>
  <w:footnote w:id="19741">
    <w:p>
      <w:pPr>
        <w:pStyle w:val="FootnoteText"/>
      </w:pPr>
      <w:r>
        <w:rPr>
          <w:rStyle w:val="FootnoteReference"/>
        </w:rPr>
        <w:footnoteRef/>
      </w:r>
      <w:r>
        <w:t xml:space="preserve"> Cross-references for "and every": John 15:23; Jas 1:18; 1Pet 1:3; 1Pet 1:22-23; 1John 2:10; 1John 3:14; 1John 3:17; 1John 4:20.</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did not repent":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2026-04-22T23:19:17Z</dcterms:created>
  <dcterms:modified xsi:type="dcterms:W3CDTF">2026-04-22T23:19:17Z</dcterms:modified>
</cp:coreProperties>
</file>