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does already work: only he who</w:t>
      </w:r>
      <w:r>
        <w:rPr>
          <w:rStyle w:val="FootnoteReference"/>
        </w:rPr>
        <w:footnoteReference w:id="15098"/>
      </w:r>
      <w:r>
        <w:t xml:space="preserve"> now lets will let, until he be taken out of the way.</w:t>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2"/>
      </w:r>
      <w:r>
        <w:t xml:space="preserve"> with all power and signs</w:t>
      </w:r>
      <w:r>
        <w:rPr>
          <w:rStyle w:val="FootnoteReference"/>
        </w:rPr>
        <w:footnoteReference w:id="15103"/>
      </w:r>
      <w:r>
        <w:t xml:space="preserve"> and lying wonders,</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wicked men: for all men have not faith.</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5"/>
      </w:r>
      <w:r>
        <w:t xml:space="preserve"> among you disorderly, working</w:t>
      </w:r>
      <w:r>
        <w:rPr>
          <w:rStyle w:val="FootnoteReference"/>
        </w:rPr>
        <w:footnoteReference w:id="15156"/>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4"/>
      </w:r>
      <w:r>
        <w:t xml:space="preserve"> him not as an enemy, but admonish</w:t>
      </w:r>
      <w:r>
        <w:rPr>
          <w:rStyle w:val="FootnoteReference"/>
        </w:rPr>
        <w:footnoteReference w:id="15165"/>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 man use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8"/>
      </w:r>
      <w:r>
        <w:t xml:space="preserve"> is not made for a righteous man, but for the lawless</w:t>
      </w:r>
      <w:r>
        <w:rPr>
          <w:rStyle w:val="FootnoteReference"/>
        </w:rPr>
        <w:footnoteReference w:id="15209"/>
      </w:r>
      <w:r>
        <w:t xml:space="preserve"> and disobedient</w:t>
      </w:r>
      <w:r>
        <w:rPr>
          <w:rStyle w:val="FootnoteReference"/>
        </w:rPr>
        <w:footnoteReference w:id="15210"/>
      </w:r>
      <w:r>
        <w:t xml:space="preserve">, for the ungodly</w:t>
      </w:r>
      <w:r>
        <w:rPr>
          <w:rStyle w:val="FootnoteReference"/>
        </w:rPr>
        <w:footnoteReference w:id="15211"/>
      </w:r>
      <w:r>
        <w:t xml:space="preserve"> and for sinners, for unholy and profane</w:t>
      </w:r>
      <w:r>
        <w:rPr>
          <w:rStyle w:val="FootnoteReference"/>
        </w:rPr>
        <w:footnoteReference w:id="15212"/>
      </w:r>
      <w:r>
        <w:t xml:space="preserve">, for murderers</w:t>
      </w:r>
      <w:r>
        <w:rPr>
          <w:rStyle w:val="FootnoteReference"/>
        </w:rPr>
        <w:footnoteReference w:id="15213"/>
      </w:r>
      <w:r>
        <w:t xml:space="preserve"> of fathers and murderers of mothers, for manslayers</w:t>
      </w:r>
      <w:r>
        <w:rPr>
          <w:rStyle w:val="FootnoteReference"/>
        </w:rPr>
        <w:footnoteReference w:id="1521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that, first</w:t>
      </w:r>
      <w:r>
        <w:rPr>
          <w:rStyle w:val="FootnoteReference"/>
        </w:rPr>
        <w:footnoteReference w:id="15256"/>
      </w:r>
      <w:r>
        <w:t xml:space="preserve"> of all, supplications</w:t>
      </w:r>
      <w:r>
        <w:rPr>
          <w:rStyle w:val="FootnoteReference"/>
        </w:rPr>
        <w:footnoteReference w:id="15257"/>
      </w:r>
      <w:r>
        <w:t xml:space="preserve">, prayers, intercessions, and giving of thanks,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that are in authority; that we may lead a quiet and peaceable life in all godliness</w:t>
      </w:r>
      <w:r>
        <w:rPr>
          <w:rStyle w:val="FootnoteReference"/>
        </w:rPr>
        <w:footnoteReference w:id="15262"/>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to be testified</w:t>
      </w:r>
      <w:r>
        <w:rPr>
          <w:rStyle w:val="FootnoteReference"/>
        </w:rPr>
        <w:footnoteReference w:id="15277"/>
      </w:r>
      <w:r>
        <w:t xml:space="preserve"> in due time.</w:t>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1"/>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8"/>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for "he who": 2Thess 2:6.</w:t>
      </w:r>
    </w:p>
  </w:footnote>
  <w:footnote w:id="15099">
    <w:p>
      <w:pPr>
        <w:pStyle w:val="FootnoteText"/>
      </w:pPr>
      <w:r>
        <w:rPr>
          <w:rStyle w:val="FootnoteReference"/>
        </w:rPr>
        <w:footnoteRef/>
      </w:r>
      <w:r>
        <w:t xml:space="preserve"> Cross-references: Acts 20:29; Col 2:18-23; 2Tim 2:17-18; 1John 2:18; 1John 4:3.</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"count": Lev 19:17-18; 1Cor 5:5; 2Cor 2:6-10; 2Cor 10:8; 2Cor 13:10; Gal 6:1; 1Thess 5:14; Jude 1:22-23.</w:t>
      </w:r>
    </w:p>
  </w:footnote>
  <w:footnote w:id="15165">
    <w:p>
      <w:pPr>
        <w:pStyle w:val="FootnoteText"/>
      </w:pPr>
      <w:r>
        <w:rPr>
          <w:rStyle w:val="FootnoteReference"/>
        </w:rPr>
        <w:footnoteRef/>
      </w:r>
      <w:r>
        <w:t xml:space="preserve"> Cross-references for "admonish": Ps 141:5; Prov 9:9; Prov 25:12; Matt 18:15; 1Cor 4:14; Titus 3:10; Jas 5:19-20.</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"the law": Rom 4:13; Rom 5:20; Rom 6:14; Gal 3:10-14; Gal 3:19; Gal 5:23.</w:t>
      </w:r>
    </w:p>
  </w:footnote>
  <w:footnote w:id="15209">
    <w:p>
      <w:pPr>
        <w:pStyle w:val="FootnoteText"/>
      </w:pPr>
      <w:r>
        <w:rPr>
          <w:rStyle w:val="FootnoteReference"/>
        </w:rPr>
        <w:footnoteRef/>
      </w:r>
      <w:r>
        <w:t xml:space="preserve"> Cross-references for "the lawless": 2Thess 2:8.</w:t>
      </w:r>
    </w:p>
  </w:footnote>
  <w:footnote w:id="15210">
    <w:p>
      <w:pPr>
        <w:pStyle w:val="FootnoteText"/>
      </w:pPr>
      <w:r>
        <w:rPr>
          <w:rStyle w:val="FootnoteReference"/>
        </w:rPr>
        <w:footnoteRef/>
      </w:r>
      <w:r>
        <w:t xml:space="preserve"> Cross-references for "disobedient": Rom 1:30; Titus 1:16; Titus 3:3; Heb 11:31; 1Pet 2:7; 1Pet 3:20.</w:t>
      </w:r>
    </w:p>
  </w:footnote>
  <w:footnote w:id="15211">
    <w:p>
      <w:pPr>
        <w:pStyle w:val="FootnoteText"/>
      </w:pPr>
      <w:r>
        <w:rPr>
          <w:rStyle w:val="FootnoteReference"/>
        </w:rPr>
        <w:footnoteRef/>
      </w:r>
      <w:r>
        <w:t xml:space="preserve"> Cross-references for "the ungodly": 1Pet 4:18.</w:t>
      </w:r>
    </w:p>
  </w:footnote>
  <w:footnote w:id="15212">
    <w:p>
      <w:pPr>
        <w:pStyle w:val="FootnoteText"/>
      </w:pPr>
      <w:r>
        <w:rPr>
          <w:rStyle w:val="FootnoteReference"/>
        </w:rPr>
        <w:footnoteRef/>
      </w:r>
      <w:r>
        <w:t xml:space="preserve"> Cross-references for "profane": Jer 23:11; Ezek 21:25; Heb 12:16.</w:t>
      </w:r>
    </w:p>
  </w:footnote>
  <w:footnote w:id="1521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4">
    <w:p>
      <w:pPr>
        <w:pStyle w:val="FootnoteText"/>
      </w:pPr>
      <w:r>
        <w:rPr>
          <w:rStyle w:val="FootnoteReference"/>
        </w:rPr>
        <w:footnoteRef/>
      </w:r>
      <w:r>
        <w:t xml:space="preserve"> Cross-references for "manslayers":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for "to be testified":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