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319"/>
      </w:r>
      <w:r>
        <w:t xml:space="preserve"> years after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and took Titus</w:t>
      </w:r>
      <w:r>
        <w:rPr>
          <w:rStyle w:val="FootnoteReference"/>
        </w:rPr>
        <w:footnoteReference w:id="13323"/>
      </w:r>
      <w:r>
        <w:t xml:space="preserve"> with me also.</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they would that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407"/>
      </w:r>
      <w:r>
        <w:t xml:space="preserve"> believed God</w:t>
      </w:r>
      <w:r>
        <w:rPr>
          <w:rStyle w:val="FootnoteReference"/>
        </w:rPr>
        <w:footnoteReference w:id="13408"/>
      </w:r>
      <w:r>
        <w:t xml:space="preserve">, and it was accounted</w:t>
      </w:r>
      <w:r>
        <w:rPr>
          <w:rStyle w:val="FootnoteReference"/>
        </w:rPr>
        <w:footnoteReference w:id="13409"/>
      </w:r>
      <w:r>
        <w:t xml:space="preserve"> to him for righteousness.</w:t>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of the works of the law are under</w:t>
      </w:r>
      <w:r>
        <w:rPr>
          <w:rStyle w:val="FootnoteReference"/>
        </w:rPr>
        <w:footnoteReference w:id="13422"/>
      </w:r>
      <w:r>
        <w:t xml:space="preserve"> the curse: for it is written, Cursed</w:t>
      </w:r>
      <w:r>
        <w:rPr>
          <w:rStyle w:val="FootnoteReference"/>
        </w:rPr>
        <w:footnoteReference w:id="13423"/>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of faith: but, The man</w:t>
      </w:r>
      <w:r>
        <w:rPr>
          <w:rStyle w:val="FootnoteReference"/>
        </w:rPr>
        <w:footnoteReference w:id="13426"/>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427"/>
      </w:r>
      <w:r>
        <w:t xml:space="preserve"> us from the curse of the law, being made a curse for us: for it is written, Cursed</w:t>
      </w:r>
      <w:r>
        <w:rPr>
          <w:rStyle w:val="FootnoteReference"/>
        </w:rPr>
        <w:footnoteReference w:id="13428"/>
      </w:r>
      <w:r>
        <w:t xml:space="preserve"> is every one that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a mediator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458"/>
      </w:r>
      <w:r>
        <w:t xml:space="preserve"> has come,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10"/>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8"/>
      </w:r>
      <w:r>
        <w:t xml:space="preserve"> you.</w:t>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4"/>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2"/>
      </w:r>
      <w:r>
        <w:t xml:space="preserve"> family in heaven and earth is named,</w:t>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Cross-references for "accounted": Rom 4:6; Rom 4:11; Rom 4:22; Rom 4:24; 2Cor 5:19-21.</w:t>
      </w:r>
    </w:p>
  </w:footnote>
  <w:footnote w:id="13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2">
    <w:p>
      <w:pPr>
        <w:pStyle w:val="FootnoteText"/>
      </w:pPr>
      <w:r>
        <w:rPr>
          <w:rStyle w:val="FootnoteReference"/>
        </w:rPr>
        <w:footnoteRef/>
      </w:r>
      <w:r>
        <w:t xml:space="preserve"> Cross-references: Gen 15:6; Rom 4:3-6; Rom 4:9-10; Rom 4:21-22; Rom 9:32-33; Gal 3:9; Jas 2:23.</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