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2023-05-04T20:08:11Z</dcterms:modified>
  <dc:creator/>
  <dc:description/>
  <dc:identifier/>
  <dc:language/>
  <dc:subject/>
</cp:coreProperties>
</file>