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20"/>
          <w:sz-cs w:val="20"/>
          <w:b/>
          <w:color w:val="5F6B7A"/>
        </w:rPr>
        <w:t xml:space="preserve">Business Analysis Brief</w:t>
      </w:r>
    </w:p>
    <w:p>
      <w:pPr>
        <w:spacing w:after="40"/>
      </w:pPr>
      <w:r>
        <w:rPr>
          <w:rFonts w:ascii="Arial" w:hAnsi="Arial" w:cs="Arial"/>
          <w:sz w:val="46"/>
          <w:sz-cs w:val="46"/>
          <w:b/>
          <w:color w:val="111111"/>
        </w:rPr>
        <w:t xml:space="preserve">Mindgood Platform Gap Analysis</w:t>
      </w:r>
    </w:p>
    <w:p>
      <w:pPr>
        <w:spacing w:after="220"/>
      </w:pPr>
      <w:r>
        <w:rPr>
          <w:rFonts w:ascii="Arial" w:hAnsi="Arial" w:cs="Arial"/>
          <w:sz w:val="26"/>
          <w:sz-cs w:val="26"/>
          <w:color w:val="5F6B7A"/>
        </w:rPr>
        <w:t xml:space="preserve">Assessment of current product coverage, critical gaps, and requirements needed for a mature mental wellness platform</w:t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  <w:color w:val="111111"/>
        </w:rPr>
        <w:t xml:space="preserve">Prepared for  </w:t>
      </w:r>
      <w:r>
        <w:rPr>
          <w:rFonts w:ascii="Arial" w:hAnsi="Arial" w:cs="Arial"/>
          <w:sz w:val="22"/>
          <w:sz-cs w:val="22"/>
          <w:color w:val="111111"/>
        </w:rPr>
        <w:t xml:space="preserve">Mindgood product and delivery stakeholders</w:t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  <w:color w:val="111111"/>
        </w:rPr>
        <w:t xml:space="preserve">Prepared on  </w:t>
      </w:r>
      <w:r>
        <w:rPr>
          <w:rFonts w:ascii="Arial" w:hAnsi="Arial" w:cs="Arial"/>
          <w:sz w:val="22"/>
          <w:sz-cs w:val="22"/>
          <w:color w:val="111111"/>
        </w:rPr>
        <w:t xml:space="preserve">July 7, 2026</w:t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  <w:color w:val="111111"/>
        </w:rPr>
        <w:t xml:space="preserve">Assessment basis  </w:t>
      </w:r>
      <w:r>
        <w:rPr>
          <w:rFonts w:ascii="Arial" w:hAnsi="Arial" w:cs="Arial"/>
          <w:sz w:val="22"/>
          <w:sz-cs w:val="22"/>
          <w:color w:val="111111"/>
        </w:rPr>
        <w:t xml:space="preserve">Current application codebase, platform routes, data models, API flows, legal content, and operational features in the Mindgood repository</w:t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  <w:color w:val="111111"/>
        </w:rPr>
        <w:t xml:space="preserve">Assessment lens  </w:t>
      </w:r>
      <w:r>
        <w:rPr>
          <w:rFonts w:ascii="Arial" w:hAnsi="Arial" w:cs="Arial"/>
          <w:sz w:val="22"/>
          <w:sz-cs w:val="22"/>
          <w:color w:val="111111"/>
        </w:rPr>
        <w:t xml:space="preserve">Business analysis, clinical operations readiness, trust and safety, platform maturity, and user journey completeness</w:t>
      </w:r>
    </w:p>
    <w:p>
      <w:pPr>
        <w:spacing w:after="6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Executive Summary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Mindgood already has the foundation of a strong therapy marketplace and service operations platform. The product supports therapist onboarding, therapist discovery, client booking, payments, video sessions, administrative oversight, and lightweight reflective journaling.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From a business analysis perspective, the current solution is more mature as a therapist booking and session delivery platform than as a full mental wellness platform. The most important gaps are concentrated in clinical workflow depth, crisis and safeguarding operations, privacy and compliance readiness, continuity-of-care tooling, and secure between-session support.</w:t>
      </w:r>
    </w:p>
    <w:p>
      <w:pPr>
        <w:spacing w:before="80" w:after="180"/>
      </w:pPr>
      <w:r>
        <w:rPr>
          <w:rFonts w:ascii="Arial" w:hAnsi="Arial" w:cs="Arial"/>
          <w:sz w:val="22"/>
          <w:sz-cs w:val="22"/>
          <w:b/>
          <w:color w:val="1F4D78"/>
        </w:rPr>
        <w:t xml:space="preserve">Overall BA conclusion: Mindgood is well-positioned as a digital therapy marketplace, but it still needs structured intake, assessments, care planning, safety workflows, secure messaging, stronger access control, and production-grade compliance controls before it can be considered a properly rounded mental wellness platform.</w:t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Current Platform Coverage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The current platform already shows meaningful strength in these areas: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Therapist marketplace: strong therapist profiles, services, specializations, languages, and verification flow.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Scheduling and booking: strong availability, slot selection, appointment creation, and schedule management.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Video session delivery: working Agora-based session support, though governance can be tighter.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Payments and payouts: present and fairly mature operationally, but with some consistency risks.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Admin operations: strong operational intent across therapists, users, reviews, appointments, payments, and refunds.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Wellness engagement: basic journaling exists, but is not yet deeply connected to care or outcomes.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Clinical workflows: currently light compared with what a mature mental wellness platform requires.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Compliance readiness: partially present, but not yet production-grade in several key areas.</w:t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Critical Gaps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1. Structured Clinical Intake Is Missing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The platform captures basic user identity and therapist profile information, but it does not yet capture intake-grade client data such as presenting concerns, risk history, therapy goals, medication profile, previous therapy history, emergency contacts, consent records, or support preferences.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2. Crisis and Safeguarding Workflows Are Not Operationalized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Mindgood references crisis support and non-emergency disclaimers, but there is no visible product flow for risk detection, safety escalation, emergency contact use, crisis referral, therapist alerting, or incident handling.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3. Secure Therapist-Client Messaging Is Not Yet Live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Between-session communication is a core part of ongoing mental wellness support. The current product does not yet offer production-ready secure asynchronous messaging, which limits continuity, check-ins, homework support, and lower-friction engagement.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4. Care Documentation Is Too Light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Therapists can add a client-visible note and a private summary, but there is no structured session note model, no treatment plan tracking, no goals library, no homework mechanism, and no clinically meaningful review of progress over time.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5. Compliance and Consent Controls Need Production Hardening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Privacy and terms pages still contain sample-document disclaimers, and client settings still contain unfinished profile and notification update flows. This creates a maturity gap in trust, auditability, and regulatory defensibility.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6. Access Control and Role Enforcement Need Strengthening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Role-based protection is not yet stringent enough for a platform handling sensitive behavioral-health information. This creates both technical and platform trust risk.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7. Guest Participation in Sessions Needs Better Governance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Couples and family sessions may justify guest access, but the product should still track participant approval, relationship role, informed consent, and a verifiable attendance record for all attendees.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8. Wellness Tracking Is Present but Not Yet Meaningful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Journaling is a positive start, but it is not yet connected to therapist review, goals, interventions, symptom scoring, or measurable outcome improvement.</w:t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Requirements Matrix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Priority requirements needed for a proper mental wellness platform: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Clinical intake - Must have: presenting concerns, goals, symptom history, medications, past treatment, emergency contacts, and consent capture.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Safety and crisis - Must have: risk flags, crisis guidance, therapist incident workflow, emergency escalation paths, and audit logs.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Secure communication - Must have: encrypted messaging, attachments, read states, boundaries, and response-time expectations.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Care continuity - Must have: structured notes, treatment plans, shared goals, homework, journaling review, and follow-up actions.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Measurement-based care - Must have: PHQ-9, GAD-7, sleep and stress scales, reassessment cadence, and score trend visibility.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Compliance and consent - Must have: final legal documents, versioned consents, communication preferences, retention controls, and stronger server-side authorization.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Therapist productivity - Should have: note templates, caseload views, reusable interventions, and follow-up reminders.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Self-guided wellness - Should have: guided exercises, sleep routines, CBT worksheets, habit check-ins, and educational content.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Outcome and retention analytics - Should have: activation, retention, no-show reasons, symptom improvement, and therapist response metrics.</w:t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Recommended Product Roadmap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Phase 1: Trust, Security, and Operational Integrity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1. Harden authentication and role-based authorization for all sensitive routes and data flows.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2. Fix payment, webhook, and appointment-status consistency so session and revenue state stay reliable.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3. Replace sample legal documents with reviewed production policies and capture explicit user consents.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4. Define governance for guest participation in couples and family sessions.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Phase 2: Clinical Intake and Safety Foundations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1. Launch a structured intake journey for clients.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2. Add emergency contacts, therapy goals, and safeguarding questions.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3. Introduce crisis and incident pathways for therapists and admins.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4. Add clinical screening instruments and baseline scoring.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Phase 3: Continuity of Care and Engagement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1. Release secure therapist-client messaging.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2. Expand session notes into structured clinical documentation.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3. Introduce care plans, homework, and journaling review loops.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4. Link wellness check-ins to measurable client progress.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Phase 4: Outcomes, Scale, and Differentiation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1. Add client and therapist outcome dashboards.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2. Measure activation, retention, no-show, and symptom-improvement trends.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3. Introduce guided self-help content and between-session wellness modules.</w:t>
      </w:r>
    </w:p>
    <w:p>
      <w:pPr>
        <w:ind w:left="360" w:first-line="-220"/>
        <w:spacing w:after="80"/>
      </w:pPr>
      <w:r>
        <w:rPr>
          <w:rFonts w:ascii="Arial" w:hAnsi="Arial" w:cs="Arial"/>
          <w:sz w:val="22"/>
          <w:sz-cs w:val="22"/>
        </w:rPr>
        <w:t xml:space="preserve">4. Use reporting to shape future matching, therapist tooling, and service-line expansion.</w:t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Suggested Data Model Additions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ClientIntakeProfile - presenting concerns, history, support preferences, emergency contact, risk and safeguarding data, consent flags, and matching inputs.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AssessmentResponse - screening scores such as PHQ-9, GAD-7, sleep, stress, and follow-up reassessments over time.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CarePlan - therapist-defined treatment goals, shared actions, milestones, interventions, and review cadence.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SessionNote - structured post-session documentation with clinical summary, client-visible guidance, homework, risk notes, and next-step planning.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MessageThread and Message - secure between-session communication, boundaries, attachments, and visibility rules.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SafetyIncident - crisis flags, therapist escalations, actions taken, and admin review history.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ConsentRecord - policy acceptance, clinical consent, communication consent, and version history.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ProgressMetric - symptom trends, adherence markers, check-in streaks, and improvement snapshots for dashboards.</w:t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Business Implications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Risks if gaps remain open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Difficulty positioning Mindgood credibly as a complete mental wellness platform.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Lower therapist efficiency and weaker continuity between sessions.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Higher trust risk around privacy, safety, and guest participation.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Weaker client retention because the product remains session-only rather than journey-based.</w:t>
      </w:r>
    </w:p>
    <w:p>
      <w:pPr>
        <w:spacing w:before="140" w:after="60"/>
      </w:pPr>
      <w:r>
        <w:rPr>
          <w:rFonts w:ascii="Arial" w:hAnsi="Arial" w:cs="Arial"/>
          <w:sz w:val="24"/>
          <w:sz-cs w:val="24"/>
          <w:b/>
          <w:color w:val="1F4D78"/>
        </w:rPr>
        <w:t xml:space="preserve">Benefits if gaps are addressed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Stronger clinical credibility and safer care operations.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Higher retention through ongoing engagement beyond appointments.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Better therapist productivity and richer client outcomes.</w:t>
      </w:r>
    </w:p>
    <w:p>
      <w:pPr>
        <w:ind w:left="360" w:first-line="-180"/>
        <w:spacing w:after="80"/>
      </w:pPr>
      <w:r>
        <w:rPr>
          <w:rFonts w:ascii="Arial" w:hAnsi="Arial" w:cs="Arial"/>
          <w:sz w:val="22"/>
          <w:sz-cs w:val="22"/>
        </w:rPr>
        <w:t xml:space="preserve">- Clearer differentiation from appointment-only therapy marketplaces.</w:t>
      </w:r>
    </w:p>
    <w:p>
      <w:pPr>
        <w:spacing w:before="220" w:after="100"/>
      </w:pPr>
      <w:r>
        <w:rPr>
          <w:rFonts w:ascii="Arial" w:hAnsi="Arial" w:cs="Arial"/>
          <w:sz w:val="26"/>
          <w:sz-cs w:val="26"/>
          <w:b/>
          <w:color w:val="2E74B5"/>
        </w:rPr>
        <w:t xml:space="preserve">Final Recommendation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Mindgood should continue to build on its strengths in therapist discovery, booking, video sessions, and admin operations, while deliberately investing next in trust, safety, clinical workflow depth, and continuity-of-care tooling. Those areas will create the biggest jump in platform maturity and are the most important for positioning Mindgood as a proper mental wellness platform rather than only a digital appointment and session system.</w:t>
      </w:r>
    </w:p>
    <w:p>
      <w:pPr>
        <w:spacing w:after="120"/>
      </w:pPr>
      <w:r>
        <w:rPr>
          <w:rFonts w:ascii="Arial" w:hAnsi="Arial" w:cs="Arial"/>
          <w:sz w:val="22"/>
          <w:sz-cs w:val="22"/>
          <w:color w:val="111111"/>
        </w:rPr>
        <w:t xml:space="preserve">The recommended next artifact after this analysis is a prioritized BA backlog with epics, user stories, data entities, acceptance criteria, and release phasing for the high-priority gaps identified above.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