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Termination Clause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may terminate this Agreement upon 30 days written notice.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Provider excludes incidental damages.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