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Dohoda o podpoře kandidáta ve volbách do Senátu v říjnu 2018</w:t>
      </w:r>
    </w:p>
    <w:p w:rsidR="00000000" w:rsidDel="00000000" w:rsidP="00000000" w:rsidRDefault="00000000" w:rsidRPr="00000000" w14:paraId="00000001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 senátním obvodě č. 44 - Chrudim</w:t>
      </w:r>
    </w:p>
    <w:p w:rsidR="00000000" w:rsidDel="00000000" w:rsidP="00000000" w:rsidRDefault="00000000" w:rsidRPr="00000000" w14:paraId="00000002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985"/>
        </w:tabs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Ing. Roman Šemík</w:t>
      </w:r>
    </w:p>
    <w:p w:rsidR="00000000" w:rsidDel="00000000" w:rsidP="00000000" w:rsidRDefault="00000000" w:rsidRPr="00000000" w14:paraId="00000004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narozen 14. 1. 1962</w:t>
      </w:r>
    </w:p>
    <w:p w:rsidR="00000000" w:rsidDel="00000000" w:rsidP="00000000" w:rsidRDefault="00000000" w:rsidRPr="00000000" w14:paraId="00000005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trvale bytem Schoellerova 936, Praha Čakovice, 19600</w:t>
      </w:r>
    </w:p>
    <w:p w:rsidR="00000000" w:rsidDel="00000000" w:rsidP="00000000" w:rsidRDefault="00000000" w:rsidRPr="00000000" w14:paraId="00000006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(dále jen „kandidát“)</w:t>
      </w:r>
    </w:p>
    <w:p w:rsidR="00000000" w:rsidDel="00000000" w:rsidP="00000000" w:rsidRDefault="00000000" w:rsidRPr="00000000" w14:paraId="00000007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985"/>
        </w:tabs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09">
      <w:pPr>
        <w:tabs>
          <w:tab w:val="left" w:pos="1985"/>
        </w:tabs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985"/>
        </w:tabs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Česká pirátská strana </w:t>
      </w:r>
    </w:p>
    <w:p w:rsidR="00000000" w:rsidDel="00000000" w:rsidP="00000000" w:rsidRDefault="00000000" w:rsidRPr="00000000" w14:paraId="0000000B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IČ 71339698</w:t>
      </w:r>
    </w:p>
    <w:p w:rsidR="00000000" w:rsidDel="00000000" w:rsidP="00000000" w:rsidRDefault="00000000" w:rsidRPr="00000000" w14:paraId="0000000C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sídlem Řehořova 943/19, 130 00 Praha 3</w:t>
      </w:r>
    </w:p>
    <w:p w:rsidR="00000000" w:rsidDel="00000000" w:rsidP="00000000" w:rsidRDefault="00000000" w:rsidRPr="00000000" w14:paraId="0000000D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zastoupený PhDr. Ivanem Bartošem, Ph.D. (předseda strany)</w:t>
      </w:r>
    </w:p>
    <w:p w:rsidR="00000000" w:rsidDel="00000000" w:rsidP="00000000" w:rsidRDefault="00000000" w:rsidRPr="00000000" w14:paraId="0000000E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(dále jen „Piráti“)</w:t>
      </w:r>
    </w:p>
    <w:p w:rsidR="00000000" w:rsidDel="00000000" w:rsidP="00000000" w:rsidRDefault="00000000" w:rsidRPr="00000000" w14:paraId="0000000F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985"/>
        </w:tabs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11">
      <w:pPr>
        <w:tabs>
          <w:tab w:val="left" w:pos="1985"/>
        </w:tabs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985"/>
        </w:tabs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Politické hnutí SENÁTOR 21</w:t>
      </w:r>
    </w:p>
    <w:p w:rsidR="00000000" w:rsidDel="00000000" w:rsidP="00000000" w:rsidRDefault="00000000" w:rsidRPr="00000000" w14:paraId="00000013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IČ 06695205</w:t>
      </w:r>
    </w:p>
    <w:p w:rsidR="00000000" w:rsidDel="00000000" w:rsidP="00000000" w:rsidRDefault="00000000" w:rsidRPr="00000000" w14:paraId="00000014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sídlem Štefánikova 65, Praha 5, 15000</w:t>
      </w:r>
    </w:p>
    <w:p w:rsidR="00000000" w:rsidDel="00000000" w:rsidP="00000000" w:rsidRDefault="00000000" w:rsidRPr="00000000" w14:paraId="00000015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zastoupená Mgr. Václavem Láskou (předseda hnutí)</w:t>
      </w:r>
    </w:p>
    <w:p w:rsidR="00000000" w:rsidDel="00000000" w:rsidP="00000000" w:rsidRDefault="00000000" w:rsidRPr="00000000" w14:paraId="00000016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(dále jen „SEN 21“)</w:t>
      </w:r>
    </w:p>
    <w:p w:rsidR="00000000" w:rsidDel="00000000" w:rsidP="00000000" w:rsidRDefault="00000000" w:rsidRPr="00000000" w14:paraId="00000017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(dále společně uváděny jen jako „strany“)</w:t>
      </w:r>
    </w:p>
    <w:p w:rsidR="00000000" w:rsidDel="00000000" w:rsidP="00000000" w:rsidRDefault="00000000" w:rsidRPr="00000000" w14:paraId="00000019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uzavřeli níže uvedeného dne a roku následující dohodu:</w:t>
      </w:r>
    </w:p>
    <w:p w:rsidR="00000000" w:rsidDel="00000000" w:rsidP="00000000" w:rsidRDefault="00000000" w:rsidRPr="00000000" w14:paraId="0000001B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I.</w:t>
      </w:r>
    </w:p>
    <w:p w:rsidR="00000000" w:rsidDel="00000000" w:rsidP="00000000" w:rsidRDefault="00000000" w:rsidRPr="00000000" w14:paraId="0000001D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Předmět dohody</w:t>
      </w:r>
    </w:p>
    <w:p w:rsidR="00000000" w:rsidDel="00000000" w:rsidP="00000000" w:rsidRDefault="00000000" w:rsidRPr="00000000" w14:paraId="0000001E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Předmětem této dohody je podpora kandidáta Pirátů v senátní kampani v obvodu č. 44 v roce 2018 (dále jen „kampaň). </w:t>
      </w:r>
    </w:p>
    <w:p w:rsidR="00000000" w:rsidDel="00000000" w:rsidP="00000000" w:rsidRDefault="00000000" w:rsidRPr="00000000" w14:paraId="0000001F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II.</w:t>
      </w:r>
    </w:p>
    <w:p w:rsidR="00000000" w:rsidDel="00000000" w:rsidP="00000000" w:rsidRDefault="00000000" w:rsidRPr="00000000" w14:paraId="00000023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Úvodní ustanovení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Strany se zavazují všemi jim dostupnými prostředky podporovat kandidaturu kandidáta, aktivně se účastnit kampaně a podpořit jeho kampaň finančně dle ustanovení bodu III.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Kandidát bude do senátních voleb vstupovat jako kandidát Pirátů s podporou SENÁTOR 21. Nominujícím subjektem jsou Piráti. </w:t>
      </w:r>
    </w:p>
    <w:p w:rsidR="00000000" w:rsidDel="00000000" w:rsidP="00000000" w:rsidRDefault="00000000" w:rsidRPr="00000000" w14:paraId="00000026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III.</w:t>
      </w:r>
    </w:p>
    <w:p w:rsidR="00000000" w:rsidDel="00000000" w:rsidP="00000000" w:rsidRDefault="00000000" w:rsidRPr="00000000" w14:paraId="00000028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Financování kampaně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Strany se dohodli na následujících finančních příspěvcích na kampaň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tabs>
          <w:tab w:val="left" w:pos="993"/>
        </w:tabs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Kandidát 54000,- Kč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tabs>
          <w:tab w:val="left" w:pos="993"/>
        </w:tabs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Piráti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140000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,- Kč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tabs>
          <w:tab w:val="left" w:pos="993"/>
        </w:tabs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 21 0,- Kč.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  <w:color w:val="00000a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Uvedené částky budou k dispozici na transparentním volebním účtu kandidáta do 30. 6. 2018. Piráti informují kandidáta o tom, že jsou k dispozici podle plánu kampaně schváleného volebním štábem jednomyslně.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  <w:color w:val="00000a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 účely kampaně bude zaveden transparentní účet č. 2201172780/2010 zavedený na jméno kandidáta </w:t>
      </w:r>
      <w:r w:rsidDel="00000000" w:rsidR="00000000" w:rsidRPr="00000000">
        <w:rPr>
          <w:rFonts w:ascii="Arial" w:cs="Arial" w:eastAsia="Arial" w:hAnsi="Arial"/>
          <w:color w:val="00000a"/>
          <w:sz w:val="22"/>
          <w:szCs w:val="22"/>
          <w:rtl w:val="0"/>
        </w:rPr>
        <w:t xml:space="preserve">u Pirátů, kteří nahlásí volební účet ÚDHPSH.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Případné nevyčerpané prostředky na volebním účtu budou kandidátovi a Pirátům vráceny poměrně dle vkladu.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Finanční prostředky ze státního rozpočtu v případě úspěchu ve volbách a získání mandátu senátora pro kandidáta budou nejprve využity k uhrazení nákladů kampaně, které vynaložila každá ze stran. Následně budou rozděleny na třetiny rovným dílem mezi krajský rozpočet Pirátů v kraji Vysočina, v Pardubickém kraji a centrální rozpočet Pirátů.  </w:t>
      </w:r>
    </w:p>
    <w:p w:rsidR="00000000" w:rsidDel="00000000" w:rsidP="00000000" w:rsidRDefault="00000000" w:rsidRPr="00000000" w14:paraId="00000031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IV.</w:t>
      </w:r>
    </w:p>
    <w:p w:rsidR="00000000" w:rsidDel="00000000" w:rsidP="00000000" w:rsidRDefault="00000000" w:rsidRPr="00000000" w14:paraId="00000033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Spolupracující subjekty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Podpora kandidáta v obou kolech volby je otevřena i dalším politickým subjektům. Podpora kandidáta od dalších subjektů musí být dopředu schválena krajským předsednictvem Pirátů v kraji Vysočina a v Pardubickém kraji.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Podporující subjekt kandidatury může být uveden na propagačním předmětech kampaně.</w:t>
      </w:r>
    </w:p>
    <w:p w:rsidR="00000000" w:rsidDel="00000000" w:rsidP="00000000" w:rsidRDefault="00000000" w:rsidRPr="00000000" w14:paraId="00000036">
      <w:pPr>
        <w:tabs>
          <w:tab w:val="left" w:pos="993"/>
        </w:tabs>
        <w:ind w:left="993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V.</w:t>
      </w:r>
    </w:p>
    <w:p w:rsidR="00000000" w:rsidDel="00000000" w:rsidP="00000000" w:rsidRDefault="00000000" w:rsidRPr="00000000" w14:paraId="00000039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Volební program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Volební program kandidáta bude formulován nejpozději do 30. 6. 2018 v samostatném dokumentu, který bude schválen krajským předsednictvem Pirátů v kraji Vysočina a v Pardubickém kraji.</w:t>
      </w:r>
    </w:p>
    <w:p w:rsidR="00000000" w:rsidDel="00000000" w:rsidP="00000000" w:rsidRDefault="00000000" w:rsidRPr="00000000" w14:paraId="0000003B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VI.</w:t>
      </w:r>
    </w:p>
    <w:p w:rsidR="00000000" w:rsidDel="00000000" w:rsidP="00000000" w:rsidRDefault="00000000" w:rsidRPr="00000000" w14:paraId="0000003D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Senátorský klub a práce v Senátu </w:t>
      </w:r>
    </w:p>
    <w:p w:rsidR="00000000" w:rsidDel="00000000" w:rsidP="00000000" w:rsidRDefault="00000000" w:rsidRPr="00000000" w14:paraId="0000003E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V případě zvolení kandidát prohlašuje, že 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tabs>
          <w:tab w:val="left" w:pos="1985"/>
        </w:tabs>
        <w:ind w:left="720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zavazuje přednostně ke členství ve společném senátním klubu SEN 21 a Pirátů. Pokud však takový klub z důvodů nezaviněných kandidátem nevznikne, zavazuje se vstoupit do senátního klubu v pořadí – 1. senátní klub Pirátů, 2. senátní klub SENÁTOR 21;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pos="1985"/>
        </w:tabs>
        <w:ind w:left="737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vstup kandidáta do jiného senátorského klubu bude podmíněn souhlasem Pirátů;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tabs>
          <w:tab w:val="left" w:pos="1985"/>
        </w:tabs>
        <w:ind w:left="737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povede pravidelné konzultace s Piráty ohledně programových otázek, a to aspoň jednou měsíčně po celé volební období; 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left" w:pos="1985"/>
        </w:tabs>
        <w:ind w:left="737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bude řídit Demokratickým minimem Pirátské strany a kodexem SENÁTOR 21, který stanoví základní hodnotovou orientaci kandidáta a minimální standard výkonu funkce senátora; 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tabs>
          <w:tab w:val="left" w:pos="1985"/>
        </w:tabs>
        <w:ind w:left="737" w:hanging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vyhradí částku minimálně 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,- Kč ze svého ročního expertovného na platbu expertů nominovaných Piráty.</w:t>
      </w:r>
    </w:p>
    <w:p w:rsidR="00000000" w:rsidDel="00000000" w:rsidP="00000000" w:rsidRDefault="00000000" w:rsidRPr="00000000" w14:paraId="00000044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color w:val="00000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color w:val="00000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2"/>
          <w:szCs w:val="22"/>
          <w:rtl w:val="0"/>
        </w:rPr>
        <w:t xml:space="preserve">VII.</w:t>
      </w:r>
    </w:p>
    <w:p w:rsidR="00000000" w:rsidDel="00000000" w:rsidP="00000000" w:rsidRDefault="00000000" w:rsidRPr="00000000" w14:paraId="00000046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color w:val="00000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2"/>
          <w:szCs w:val="22"/>
          <w:rtl w:val="0"/>
        </w:rPr>
        <w:t xml:space="preserve">Okrskové volební komise</w:t>
      </w:r>
    </w:p>
    <w:p w:rsidR="00000000" w:rsidDel="00000000" w:rsidP="00000000" w:rsidRDefault="00000000" w:rsidRPr="00000000" w14:paraId="00000047">
      <w:pPr>
        <w:tabs>
          <w:tab w:val="left" w:pos="1985"/>
        </w:tabs>
        <w:contextualSpacing w:val="0"/>
        <w:rPr>
          <w:rFonts w:ascii="Arial" w:cs="Arial" w:eastAsia="Arial" w:hAnsi="Arial"/>
          <w:color w:val="00000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a"/>
          <w:sz w:val="22"/>
          <w:szCs w:val="22"/>
          <w:rtl w:val="0"/>
        </w:rPr>
        <w:t xml:space="preserve">Piráti zajistí delegování do OVK. </w:t>
      </w:r>
    </w:p>
    <w:p w:rsidR="00000000" w:rsidDel="00000000" w:rsidP="00000000" w:rsidRDefault="00000000" w:rsidRPr="00000000" w14:paraId="00000048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color w:val="00000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color w:val="00000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color w:val="00000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2"/>
          <w:szCs w:val="22"/>
          <w:rtl w:val="0"/>
        </w:rPr>
        <w:t xml:space="preserve">VIII.</w:t>
      </w:r>
    </w:p>
    <w:p w:rsidR="00000000" w:rsidDel="00000000" w:rsidP="00000000" w:rsidRDefault="00000000" w:rsidRPr="00000000" w14:paraId="0000004B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b w:val="1"/>
          <w:color w:val="00000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2"/>
          <w:szCs w:val="22"/>
          <w:rtl w:val="0"/>
        </w:rPr>
        <w:t xml:space="preserve">Závěrečná ustanovení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  <w:color w:val="00000a"/>
        </w:rPr>
      </w:pPr>
      <w:r w:rsidDel="00000000" w:rsidR="00000000" w:rsidRPr="00000000">
        <w:rPr>
          <w:rFonts w:ascii="Arial" w:cs="Arial" w:eastAsia="Arial" w:hAnsi="Arial"/>
          <w:color w:val="00000a"/>
          <w:sz w:val="22"/>
          <w:szCs w:val="22"/>
          <w:rtl w:val="0"/>
        </w:rPr>
        <w:t xml:space="preserve">Tato dohoda může být měněna pouze datovanými písemnými dodatky na základě shody všech smluvních stran.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  <w:color w:val="00000a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color w:val="00000a"/>
          <w:sz w:val="22"/>
          <w:szCs w:val="22"/>
          <w:rtl w:val="0"/>
        </w:rPr>
        <w:t xml:space="preserve">V případě, že se kterékoliv ustanovení této dohody stane neplatným či nevymahatelným, veškerá další ustanovení dohody zůstávají v platnosti, pakliže to jejich povaha umožňuje.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  <w:color w:val="00000a"/>
        </w:rPr>
      </w:pPr>
      <w:r w:rsidDel="00000000" w:rsidR="00000000" w:rsidRPr="00000000">
        <w:rPr>
          <w:rFonts w:ascii="Arial" w:cs="Arial" w:eastAsia="Arial" w:hAnsi="Arial"/>
          <w:color w:val="00000a"/>
          <w:sz w:val="22"/>
          <w:szCs w:val="22"/>
          <w:rtl w:val="0"/>
        </w:rPr>
        <w:t xml:space="preserve">Tato dohoda nabývá platnosti a účinnosti dnem podpisu stranami.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  <w:color w:val="00000a"/>
        </w:rPr>
      </w:pPr>
      <w:r w:rsidDel="00000000" w:rsidR="00000000" w:rsidRPr="00000000">
        <w:rPr>
          <w:rFonts w:ascii="Arial" w:cs="Arial" w:eastAsia="Arial" w:hAnsi="Arial"/>
          <w:color w:val="00000a"/>
          <w:sz w:val="22"/>
          <w:szCs w:val="22"/>
          <w:rtl w:val="0"/>
        </w:rPr>
        <w:t xml:space="preserve">Tato smlouva vstupuje v účinnost  podpisem zástupců smluvních stran.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  <w:color w:val="00000a"/>
        </w:rPr>
      </w:pPr>
      <w:r w:rsidDel="00000000" w:rsidR="00000000" w:rsidRPr="00000000">
        <w:rPr>
          <w:rFonts w:ascii="Arial" w:cs="Arial" w:eastAsia="Arial" w:hAnsi="Arial"/>
          <w:color w:val="00000a"/>
          <w:sz w:val="22"/>
          <w:szCs w:val="22"/>
          <w:rtl w:val="0"/>
        </w:rPr>
        <w:t xml:space="preserve">Platnost této dohody zaniká zánikem mandátu či uplynutím volebního období kandidáta v případě jeho zvolení, nebo okamžikem, kdy kandidát nebyl zvolen.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  <w:color w:val="00000a"/>
        </w:rPr>
      </w:pPr>
      <w:r w:rsidDel="00000000" w:rsidR="00000000" w:rsidRPr="00000000">
        <w:rPr>
          <w:rFonts w:ascii="Arial" w:cs="Arial" w:eastAsia="Arial" w:hAnsi="Arial"/>
          <w:color w:val="00000a"/>
          <w:sz w:val="22"/>
          <w:szCs w:val="22"/>
          <w:rtl w:val="0"/>
        </w:rPr>
        <w:t xml:space="preserve">Tato dohoda je vypracována ve třech vyhotoveních, z nichž po jednom obdrží každá ze stran.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pos="993"/>
        </w:tabs>
        <w:ind w:left="993" w:hanging="993"/>
        <w:contextualSpacing w:val="0"/>
        <w:rPr>
          <w:rFonts w:ascii="Arial" w:cs="Arial" w:eastAsia="Arial" w:hAnsi="Arial"/>
          <w:color w:val="00000a"/>
        </w:rPr>
      </w:pPr>
      <w:r w:rsidDel="00000000" w:rsidR="00000000" w:rsidRPr="00000000">
        <w:rPr>
          <w:rFonts w:ascii="Arial" w:cs="Arial" w:eastAsia="Arial" w:hAnsi="Arial"/>
          <w:color w:val="00000a"/>
          <w:sz w:val="22"/>
          <w:szCs w:val="22"/>
          <w:rtl w:val="0"/>
        </w:rPr>
        <w:t xml:space="preserve">Strany dohody výslovně prohlašují, že tato dohoda je výrazem jejich svobodné a vážné vůle a na důkaz toho připojují svoje podpisy. </w:t>
      </w:r>
    </w:p>
    <w:p w:rsidR="00000000" w:rsidDel="00000000" w:rsidP="00000000" w:rsidRDefault="00000000" w:rsidRPr="00000000" w14:paraId="00000053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985"/>
        </w:tabs>
        <w:ind w:left="792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1985"/>
        </w:tabs>
        <w:ind w:left="792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 Praze dne 17. 6.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</w:t>
        <w:tab/>
        <w:tab/>
        <w:tab/>
        <w:tab/>
        <w:t xml:space="preserve">__________________________</w:t>
      </w:r>
    </w:p>
    <w:p w:rsidR="00000000" w:rsidDel="00000000" w:rsidP="00000000" w:rsidRDefault="00000000" w:rsidRPr="00000000" w14:paraId="0000005B">
      <w:pPr>
        <w:tabs>
          <w:tab w:val="left" w:pos="1985"/>
        </w:tabs>
        <w:ind w:left="1512" w:hanging="791.9999999999999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Ivan Bartoš, Piráti</w:t>
        <w:tab/>
        <w:tab/>
        <w:tab/>
        <w:tab/>
        <w:tab/>
        <w:tab/>
        <w:tab/>
        <w:t xml:space="preserve">Václav Láska, SEN 21</w:t>
      </w:r>
    </w:p>
    <w:p w:rsidR="00000000" w:rsidDel="00000000" w:rsidP="00000000" w:rsidRDefault="00000000" w:rsidRPr="00000000" w14:paraId="0000005C">
      <w:pPr>
        <w:tabs>
          <w:tab w:val="left" w:pos="1985"/>
        </w:tabs>
        <w:ind w:left="792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1985"/>
        </w:tabs>
        <w:ind w:left="792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1985"/>
        </w:tabs>
        <w:ind w:left="792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985"/>
        </w:tabs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</w:t>
      </w:r>
    </w:p>
    <w:p w:rsidR="00000000" w:rsidDel="00000000" w:rsidP="00000000" w:rsidRDefault="00000000" w:rsidRPr="00000000" w14:paraId="00000060">
      <w:pPr>
        <w:tabs>
          <w:tab w:val="left" w:pos="1985"/>
        </w:tabs>
        <w:ind w:left="2232" w:hanging="791.9999999999999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Roman Šemík, kandidát</w:t>
      </w:r>
    </w:p>
    <w:p w:rsidR="00000000" w:rsidDel="00000000" w:rsidP="00000000" w:rsidRDefault="00000000" w:rsidRPr="00000000" w14:paraId="00000061">
      <w:pPr>
        <w:tabs>
          <w:tab w:val="left" w:pos="1985"/>
        </w:tabs>
        <w:ind w:left="792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1985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1" w:top="1417" w:left="993" w:right="99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tabs>
        <w:tab w:val="center" w:pos="4536"/>
        <w:tab w:val="right" w:pos="9072"/>
      </w:tabs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tabs>
        <w:tab w:val="center" w:pos="4536"/>
        <w:tab w:val="right" w:pos="9072"/>
      </w:tabs>
      <w:spacing w:after="708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tabs>
        <w:tab w:val="center" w:pos="4536"/>
        <w:tab w:val="right" w:pos="9072"/>
      </w:tabs>
      <w:spacing w:before="708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160" w:firstLine="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sz w:val="24"/>
        <w:szCs w:val="24"/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firstLine="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sz w:val="24"/>
        <w:szCs w:val="24"/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firstLine="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sz w:val="24"/>
        <w:szCs w:val="24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2160" w:firstLine="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sz w:val="24"/>
        <w:szCs w:val="24"/>
        <w:vertAlign w:val="baseline"/>
      </w:rPr>
    </w:lvl>
  </w:abstractNum>
  <w:abstractNum w:abstractNumId="6">
    <w:lvl w:ilvl="0">
      <w:start w:val="1"/>
      <w:numFmt w:val="lowerLetter"/>
      <w:lvlText w:val="%1)"/>
      <w:lvlJc w:val="left"/>
      <w:pPr>
        <w:ind w:left="2160" w:firstLine="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sz w:val="24"/>
        <w:szCs w:val="24"/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2160" w:firstLine="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sz w:val="24"/>
        <w:szCs w:val="24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>
        <w:keepNext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