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>
          <w:b/>
          <w:bCs/>
          <w:smallCaps/>
          <w:sz w:val="24"/>
          <w:szCs w:val="24"/>
        </w:rPr>
        <w:t>SMLOUVA O NÁJMU NEBYTOVÝCH PROSTOR</w:t>
      </w:r>
    </w:p>
    <w:p>
      <w:pPr>
        <w:pStyle w:val="LOnormal"/>
        <w:jc w:val="center"/>
        <w:rPr/>
      </w:pPr>
      <w:r>
        <w:rPr>
          <w:b/>
          <w:bCs/>
          <w:i/>
          <w:iCs/>
          <w:sz w:val="24"/>
          <w:szCs w:val="24"/>
        </w:rPr>
        <w:t>uzavřená na základě občanského zákoníku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bCs/>
          <w:i/>
          <w:iCs/>
          <w:sz w:val="22"/>
          <w:szCs w:val="22"/>
        </w:rPr>
        <w:t>1. Pirátská, s.r.o.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IČ: 25024639</w:t>
      </w:r>
    </w:p>
    <w:p>
      <w:pPr>
        <w:pStyle w:val="LOnormal"/>
        <w:jc w:val="both"/>
        <w:rPr/>
      </w:pPr>
      <w:r>
        <w:rPr>
          <w:sz w:val="22"/>
          <w:szCs w:val="22"/>
        </w:rPr>
        <w:t>se sídlem Řehořova 943/19, Žižkov, 130 00 Praha 3</w:t>
      </w:r>
    </w:p>
    <w:p>
      <w:pPr>
        <w:pStyle w:val="LOnormal"/>
        <w:jc w:val="both"/>
        <w:rPr/>
      </w:pPr>
      <w:r>
        <w:rPr>
          <w:sz w:val="22"/>
          <w:szCs w:val="22"/>
        </w:rPr>
        <w:t>zastoupena Václavem Židkem, prokurista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bankovní spojení: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2001242377 / 2010</w:t>
      </w:r>
      <w:r>
        <w:rPr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sz w:val="22"/>
          <w:szCs w:val="22"/>
        </w:rPr>
        <w:t>telefon pro komunikaci: 775198038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(dále jen „</w:t>
      </w:r>
      <w:r>
        <w:rPr>
          <w:sz w:val="22"/>
          <w:szCs w:val="22"/>
        </w:rPr>
        <w:t>p</w:t>
      </w:r>
      <w:r>
        <w:rPr>
          <w:sz w:val="22"/>
          <w:szCs w:val="22"/>
        </w:rPr>
        <w:t>ronajímatel“)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Česká pirátská strana</w:t>
      </w:r>
    </w:p>
    <w:p>
      <w:pPr>
        <w:pStyle w:val="LOnormal"/>
        <w:jc w:val="both"/>
        <w:rPr/>
      </w:pPr>
      <w:r>
        <w:rPr>
          <w:sz w:val="22"/>
          <w:szCs w:val="22"/>
        </w:rPr>
        <w:t>IČO: 71339698</w:t>
      </w:r>
    </w:p>
    <w:p>
      <w:pPr>
        <w:pStyle w:val="LOnormal"/>
        <w:jc w:val="both"/>
        <w:rPr/>
      </w:pPr>
      <w:r>
        <w:rPr>
          <w:sz w:val="22"/>
          <w:szCs w:val="22"/>
        </w:rPr>
        <w:t>se sídlem Řehořova 943/19, Žižkov, 130 00 Praha 3</w:t>
      </w:r>
    </w:p>
    <w:p>
      <w:pPr>
        <w:pStyle w:val="LOnormal"/>
        <w:jc w:val="both"/>
        <w:rPr/>
      </w:pPr>
      <w:r>
        <w:rPr>
          <w:sz w:val="22"/>
          <w:szCs w:val="22"/>
        </w:rPr>
        <w:t>email: rp@pirati.cz</w:t>
      </w:r>
    </w:p>
    <w:p>
      <w:pPr>
        <w:pStyle w:val="LOnormal"/>
        <w:jc w:val="both"/>
        <w:rPr/>
      </w:pPr>
      <w:r>
        <w:rPr>
          <w:sz w:val="22"/>
          <w:szCs w:val="22"/>
        </w:rPr>
        <w:t>zastoupena, předsedou PhDr. Ivanem Bartošem, Ph.D.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(dále jen „</w:t>
      </w:r>
      <w:r>
        <w:rPr>
          <w:sz w:val="22"/>
          <w:szCs w:val="22"/>
        </w:rPr>
        <w:t>N</w:t>
      </w:r>
      <w:r>
        <w:rPr>
          <w:sz w:val="22"/>
          <w:szCs w:val="22"/>
        </w:rPr>
        <w:t>ájemce“)</w:t>
      </w:r>
    </w:p>
    <w:p>
      <w:pPr>
        <w:pStyle w:val="LOnormal"/>
        <w:jc w:val="both"/>
        <w:rPr>
          <w:sz w:val="22"/>
          <w:szCs w:val="22"/>
        </w:rPr>
      </w:pPr>
      <w:r>
        <w:rPr/>
      </w:r>
    </w:p>
    <w:p>
      <w:pPr>
        <w:pStyle w:val="LOnormal"/>
        <w:jc w:val="both"/>
        <w:rPr/>
      </w:pPr>
      <w:r>
        <w:rPr>
          <w:sz w:val="22"/>
          <w:szCs w:val="22"/>
        </w:rPr>
        <w:t>společně též jako „Smluvní strany“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2"/>
          <w:szCs w:val="22"/>
        </w:rPr>
        <w:t>uzavírají tuto smlouvu o nájmu nebytových prostor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1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Předmět a účel nájmu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Předmětem nájmu dle této smlouvy je prostor v  1. nadzemním podlaží nemovitosti domu č.p.: 360/3 , Na Moráni, 128 00 Praha 2 na pozemku parcelní číslo 1186/1, vše zapsáno na Katastrálním úřadu Hlavní město Praha, Katastrální pracoviště Praha na listu vlastnictví LV 1404, dále jen jako „ nebytový prostor“. 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Pronajímatel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prohlašuje, že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je oprávněn předmět nájmu dále pronajímat dle Smlouvy s IDS Praha a.s. ze dne 29. 5. 2018.</w:t>
      </w:r>
      <w:r>
        <w:rPr>
          <w:color w:val="000000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>Pronajímatel přenechává nájemci ve výše uvedené nemovitosti do nájmu nebytový prostor v 1. nadzemním podlaží, vlevo  o velikosti 113 m2 s příslušenstvím. Nájemce je seznámen se stavem nebytových prostor a má právo užívat i společné prostory budovy v rozsahu nezbytném pro řádný chod pronajatých nebytových prostor.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>Účelem nájmu je provozování sídla České pirátské strany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/>
      </w:r>
      <w:r>
        <w:br w:type="page"/>
      </w:r>
    </w:p>
    <w:p>
      <w:pPr>
        <w:pStyle w:val="LOnormal"/>
        <w:jc w:val="center"/>
        <w:rPr/>
      </w:pPr>
      <w:r>
        <w:rPr>
          <w:b/>
          <w:bCs/>
          <w:sz w:val="24"/>
          <w:szCs w:val="24"/>
        </w:rPr>
        <w:t>Článek 2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Doba nájmu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Nájem je sjednán na </w:t>
      </w:r>
      <w:r>
        <w:rPr>
          <w:b/>
          <w:bCs/>
          <w:sz w:val="24"/>
          <w:szCs w:val="24"/>
        </w:rPr>
        <w:t xml:space="preserve">dobu určitou od 1.7. 2018  do </w:t>
      </w:r>
      <w:r>
        <w:rPr>
          <w:b/>
          <w:bCs/>
          <w:i/>
          <w:iCs/>
          <w:sz w:val="24"/>
          <w:szCs w:val="24"/>
        </w:rPr>
        <w:t xml:space="preserve">1.7. 2019. </w:t>
      </w:r>
      <w:r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okud nebude smlouva jednou ze </w:t>
      </w:r>
      <w:r>
        <w:rPr>
          <w:b/>
          <w:bCs/>
          <w:i/>
          <w:iCs/>
          <w:sz w:val="24"/>
          <w:szCs w:val="24"/>
        </w:rPr>
        <w:t xml:space="preserve">smluvních </w:t>
      </w:r>
      <w:r>
        <w:rPr>
          <w:b/>
          <w:bCs/>
          <w:i/>
          <w:iCs/>
          <w:sz w:val="24"/>
          <w:szCs w:val="24"/>
        </w:rPr>
        <w:t xml:space="preserve">stran 3 měsíce před uplynutím termínu písemně vypovězena, automaticky se prodlužuje vždy o </w:t>
      </w:r>
      <w:r>
        <w:rPr>
          <w:b/>
          <w:bCs/>
          <w:i/>
          <w:iCs/>
          <w:sz w:val="24"/>
          <w:szCs w:val="24"/>
        </w:rPr>
        <w:t>jeden kalendářní</w:t>
      </w:r>
      <w:r>
        <w:rPr>
          <w:b/>
          <w:bCs/>
          <w:i/>
          <w:iCs/>
          <w:sz w:val="24"/>
          <w:szCs w:val="24"/>
        </w:rPr>
        <w:t xml:space="preserve"> rok.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3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Nájemné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644" w:hanging="360"/>
        <w:jc w:val="both"/>
        <w:rPr/>
      </w:pPr>
      <w:r>
        <w:rPr>
          <w:sz w:val="24"/>
          <w:szCs w:val="24"/>
        </w:rPr>
        <w:t xml:space="preserve">Nájemné za užívání nebytových prostor se stanovuje na </w:t>
      </w:r>
      <w:r>
        <w:rPr>
          <w:b/>
          <w:bCs/>
          <w:i/>
          <w:iCs/>
          <w:sz w:val="24"/>
          <w:szCs w:val="24"/>
        </w:rPr>
        <w:t xml:space="preserve"> 42 000,- Kč měsíčně,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podrobná kalkulace v </w:t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říloze č.1.</w:t>
      </w:r>
    </w:p>
    <w:p>
      <w:pPr>
        <w:pStyle w:val="LOnormal"/>
        <w:ind w:left="644" w:hanging="36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644" w:hanging="360"/>
        <w:jc w:val="both"/>
        <w:rPr/>
      </w:pPr>
      <w:r>
        <w:rPr>
          <w:sz w:val="24"/>
          <w:szCs w:val="24"/>
        </w:rPr>
        <w:t xml:space="preserve">Výši nájemného je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ronajímatel oprávněn každoročně k datu 1. července zvyšovat podle koeficientu vyjadřujícího míru růstu spotřebitelských cen publikovaného Českým statistickým úřadem. Zvýšení nájemného a záloh na služby bude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ájemci oznámeno písemně nejpozději do 20. června daného </w:t>
      </w:r>
      <w:r>
        <w:rPr>
          <w:sz w:val="24"/>
          <w:szCs w:val="24"/>
        </w:rPr>
        <w:t xml:space="preserve">kalendářního </w:t>
      </w:r>
      <w:r>
        <w:rPr>
          <w:sz w:val="24"/>
          <w:szCs w:val="24"/>
        </w:rPr>
        <w:t>roku.</w:t>
      </w:r>
    </w:p>
    <w:p>
      <w:pPr>
        <w:pStyle w:val="LOnormal"/>
        <w:ind w:left="644" w:hanging="360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1"/>
        </w:numPr>
        <w:ind w:left="644" w:hanging="360"/>
        <w:jc w:val="both"/>
        <w:rPr/>
      </w:pPr>
      <w:r>
        <w:rPr>
          <w:sz w:val="24"/>
          <w:szCs w:val="24"/>
        </w:rPr>
        <w:t xml:space="preserve">Nájemné je splatné měsíčně, 15. dne příslušného měsíce bezhotovostním převodem na účet </w:t>
      </w:r>
      <w:r>
        <w:rPr>
          <w:sz w:val="24"/>
          <w:szCs w:val="24"/>
        </w:rPr>
        <w:t>P</w:t>
      </w:r>
      <w:r>
        <w:rPr>
          <w:sz w:val="24"/>
          <w:szCs w:val="24"/>
        </w:rPr>
        <w:t>ronajímatele, vedený u Fio banky, č. Účtu:</w:t>
      </w:r>
      <w:r>
        <w:rPr>
          <w:b/>
          <w:bCs/>
          <w:i/>
          <w:iCs/>
        </w:rPr>
        <w:t xml:space="preserve"> </w:t>
      </w: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2001242377 / 2010</w:t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Nájemce se zavazuje platit nájemné ode dne účinnosti této smlouvy.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1"/>
        </w:numPr>
        <w:ind w:left="644" w:hanging="360"/>
        <w:jc w:val="both"/>
        <w:rPr>
          <w:sz w:val="24"/>
          <w:szCs w:val="24"/>
        </w:rPr>
      </w:pPr>
      <w:r>
        <w:rPr>
          <w:sz w:val="24"/>
          <w:szCs w:val="24"/>
        </w:rPr>
        <w:t>Výše úroku z prodlení se stanoví podle nařízení vlády 351/2013 Sb., kterým se stanový výše úroku  z prodlení a poplatku z prodlení podle občanského zákoníku.</w:t>
      </w:r>
    </w:p>
    <w:p>
      <w:pPr>
        <w:pStyle w:val="LO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4</w:t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Práva a povinnosti stran</w:t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Pronajímatel je povinen nebytové prostory vlastním nákladem udržovat ve stavu způsobilém ke smluvenému užívání. Pronajímatel je oprávněn požadovat vstup do nebytových prostorů za účelem kontroly, zda je </w:t>
      </w:r>
      <w:r>
        <w:rPr>
          <w:sz w:val="24"/>
          <w:szCs w:val="24"/>
        </w:rPr>
        <w:t>N</w:t>
      </w:r>
      <w:r>
        <w:rPr>
          <w:sz w:val="24"/>
          <w:szCs w:val="24"/>
        </w:rPr>
        <w:t>ájemce užívá řádným způsobem a k účelu uvedenému ve smlouvě.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Nájemce je povinen udržovat nebytový prostor v čistém stavu, hradit drobné opravy v prostoru související s jeho užíváním a náklady spojené s běžnou údržbou bytu, jak jsou vymezeny závazným právním předpisem č. 308/2015 Sb. 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Jakékoli stavební úpravy a změny může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ájemce provádět nebo o nich jednat pouze na základě předchozího </w:t>
      </w:r>
      <w:r>
        <w:rPr>
          <w:sz w:val="24"/>
          <w:szCs w:val="24"/>
        </w:rPr>
        <w:t xml:space="preserve">písemného </w:t>
      </w:r>
      <w:r>
        <w:rPr>
          <w:sz w:val="24"/>
          <w:szCs w:val="24"/>
        </w:rPr>
        <w:t xml:space="preserve">souhlasu </w:t>
      </w:r>
      <w:r>
        <w:rPr>
          <w:sz w:val="24"/>
          <w:szCs w:val="24"/>
        </w:rPr>
        <w:t>Pronajímatele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Písemného s</w:t>
      </w:r>
      <w:r>
        <w:rPr>
          <w:sz w:val="24"/>
          <w:szCs w:val="24"/>
        </w:rPr>
        <w:t xml:space="preserve">ouhlasu </w:t>
      </w:r>
      <w:r>
        <w:rPr>
          <w:sz w:val="24"/>
          <w:szCs w:val="24"/>
        </w:rPr>
        <w:t>P</w:t>
      </w:r>
      <w:r>
        <w:rPr>
          <w:sz w:val="24"/>
          <w:szCs w:val="24"/>
        </w:rPr>
        <w:t>ronajímatele je třeba rovněž pro umístění jakékoliv reklamy či informačního zařízení.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>Nájemce nemůže přenechat nebytové prostory nebo jejich část do podnájmu jiné osobě.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Po skončení nájmu je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ájemce povinen nebytové prostory předat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ronajímateli vyklizené a ve stavu, v jakém je převzal k užívání s přihlédnutím k obvyklému opotřebení – včetně dodatečných změn, které provedl se souhlasem </w:t>
      </w:r>
      <w:r>
        <w:rPr>
          <w:sz w:val="24"/>
          <w:szCs w:val="24"/>
        </w:rPr>
        <w:t>P</w:t>
      </w:r>
      <w:r>
        <w:rPr>
          <w:sz w:val="24"/>
          <w:szCs w:val="24"/>
        </w:rPr>
        <w:t>ronajímatele, a to nejpozději do dvou dní po skončení nájmu.</w:t>
      </w:r>
    </w:p>
    <w:p>
      <w:pPr>
        <w:pStyle w:val="LO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>Ostatní práva a povinnosti vyplývající z této smlouvy, pokud nejsou uvedeny přímo v této smlouvě, se řídí občanským zákoníkem.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5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Zánik nájmu</w:t>
      </w:r>
    </w:p>
    <w:p>
      <w:pPr>
        <w:pStyle w:val="LO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 xml:space="preserve">Nájem zaniká dohodou stran. Obě strany mohou </w:t>
      </w:r>
      <w:r>
        <w:rPr>
          <w:sz w:val="24"/>
          <w:szCs w:val="24"/>
        </w:rPr>
        <w:t>vždy</w:t>
      </w:r>
      <w:r>
        <w:rPr>
          <w:sz w:val="24"/>
          <w:szCs w:val="24"/>
        </w:rPr>
        <w:t xml:space="preserve"> vypovědět nájem </w:t>
      </w:r>
      <w:r>
        <w:rPr>
          <w:sz w:val="24"/>
          <w:szCs w:val="24"/>
        </w:rPr>
        <w:t>vzájemnou dohodou v</w:t>
      </w:r>
      <w:r>
        <w:rPr>
          <w:sz w:val="24"/>
          <w:szCs w:val="24"/>
        </w:rPr>
        <w:t xml:space="preserve"> písemn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form</w:t>
      </w:r>
      <w:r>
        <w:rPr>
          <w:sz w:val="24"/>
          <w:szCs w:val="24"/>
        </w:rPr>
        <w:t xml:space="preserve">ě </w:t>
      </w:r>
      <w:r>
        <w:rPr>
          <w:sz w:val="24"/>
          <w:szCs w:val="24"/>
        </w:rPr>
        <w:t xml:space="preserve">a nebo písemnou výpovědí za podmínek  stanovených v občanském zákoníku. </w:t>
      </w:r>
      <w:r>
        <w:rPr>
          <w:sz w:val="24"/>
          <w:szCs w:val="24"/>
        </w:rPr>
        <w:t>Smluvní strany prohlašují, že písemná</w:t>
      </w:r>
      <w:r>
        <w:rPr>
          <w:sz w:val="24"/>
          <w:szCs w:val="24"/>
        </w:rPr>
        <w:t xml:space="preserve"> výpověď </w:t>
      </w:r>
      <w:r>
        <w:rPr>
          <w:sz w:val="24"/>
          <w:szCs w:val="24"/>
        </w:rPr>
        <w:t>Smlouvy</w:t>
      </w:r>
      <w:r>
        <w:rPr>
          <w:sz w:val="24"/>
          <w:szCs w:val="24"/>
        </w:rPr>
        <w:t xml:space="preserve"> je možná </w:t>
      </w:r>
      <w:r>
        <w:rPr>
          <w:sz w:val="24"/>
          <w:szCs w:val="24"/>
        </w:rPr>
        <w:t xml:space="preserve">rovněž </w:t>
      </w:r>
      <w:r>
        <w:rPr>
          <w:sz w:val="24"/>
          <w:szCs w:val="24"/>
        </w:rPr>
        <w:t xml:space="preserve">bez uvedení důvodu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 výpovědní lhůtou 3 měsíce. Výpovědní lhůta se počítá od prvého dne měsíce následujícího po doručení výpovědi.   </w:t>
      </w:r>
    </w:p>
    <w:p>
      <w:pPr>
        <w:pStyle w:val="LO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Článek 6</w:t>
      </w:r>
    </w:p>
    <w:p>
      <w:pPr>
        <w:pStyle w:val="LOnormal"/>
        <w:ind w:left="36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ind w:left="360" w:hanging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Závěrečná ustanovení</w:t>
      </w:r>
    </w:p>
    <w:p>
      <w:pPr>
        <w:pStyle w:val="LO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Tato smlouva nabývá platnosti dnem podpisu obou stran a účinnosti dnem uvedeným v čl. 2 (den vzniku nájmu).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Změny podmínek, za nichž byla tato nájemní smlouva sjednána, mohou být provedeny pouze písemně dodatkem k této smlouvě.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Smluvní strany prohlašují, že se seznámily s obsahem smlouvy a že tato smlouva byla sepsána dle jejich pravé a svobodné vůle, nikoli v tísni či za nápadně nevýhodných podmínek.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 xml:space="preserve">Tato smlouva se vyhotovuje ve 3 stejnopisech, z nichž 1 obdrží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ronajímatel a 2 </w:t>
      </w:r>
      <w:r>
        <w:rPr>
          <w:sz w:val="24"/>
          <w:szCs w:val="24"/>
        </w:rPr>
        <w:t>N</w:t>
      </w:r>
      <w:r>
        <w:rPr>
          <w:sz w:val="24"/>
          <w:szCs w:val="24"/>
        </w:rPr>
        <w:t>ájemce.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Součástí smlouvy je kalkulace přiložení ke smlouvě jako příloha č. 1.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V Praze, dne ……………….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>.……………………………                                              ……………………………….</w:t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ronajímatel                                                                                </w:t>
      </w:r>
      <w:r>
        <w:rPr>
          <w:sz w:val="24"/>
          <w:szCs w:val="24"/>
        </w:rPr>
        <w:t>N</w:t>
      </w:r>
      <w:r>
        <w:rPr>
          <w:sz w:val="24"/>
          <w:szCs w:val="24"/>
        </w:rPr>
        <w:t>ájemce</w:t>
      </w:r>
    </w:p>
    <w:p>
      <w:pPr>
        <w:pStyle w:val="LOnormal"/>
        <w:jc w:val="both"/>
        <w:rPr/>
      </w:pPr>
      <w:r>
        <w:rPr>
          <w:sz w:val="24"/>
          <w:szCs w:val="24"/>
        </w:rPr>
        <w:tab/>
        <w:tab/>
        <w:tab/>
        <w:tab/>
        <w:tab/>
        <w:tab/>
        <w:tab/>
        <w:t xml:space="preserve">              PhDr. Ivan Bartoš, Ph.D.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                                                                                              </w:t>
      </w:r>
    </w:p>
    <w:p>
      <w:pPr>
        <w:pStyle w:val="LOnormal"/>
        <w:jc w:val="both"/>
        <w:rPr/>
      </w:pPr>
      <w:r>
        <w:rPr>
          <w:sz w:val="24"/>
          <w:szCs w:val="24"/>
        </w:rPr>
        <w:tab/>
        <w:tab/>
        <w:tab/>
        <w:tab/>
        <w:tab/>
        <w:tab/>
        <w:tab/>
        <w:t xml:space="preserve">     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enter" w:pos="4536" w:leader="none"/>
        <w:tab w:val="right" w:pos="9072" w:leader="none"/>
      </w:tabs>
      <w:rPr>
        <w:sz w:val="24"/>
        <w:szCs w:val="24"/>
      </w:rPr>
    </w:pPr>
    <w:r>
      <w:rPr>
        <w:sz w:val="24"/>
        <w:szCs w:val="24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2832100</wp:posOffset>
          </wp:positionH>
          <wp:positionV relativeFrom="paragraph">
            <wp:posOffset>635</wp:posOffset>
          </wp:positionV>
          <wp:extent cx="85725" cy="184150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" cy="184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  <w:rPr>
        <w:vertAlign w:val="baseline"/>
        <w:position w:val="0"/>
        <w:sz w:val="24"/>
        <w:sz w:val="24"/>
        <w:b w:val="false"/>
        <w:bCs w:val="false"/>
        <w:color w:val="000000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cs-CZ" w:eastAsia="cs-CZ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semiHidden="0" w:unhideWhenUsed="0" w:qFormat="1"/>
    <w:lsdException w:name="heading 6" w:locked="1" w:uiPriority="0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cs-CZ" w:eastAsia="cs-CZ" w:bidi="ar-SA"/>
    </w:rPr>
  </w:style>
  <w:style w:type="paragraph" w:styleId="Nadpis1">
    <w:name w:val="Heading 1"/>
    <w:basedOn w:val="Normal"/>
    <w:link w:val="Heading1Char"/>
    <w:uiPriority w:val="99"/>
    <w:qFormat/>
    <w:rsid w:val="00af19f9"/>
    <w:pPr>
      <w:keepNext/>
      <w:keepLines/>
      <w:widowControl w:val="false"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bCs/>
      <w:color w:val="00000A"/>
      <w:sz w:val="48"/>
      <w:szCs w:val="48"/>
      <w:lang w:val="cs-CZ" w:eastAsia="cs-CZ" w:bidi="ar-SA"/>
    </w:rPr>
  </w:style>
  <w:style w:type="paragraph" w:styleId="Nadpis2">
    <w:name w:val="Heading 2"/>
    <w:basedOn w:val="Normal"/>
    <w:link w:val="Heading2Char"/>
    <w:uiPriority w:val="99"/>
    <w:qFormat/>
    <w:rsid w:val="00af19f9"/>
    <w:pPr>
      <w:keepNext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bCs/>
      <w:color w:val="00000A"/>
      <w:sz w:val="36"/>
      <w:szCs w:val="36"/>
      <w:lang w:val="cs-CZ" w:eastAsia="cs-CZ" w:bidi="ar-SA"/>
    </w:rPr>
  </w:style>
  <w:style w:type="paragraph" w:styleId="Nadpis3">
    <w:name w:val="Heading 3"/>
    <w:basedOn w:val="Normal"/>
    <w:link w:val="Heading3Char"/>
    <w:uiPriority w:val="99"/>
    <w:qFormat/>
    <w:rsid w:val="00af19f9"/>
    <w:pPr>
      <w:keepNext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bCs/>
      <w:color w:val="00000A"/>
      <w:sz w:val="28"/>
      <w:szCs w:val="28"/>
      <w:lang w:val="cs-CZ" w:eastAsia="cs-CZ" w:bidi="ar-SA"/>
    </w:rPr>
  </w:style>
  <w:style w:type="paragraph" w:styleId="Nadpis4">
    <w:name w:val="Heading 4"/>
    <w:basedOn w:val="Normal"/>
    <w:link w:val="Heading4Char"/>
    <w:uiPriority w:val="99"/>
    <w:qFormat/>
    <w:rsid w:val="00af19f9"/>
    <w:pPr>
      <w:keepNext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bCs/>
      <w:color w:val="00000A"/>
      <w:sz w:val="24"/>
      <w:szCs w:val="24"/>
      <w:lang w:val="cs-CZ" w:eastAsia="cs-CZ" w:bidi="ar-SA"/>
    </w:rPr>
  </w:style>
  <w:style w:type="paragraph" w:styleId="Nadpis5">
    <w:name w:val="Heading 5"/>
    <w:basedOn w:val="Normal"/>
    <w:link w:val="Heading5Char"/>
    <w:uiPriority w:val="99"/>
    <w:qFormat/>
    <w:rsid w:val="00af19f9"/>
    <w:pPr>
      <w:keepNext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bCs/>
      <w:color w:val="00000A"/>
      <w:sz w:val="22"/>
      <w:szCs w:val="22"/>
      <w:lang w:val="cs-CZ" w:eastAsia="cs-CZ" w:bidi="ar-SA"/>
    </w:rPr>
  </w:style>
  <w:style w:type="paragraph" w:styleId="Nadpis6">
    <w:name w:val="Heading 6"/>
    <w:basedOn w:val="Normal"/>
    <w:link w:val="Heading6Char"/>
    <w:uiPriority w:val="99"/>
    <w:qFormat/>
    <w:rsid w:val="00af19f9"/>
    <w:pPr>
      <w:keepNext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bCs/>
      <w:color w:val="00000A"/>
      <w:sz w:val="20"/>
      <w:szCs w:val="22"/>
      <w:lang w:val="cs-CZ" w:eastAsia="cs-CZ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3fea"/>
    <w:rPr>
      <w:rFonts w:ascii="Cambria" w:hAnsi="Cambria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23fea"/>
    <w:rPr>
      <w:rFonts w:ascii="Cambria" w:hAnsi="Cambria" w:eastAsia="" w:cs="" w:asciiTheme="majorHAnsi" w:cstheme="majorBidi" w:eastAsiaTheme="majorEastAsia" w:hAnsiTheme="majorHAnsi"/>
      <w:b/>
      <w:bCs/>
      <w:i/>
      <w:iC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23fea"/>
    <w:rPr>
      <w:rFonts w:ascii="Cambria" w:hAnsi="Cambria" w:eastAsia="" w:cs="" w:asciiTheme="majorHAnsi" w:cstheme="majorBidi" w:eastAsiaTheme="majorEastAsia" w:hAnsiTheme="majorHAnsi"/>
      <w:b/>
      <w:bCs/>
      <w:color w:val="000000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3fea"/>
    <w:rPr>
      <w:rFonts w:ascii="Calibri" w:hAnsi="Calibri" w:eastAsia="" w:cs="" w:asciiTheme="minorHAnsi" w:cstheme="minorBidi" w:eastAsiaTheme="minorEastAsia" w:hAnsiTheme="minorHAnsi"/>
      <w:b/>
      <w:bCs/>
      <w:color w:val="00000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3fea"/>
    <w:rPr>
      <w:rFonts w:ascii="Calibri" w:hAnsi="Calibri" w:eastAsia="" w:cs="" w:asciiTheme="minorHAnsi" w:cstheme="minorBidi" w:eastAsiaTheme="minorEastAsia" w:hAnsiTheme="minorHAnsi"/>
      <w:b/>
      <w:bCs/>
      <w:i/>
      <w:iCs/>
      <w:color w:val="000000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3fea"/>
    <w:rPr>
      <w:rFonts w:ascii="Calibri" w:hAnsi="Calibri" w:eastAsia="" w:cs="" w:asciiTheme="minorHAnsi" w:cstheme="minorBidi" w:eastAsiaTheme="minorEastAsia" w:hAnsiTheme="minorHAnsi"/>
      <w:b/>
      <w:bCs/>
      <w:color w:val="000000"/>
    </w:rPr>
  </w:style>
  <w:style w:type="character" w:styleId="TitleChar" w:customStyle="1">
    <w:name w:val="Title Char"/>
    <w:basedOn w:val="DefaultParagraphFont"/>
    <w:link w:val="Title"/>
    <w:uiPriority w:val="10"/>
    <w:qFormat/>
    <w:rsid w:val="00623fea"/>
    <w:rPr>
      <w:rFonts w:ascii="Cambria" w:hAnsi="Cambria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3fea"/>
    <w:rPr>
      <w:rFonts w:ascii="Cambria" w:hAnsi="Cambria" w:eastAsia="" w:cs="" w:asciiTheme="majorHAnsi" w:cstheme="majorBidi" w:eastAsiaTheme="majorEastAsia" w:hAnsiTheme="majorHAnsi"/>
      <w:color w:val="000000"/>
      <w:sz w:val="24"/>
      <w:szCs w:val="24"/>
    </w:rPr>
  </w:style>
  <w:style w:type="character" w:styleId="ListLabel1">
    <w:name w:val="ListLabel 1"/>
    <w:qFormat/>
    <w:rPr>
      <w:b w:val="false"/>
      <w:bCs w:val="false"/>
      <w:color w:val="000000"/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4"/>
      <w:sz w:val="24"/>
      <w:vertAlign w:val="baseline"/>
    </w:rPr>
  </w:style>
  <w:style w:type="character" w:styleId="ListLabel3">
    <w:name w:val="ListLabel 3"/>
    <w:qFormat/>
    <w:rPr>
      <w:position w:val="0"/>
      <w:sz w:val="24"/>
      <w:sz w:val="24"/>
      <w:vertAlign w:val="baseline"/>
    </w:rPr>
  </w:style>
  <w:style w:type="character" w:styleId="ListLabel4">
    <w:name w:val="ListLabel 4"/>
    <w:qFormat/>
    <w:rPr>
      <w:position w:val="0"/>
      <w:sz w:val="24"/>
      <w:sz w:val="24"/>
      <w:vertAlign w:val="baseline"/>
    </w:rPr>
  </w:style>
  <w:style w:type="character" w:styleId="ListLabel5">
    <w:name w:val="ListLabel 5"/>
    <w:qFormat/>
    <w:rPr>
      <w:b w:val="false"/>
      <w:bCs w:val="false"/>
      <w:color w:val="0000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LOnormal" w:customStyle="1">
    <w:name w:val="LO-normal"/>
    <w:uiPriority w:val="99"/>
    <w:qFormat/>
    <w:rsid w:val="00af19f9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cs-CZ" w:eastAsia="cs-CZ" w:bidi="ar-SA"/>
    </w:rPr>
  </w:style>
  <w:style w:type="paragraph" w:styleId="Nzev">
    <w:name w:val="Title"/>
    <w:basedOn w:val="LOnormal"/>
    <w:link w:val="TitleChar"/>
    <w:uiPriority w:val="99"/>
    <w:qFormat/>
    <w:rsid w:val="00af19f9"/>
    <w:pPr>
      <w:keepNext/>
      <w:keepLines/>
      <w:spacing w:before="480" w:after="120"/>
    </w:pPr>
    <w:rPr>
      <w:b/>
      <w:bCs/>
      <w:sz w:val="72"/>
      <w:szCs w:val="72"/>
    </w:rPr>
  </w:style>
  <w:style w:type="paragraph" w:styleId="Podtitul">
    <w:name w:val="Subtitle"/>
    <w:basedOn w:val="LOnormal"/>
    <w:link w:val="SubtitleChar"/>
    <w:uiPriority w:val="99"/>
    <w:qFormat/>
    <w:rsid w:val="00af19f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paragraph" w:styleId="Zpat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303</TotalTime>
  <Application>LibreOffice/5.3.2.2$Windows_X86_64 LibreOffice_project/6cd4f1ef626f15116896b1d8e1398b56da0d0ee1</Application>
  <Pages>3</Pages>
  <Words>729</Words>
  <Characters>4087</Characters>
  <CharactersWithSpaces>5025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2018-04-02T11:04:00Z</dcterms:created>
  <dc:creator>Adam</dc:creator>
  <dc:description/>
  <dc:language>cs-CZ</dc:language>
  <cp:lastModifiedBy/>
  <dcterms:modified xsi:type="dcterms:W3CDTF">2018-06-28T23:24:05Z</dcterms:modified>
  <cp:revision>14</cp:revision>
  <dc:subject/>
  <dc:title>435SMLOUVA O NÁJMU NEBYTOVÝCH PROSTOR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