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Smlouva o poskytování konzultačních služeb</w:t>
      </w:r>
    </w:p>
    <w:p w:rsidR="00000000" w:rsidDel="00000000" w:rsidP="00000000" w:rsidRDefault="00000000" w:rsidRPr="00000000" w14:paraId="00000001">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Název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Česká pirátská strana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sídlem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Řehořova 943/19, 130 00, Praha 3 </w:t>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IČ</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71339698</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jednající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Štěpán Štrébl (hospodář)</w:t>
      </w: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(dále jen "klient")</w:t>
      </w:r>
    </w:p>
    <w:p w:rsidR="00000000" w:rsidDel="00000000" w:rsidP="00000000" w:rsidRDefault="00000000" w:rsidRPr="00000000" w14:paraId="00000008">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00A">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Jméno a příjmení: </w:t>
      </w:r>
      <w:r w:rsidDel="00000000" w:rsidR="00000000" w:rsidRPr="00000000">
        <w:rPr>
          <w:rFonts w:ascii="Arial" w:cs="Arial" w:eastAsia="Arial" w:hAnsi="Arial"/>
          <w:sz w:val="20"/>
          <w:szCs w:val="20"/>
          <w:rtl w:val="0"/>
        </w:rPr>
        <w:t xml:space="preserve">Martina Kavanová</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místo podnikání: </w:t>
      </w:r>
      <w:hyperlink r:id="rId6">
        <w:r w:rsidDel="00000000" w:rsidR="00000000" w:rsidRPr="00000000">
          <w:rPr>
            <w:rFonts w:ascii="Arial" w:cs="Arial" w:eastAsia="Arial" w:hAnsi="Arial"/>
            <w:sz w:val="20"/>
            <w:szCs w:val="20"/>
            <w:rtl w:val="0"/>
          </w:rPr>
          <w:t xml:space="preserve">Klausova 9, Praha 5, 155 00</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IČ:</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05252971</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bankovní spojení:</w:t>
      </w:r>
      <w:r w:rsidDel="00000000" w:rsidR="00000000" w:rsidRPr="00000000">
        <w:rPr>
          <w:rFonts w:ascii="Arial" w:cs="Arial" w:eastAsia="Arial" w:hAnsi="Arial"/>
          <w:sz w:val="20"/>
          <w:szCs w:val="20"/>
          <w:rtl w:val="0"/>
        </w:rPr>
        <w:t xml:space="preserve"> č. ú. </w:t>
      </w:r>
      <w:r w:rsidDel="00000000" w:rsidR="00000000" w:rsidRPr="00000000">
        <w:rPr>
          <w:rFonts w:ascii="Arial" w:cs="Arial" w:eastAsia="Arial" w:hAnsi="Arial"/>
          <w:color w:val="222222"/>
          <w:sz w:val="19"/>
          <w:szCs w:val="19"/>
          <w:rtl w:val="0"/>
        </w:rPr>
        <w:t xml:space="preserve">1423277022/3030‬</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2268"/>
        </w:tabs>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(dále jen "konzultant")</w:t>
      </w:r>
    </w:p>
    <w:p w:rsidR="00000000" w:rsidDel="00000000" w:rsidP="00000000" w:rsidRDefault="00000000" w:rsidRPr="00000000" w14:paraId="0000001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(společně dále též jako "smluvní strany")</w:t>
      </w:r>
    </w:p>
    <w:p w:rsidR="00000000" w:rsidDel="00000000" w:rsidP="00000000" w:rsidRDefault="00000000" w:rsidRPr="00000000" w14:paraId="00000012">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uzavřely níže uvedeného dne, měsíce a roku tuto Smlouvu o poskytování konzultačních služeb (dále jen „smlouva“):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Úvodní ustanovení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je držitelem živnostenského oprávnění, které mu umožňuje poskytovat klientovi služby podle této smlouvy. </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Klient je politická strana Česká pirátská strana.</w:t>
      </w:r>
    </w:p>
    <w:p w:rsidR="00000000" w:rsidDel="00000000" w:rsidP="00000000" w:rsidRDefault="00000000" w:rsidRPr="00000000" w14:paraId="00000019">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Předmět smlouvy</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Předmětem této smlouvy je závazek konzultanta poskytovat řádně, včas a s odbornou péčí klientovi odborné konzultace vždy v souladu se zadáním a požadavky klienta (dále jen „konzultace“) a závazek klienta zaplatit konzultantovi za řádně, včas a s odbornou péčí poskytnuté konzultace odměnu tak, jak je upraveno v článku 4. této smlouvy.</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Konzultací se pro účely této smlouvy taktéž rozumí řízení jednotlivých projektů podle objednávek klienta, jakož i plnění dalších úkolů, kterými klient dle potřeby v rámci konzultační činnosti konzultanta pověří.</w:t>
      </w:r>
    </w:p>
    <w:p w:rsidR="00000000" w:rsidDel="00000000" w:rsidP="00000000" w:rsidRDefault="00000000" w:rsidRPr="00000000" w14:paraId="0000001D">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Základní podmínky spolupráce</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bude provádět sjednané plnění na základě požadavku (objednávky) klienta.</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se výslovně zavazuje:</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provádět sjednané plnění na své náklady a nebezpečí. Konzultant je oprávněn využít služeb třetích osob k provádění dílčích částí sjednaného plnění, musí však o tom klienta předem informovat a klient má právo navrženou spolupráci zakázat. Konzultant může takovým osobám umožnit fakturovat České pirátské straně přímo. Za činnost spolupracujících třetích osob nese konzultant vůči klientovi plnou odpovědnost, jako by sjednané plnění prováděl sám, a to i když na základě předchozí dohody fakturují přímo,</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pacing w:before="80" w:lineRule="auto"/>
        <w:ind w:left="1287" w:hanging="56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poskytovat konzultace řádně a svědomitě a dodržovat požadavky kladené klientem na kvalitu poskytovaných konzultací,</w:t>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pacing w:before="80" w:lineRule="auto"/>
        <w:ind w:left="1287" w:hanging="56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dodržovat s klientem dohodnuté termíny a odbornou kvalitu provádění jednotlivých úkolů či projektů zadaných klientem.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se dále zavazuje, že předmět plnění dle této smlouvy bude provádět výhradně pro klienta. </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Smluvní strany se dále dohodly, že bez výslovného písemně uděleného souhlasu klienta konzultant nebude v takovém pracovním, obchodním a jiném podobném vztahu, ať již jednorázovém, dlouhodobém či trvalém, který by byl konfliktem zájmů klienta, či který by k takovému konfliktu zájmů mohl vést.</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se dále zavazuje, že po dobu platnosti této smlouvy nebude v žádném smluvním ani jiném obdobném vztahu s jinou právnickou či fyzickou osobou se stejným či  obdobným předmětem činnosti, který je upraven touto smlouvou, či stejným nebo obdobným předmětem činnosti, jaký má klient.</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Osobou oprávněnou za klienta jednat s konzultantem ve věci poskytování předmětu plnění podle této smlouvy a příslušných objednávek a plnění konzultanta kontrolovat je volební manažer nebo osoba či osoby jím pověřené. Změní-li klient okruh takto oprávněných osob, je povinen tuto skutečnost konzultantovi sdělit.</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bude zastávat pozici „Projektový manažer“. Mezi jeho hlavní odpovědnosti se řadí:</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samostatná exekutiva projektů v rámci volební kampaně,</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řízení členů volebního týmu,</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realizace a provádění výběrových a poptávkových řízení,</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synchronizace kampaně s městskými částmi a se senátními kandidáty,</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tvorba tabulek a prezentací,</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další činnost potřebná k úspěchu kampaně nebo k její analýze a činnost dle pokynů volebního manažera.</w:t>
      </w:r>
    </w:p>
    <w:p w:rsidR="00000000" w:rsidDel="00000000" w:rsidP="00000000" w:rsidRDefault="00000000" w:rsidRPr="00000000" w14:paraId="0000002F">
      <w:pPr>
        <w:pStyle w:val="Heading2"/>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Odměna a platební podmínky</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konzultace poskytované v souladu s ustanoveními této smlouvy přísluší konzultantovi odměna ve výši 30.000,- Kč měsíčně (slovy: třicet tisíc korun českých). Konzultant ke dni uzavření této smlouvy není plátcem DPH a odměna této dani nepodléhá.</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dále může obdržet úkolovou odměnu v maximální souhrnné výši 50 tisíc korun. O udělení odměny rozhoduje volební manažer – hospodář určený dle vnitřních předpisů klienta.</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Odměna bude konzultantovi vyplacena po předložení faktury splňující všechny zákonné náležitosti daňového dokladu. Faktura bude splatná ve lhůtě 14 dní od vystavení a doručení klientovi. Nebude-li stanoveno či dohodnuto jinak, bude fakturace prováděna v měsíčních intervalech.</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odměně jsou zahrnuty veškeré náklady, které konzultantovi s poskytováním plnění vzniknou, není-li dále stanoveno jinak. Konzultant má nárok na náhradu prokazatelně vynaložených výdajů na cesty mimo území hlavního města Prahy. Na náhradu dalších nákladů má konzultant právo pouze v případě, že byly vynaloženy s předchozím souhlasem klienta a pouze do stanovené výše.</w:t>
      </w:r>
    </w:p>
    <w:p w:rsidR="00000000" w:rsidDel="00000000" w:rsidP="00000000" w:rsidRDefault="00000000" w:rsidRPr="00000000" w14:paraId="00000035">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Práva a povinnosti smluvních stran</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Klient se zavazuje předat konzultantovi všechny potřebné informace a materiály k řádnému poskytování předmětu plnění.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se zavazuje předat klientovi veškerou dokumentaci související s příslušným poskytnutým plněním, včetně veškerých podkladů, dokumentů, materiálů, komponentů a jiných převzatých nebo získaných věcí a veškerých jiných písemných materiálů v listinné, elektronické či jiné podobě, které byly konzultantovi klientem zapůjčeny, nebo jinak poskytnuty.</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sám obstará vše, co je k plnění této smlouvy třeba, pokud se s klientem nedohodne jinak. Konzultant bude činnost podle této smlouvy provádět samostatně, bude však přitom vázán pokyny klienta. Bude-li konzultant považovat vydané pokyny za nevhodné z hlediska účelu smlouvy, jímž je volební úspěch, klienta na to včas upozorní.</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36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1701"/>
        </w:tabs>
        <w:spacing w:after="0" w:before="0" w:line="240" w:lineRule="auto"/>
        <w:ind w:left="360" w:right="0" w:hanging="36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Ochrana informací a mlčenlivost</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je srozuměn s tím, že veškeré skutečnosti, které se dozvěděl a dozví v souvislosti s činností pro klienta, jsou tajné a důvěrné, mají povahu obchodního tajemství a know-how a jsou chráněny příslušnými právními předpisy (dále jen „Důvěrné informace“).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Důvěrné informace se nepovažují informace, které se staly veřejně přístupnými, pokud se tak nestalo porušením povinnosti jejich ochrany, dále informace získané na základě postupu nezávislého na této smlouvě nebo druhé smluvní straně, kterým nedošlo k protiprávnímu jednání, pokud je smluvní strana, která informace získala, schopna tuto skutečnost řádně doložit, a konečně informace poskytnuté třetí osobou, která takové informace nezískala v důsledku porušení povinnosti jejich ochrany, ať již touto třetí osobou či kýmkoli jiným.</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bere na vědomí a souhlasí, že:</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není oprávněn jakýmkoliv způsobem užít, kopírovat či šířit Důvěrné informace, data a databázi klienta, ke které bude mít jako konzultant přístup v rámci poskytování předmětu plnění klientovi dle této smlouvy;</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bude zachovávat mlčenlivost o výši své odměny, jakož i o výši mzdy dalších spolupracovníků a zaměstnanců klienta, obdrží-li či získá-li takovouto informaci;</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bude využívat svěřené prostředky pouze k poskytování předmětu plnění;</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720"/>
          <w:tab w:val="left" w:pos="992"/>
        </w:tabs>
        <w:spacing w:after="0" w:before="80" w:line="240" w:lineRule="auto"/>
        <w:ind w:left="1287" w:right="0" w:hanging="567"/>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není oprávněn umožnit třetím osobám přístup k Důvěrným informacím, tyto informace jim sdělit či předat.</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Stanovená povinnost mlčenlivosti trvá i po skončení platnosti a účinnosti této smlouvy, a to po dobu následujících pěti let.</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Konzultant je povinen zajistit utajení získaných Důvěrných informací způsobem obvyklým pro utajování takových informací, není-li výslovně sjednáno jinak.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porušení povinností konzultanta stanovených tímto článkem smlouvy, je konzultant povinen zaplatit klientovi smluvní pokutu ve výši 50.000,- Kč za každé jednotlivé porušení povinnosti. Právo na náhradu škody tím není dotčeno.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Platnost smlouvy</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Tato smlouva je uzavírána na dobu určitou, a to od 1. 7. 2018 do 31. 10. 2018.</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left" w:pos="284"/>
          <w:tab w:val="left" w:pos="1701"/>
        </w:tabs>
        <w:spacing w:after="0" w:before="120" w:line="24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Závěrečná ustanovení</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Tato smlouva vstupuje v platnost a nabývá účinnosti dnem podpisu oběma smluvními stranami.</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Tato smlouva se řídí českým právním řádem, zejména občanským zákoníkem.</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by v rámci plnění této smlouvy konzultant vytvořil nehmotný statek, který je předmětem ochrany práv duševního vlastnictví (např. autorské dílo nebo databázi), poskytuje klientovi k užití tohoto nehmotného statku výhradní neomezenou licenci.</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Veškeré změny nebo doplňky této smlouvy musí být učiněny písemnou formou v podobě číslovaných dodatků podepsaných oprávněnými zástupci obou smluvních stran.</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Smluvní strany konstatují, že smlouva byla sepsána dle jejich pravé a svobodné vůle, s jejím obsahem bezvýhradně souhlasí, na důkaz čehož připojují vlastnoruční podpisy či podpisy osob oprávněných jménem smluvních stran jednat.</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792" w:right="0" w:hanging="432"/>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Tato smlouva je sepsána ve dvou vyhotoveních s platností originálu, přičemž každá smluvní strana obdrží jeden stejnopis.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720"/>
        </w:tabs>
        <w:spacing w:after="0" w:before="8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pStyle w:val="Heading1"/>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 Praze dne 30. 6. 2018</w:t>
      </w:r>
    </w:p>
    <w:p w:rsidR="00000000" w:rsidDel="00000000" w:rsidP="00000000" w:rsidRDefault="00000000" w:rsidRPr="00000000" w14:paraId="00000054">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contextualSpacing w:val="0"/>
        <w:jc w:val="both"/>
        <w:rPr>
          <w:rFonts w:ascii="Arial" w:cs="Arial" w:eastAsia="Arial" w:hAnsi="Arial"/>
          <w:sz w:val="20"/>
          <w:szCs w:val="20"/>
        </w:rPr>
      </w:pPr>
      <w:r w:rsidDel="00000000" w:rsidR="00000000" w:rsidRPr="00000000">
        <w:rPr>
          <w:rtl w:val="0"/>
        </w:rPr>
      </w:r>
    </w:p>
    <w:tbl>
      <w:tblPr>
        <w:tblStyle w:val="Table1"/>
        <w:tblW w:w="921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06"/>
        <w:gridCol w:w="4606"/>
        <w:tblGridChange w:id="0">
          <w:tblGrid>
            <w:gridCol w:w="4606"/>
            <w:gridCol w:w="4606"/>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56">
            <w:pPr>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7">
            <w:pPr>
              <w:contextualSpacing w:val="0"/>
              <w:jc w:val="center"/>
              <w:rPr>
                <w:rFonts w:ascii="Arial" w:cs="Arial" w:eastAsia="Arial" w:hAnsi="Arial"/>
              </w:rPr>
            </w:pPr>
            <w:r w:rsidDel="00000000" w:rsidR="00000000" w:rsidRPr="00000000">
              <w:rPr>
                <w:rFonts w:ascii="Arial" w:cs="Arial" w:eastAsia="Arial" w:hAnsi="Arial"/>
                <w:rtl w:val="0"/>
              </w:rPr>
              <w:t xml:space="preserve">Česká pirátská strana</w:t>
            </w:r>
          </w:p>
          <w:p w:rsidR="00000000" w:rsidDel="00000000" w:rsidP="00000000" w:rsidRDefault="00000000" w:rsidRPr="00000000" w14:paraId="00000058">
            <w:pPr>
              <w:contextualSpacing w:val="0"/>
              <w:jc w:val="center"/>
              <w:rPr>
                <w:rFonts w:ascii="Arial" w:cs="Arial" w:eastAsia="Arial" w:hAnsi="Arial"/>
                <w:sz w:val="16"/>
                <w:szCs w:val="16"/>
              </w:rPr>
            </w:pPr>
            <w:r w:rsidDel="00000000" w:rsidR="00000000" w:rsidRPr="00000000">
              <w:rPr>
                <w:rFonts w:ascii="Arial" w:cs="Arial" w:eastAsia="Arial" w:hAnsi="Arial"/>
                <w:rtl w:val="0"/>
              </w:rPr>
              <w:t xml:space="preserve">Štěpán Štrébl – hospodář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59">
            <w:pPr>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A">
            <w:pPr>
              <w:contextualSpacing w:val="0"/>
              <w:jc w:val="center"/>
              <w:rPr>
                <w:rFonts w:ascii="Arial" w:cs="Arial" w:eastAsia="Arial" w:hAnsi="Arial"/>
                <w:sz w:val="16"/>
                <w:szCs w:val="16"/>
              </w:rPr>
            </w:pPr>
            <w:r w:rsidDel="00000000" w:rsidR="00000000" w:rsidRPr="00000000">
              <w:rPr>
                <w:rFonts w:ascii="Arial" w:cs="Arial" w:eastAsia="Arial" w:hAnsi="Arial"/>
                <w:rtl w:val="0"/>
              </w:rPr>
              <w:t xml:space="preserve">Martina Kavanová</w:t>
            </w:r>
            <w:r w:rsidDel="00000000" w:rsidR="00000000" w:rsidRPr="00000000">
              <w:rPr>
                <w:rtl w:val="0"/>
              </w:rPr>
            </w:r>
          </w:p>
        </w:tc>
      </w:tr>
    </w:tbl>
    <w:p w:rsidR="00000000" w:rsidDel="00000000" w:rsidP="00000000" w:rsidRDefault="00000000" w:rsidRPr="00000000" w14:paraId="0000005B">
      <w:pPr>
        <w:widowControl w:val="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hd w:fill="ffffff" w:val="clear"/>
        <w:contextualSpacing w:val="0"/>
        <w:jc w:val="both"/>
        <w:rPr>
          <w:rFonts w:ascii="Arial" w:cs="Arial" w:eastAsia="Arial" w:hAnsi="Arial"/>
          <w:color w:val="000000"/>
          <w:sz w:val="16"/>
          <w:szCs w:val="16"/>
        </w:rPr>
      </w:pPr>
      <w:r w:rsidDel="00000000" w:rsidR="00000000" w:rsidRPr="00000000">
        <w:rPr>
          <w:rtl w:val="0"/>
        </w:rPr>
      </w:r>
    </w:p>
    <w:sectPr>
      <w:headerReference r:id="rId7" w:type="default"/>
      <w:footerReference r:id="rId8" w:type="default"/>
      <w:pgSz w:h="16838" w:w="11906"/>
      <w:pgMar w:bottom="2268" w:top="3119" w:left="1418" w:right="14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Condensed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tl w:val="0"/>
      </w:rPr>
      <w:t xml:space="preserve">Česká Pirátská Strana • Řehořova 943/19, Praha 3 • IČO 71339698 • Web:  http://praha.pirati.cz</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tl w:val="0"/>
      </w:rPr>
      <w:t xml:space="preserve"> •  Email: </w:t>
    </w:r>
    <w:hyperlink r:id="rId1">
      <w:r w:rsidDel="00000000" w:rsidR="00000000" w:rsidRPr="00000000">
        <w:rPr>
          <w:rFonts w:ascii="Roboto Condensed Light" w:cs="Roboto Condensed Light" w:eastAsia="Roboto Condensed Light" w:hAnsi="Roboto Condensed Light"/>
          <w:color w:val="1155cc"/>
          <w:sz w:val="24"/>
          <w:szCs w:val="24"/>
          <w:u w:val="single"/>
          <w:rtl w:val="0"/>
        </w:rPr>
        <w:t xml:space="preserve">kspraha@pirati.cz</w:t>
      </w:r>
    </w:hyperlink>
    <w:r w:rsidDel="00000000" w:rsidR="00000000" w:rsidRPr="00000000">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tl w:val="0"/>
      </w:rPr>
      <w:t xml:space="preserve">  •  Datová schránka:  xwfwgha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tl w:val="0"/>
      </w:rPr>
      <w:t xml:space="preserve">Transparentni účet: 2100048174/2010</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Roboto Condensed Light" w:cs="Roboto Condensed Light" w:eastAsia="Roboto Condensed Light" w:hAnsi="Roboto Condensed Light"/>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1418"/>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95154" cy="199088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5154" cy="19908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f5496"/>
      <w:sz w:val="28"/>
      <w:szCs w:val="2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s.google.com/?q=Klausova+9,+Praha+5,+155+00&amp;entry=gmail&amp;source=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Light-regular.ttf"/><Relationship Id="rId2" Type="http://schemas.openxmlformats.org/officeDocument/2006/relationships/font" Target="fonts/RobotoCondensedLight-bold.ttf"/><Relationship Id="rId3" Type="http://schemas.openxmlformats.org/officeDocument/2006/relationships/font" Target="fonts/RobotoCondensedLight-italic.ttf"/><Relationship Id="rId4" Type="http://schemas.openxmlformats.org/officeDocument/2006/relationships/font" Target="fonts/RobotoCondensed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kspraha@pirati.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