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F2AA" w14:textId="77777777" w:rsidR="00653F06" w:rsidRPr="00653F06" w:rsidRDefault="00653F06" w:rsidP="00653F06">
      <w:pPr>
        <w:rPr>
          <w:b/>
          <w:bCs/>
        </w:rPr>
      </w:pPr>
      <w:r w:rsidRPr="00653F06">
        <w:rPr>
          <w:b/>
          <w:bCs/>
        </w:rPr>
        <w:t>Literature Review</w:t>
      </w:r>
    </w:p>
    <w:p w14:paraId="1B8F2C11" w14:textId="77777777" w:rsidR="00653F06" w:rsidRDefault="00653F06" w:rsidP="00653F06"/>
    <w:p w14:paraId="5E9A4684" w14:textId="77777777" w:rsidR="00653F06" w:rsidRDefault="00653F06" w:rsidP="00653F06">
      <w:r>
        <w:t>Machine learning is increasingly being used in financial markets to predict stock returns and assess investment risk. Gu et al. (2020) examined machine-learning methods for predicting stock returns and found that models capable of identifying nonlinear relationships performed better than traditional approaches in several settings. Their research highlighted momentum, liquidity, and volatility as important predictors. They also demonstrated how annual, quarterly, and monthly financial characteristics can be combined for monthly stock-return prediction.</w:t>
      </w:r>
    </w:p>
    <w:p w14:paraId="5F901496" w14:textId="77777777" w:rsidR="00653F06" w:rsidRDefault="00653F06" w:rsidP="00653F06"/>
    <w:p w14:paraId="3572A824" w14:textId="77777777" w:rsidR="00653F06" w:rsidRDefault="00653F06" w:rsidP="00653F06">
      <w:r>
        <w:t xml:space="preserve">Babaei and Giudici (2025) examined the use of explainable artificial intelligence (XAI) in investment decision-making. Their study applied </w:t>
      </w:r>
      <w:proofErr w:type="spellStart"/>
      <w:r>
        <w:t>XGBoost</w:t>
      </w:r>
      <w:proofErr w:type="spellEnd"/>
      <w:r>
        <w:t xml:space="preserve"> and Shapley values to financial information from 2,049 small and medium-sized enterprises to predict and explain investment risk and expected returns. Although their research focused on private enterprises, it provides a useful foundation for applying similar methods to publicly traded Canadian companies.</w:t>
      </w:r>
    </w:p>
    <w:p w14:paraId="0AA94B44" w14:textId="77777777" w:rsidR="00653F06" w:rsidRDefault="00653F06" w:rsidP="00653F06"/>
    <w:p w14:paraId="1BB92F8B" w14:textId="77777777" w:rsidR="00653F06" w:rsidRDefault="00653F06" w:rsidP="00653F06">
      <w:r>
        <w:t>However, complex machine-learning models are often difficult to interpret. Lundberg and Lee (2017) introduced SHAP, which explains how individual features contribute to a model’s predictions. Similarly, Ribeiro et al. (2016) developed LIME, which explains individual predictions by approximating complex models with simpler local models. These methods help improve the transparency of machine-learning predictions.</w:t>
      </w:r>
    </w:p>
    <w:p w14:paraId="2A61B80C" w14:textId="77777777" w:rsidR="00653F06" w:rsidRDefault="00653F06" w:rsidP="00653F06"/>
    <w:p w14:paraId="01DE61F4" w14:textId="77777777" w:rsidR="00653F06" w:rsidRDefault="00653F06" w:rsidP="00653F06">
      <w:r>
        <w:t xml:space="preserve">Building on these studies, this project will examine TSX-listed companies using monthly stock returns alongside financial ratios and macroeconomic indicators. Logistic regression will serve as a baseline, while </w:t>
      </w:r>
      <w:proofErr w:type="spellStart"/>
      <w:r>
        <w:t>XGBoost</w:t>
      </w:r>
      <w:proofErr w:type="spellEnd"/>
      <w:r>
        <w:t xml:space="preserve"> will predict future stock outperformance and volatility-based risk. SHAP and LIME will be used to identify and compare important predictors across sectors. The study aims to determine whether machine learning can provide both useful predictions and understandable explanations for Canadian equity investment decisions.</w:t>
      </w:r>
    </w:p>
    <w:p w14:paraId="4B608CF4" w14:textId="77777777" w:rsidR="00653F06" w:rsidRDefault="00653F06" w:rsidP="00653F06"/>
    <w:p w14:paraId="520C5923" w14:textId="77777777" w:rsidR="00653F06" w:rsidRDefault="00653F06" w:rsidP="00653F06">
      <w:r>
        <w:t>References</w:t>
      </w:r>
    </w:p>
    <w:p w14:paraId="3EC48528" w14:textId="77777777" w:rsidR="00653F06" w:rsidRDefault="00653F06" w:rsidP="00653F06"/>
    <w:p w14:paraId="14352986" w14:textId="77777777" w:rsidR="00653F06" w:rsidRDefault="00653F06" w:rsidP="00653F06">
      <w:r>
        <w:lastRenderedPageBreak/>
        <w:t>Babaei, G., &amp; Giudici, P. (2025). Explainable artificial intelligence (XAI) in investment decision-making. Academia AI and Applications, 1(2). https://doi.org/10.20935/AcadAI8017</w:t>
      </w:r>
    </w:p>
    <w:p w14:paraId="5686B2ED" w14:textId="77777777" w:rsidR="00653F06" w:rsidRDefault="00653F06" w:rsidP="00653F06"/>
    <w:p w14:paraId="088AFF40" w14:textId="77777777" w:rsidR="00653F06" w:rsidRDefault="00653F06" w:rsidP="00653F06">
      <w:r>
        <w:t>Gu, S., Kelly, B., &amp; Xiu, D. (2020). Empirical asset pricing via machine learning. The Review of Financial Studies, 33(5), 2223–2273. https://doi.org/10.1093/rfs/hhaa009</w:t>
      </w:r>
    </w:p>
    <w:p w14:paraId="576EE2DC" w14:textId="77777777" w:rsidR="00653F06" w:rsidRDefault="00653F06" w:rsidP="00653F06"/>
    <w:p w14:paraId="5401FCFE" w14:textId="77777777" w:rsidR="00653F06" w:rsidRDefault="00653F06" w:rsidP="00653F06">
      <w:r>
        <w:t>Lundberg, S. M., &amp; Lee, S.-I. (2017). A unified approach to interpreting model predictions. Advances in Neural Information Processing Systems, 30, 4765–4774. https://papers.nips.cc/paper/2017/hash/8a20a8621978632d76c43dfd28b67767-Abstract.html</w:t>
      </w:r>
    </w:p>
    <w:p w14:paraId="6B538BC4" w14:textId="77777777" w:rsidR="00653F06" w:rsidRDefault="00653F06" w:rsidP="00653F06"/>
    <w:p w14:paraId="02071813" w14:textId="7F25C2D4" w:rsidR="00A06B48" w:rsidRDefault="00653F06" w:rsidP="00653F06">
      <w:r>
        <w:t xml:space="preserve">Ribeiro, M. T., Singh, S., &amp; </w:t>
      </w:r>
      <w:proofErr w:type="spellStart"/>
      <w:r>
        <w:t>Guestrin</w:t>
      </w:r>
      <w:proofErr w:type="spellEnd"/>
      <w:r>
        <w:t>, C. (2016). “Why should I trust you?”: Explaining the predictions of any classifier. In Proceedings of the 22nd ACM SIGKDD International Conference on Knowledge Discovery and Data Mining (pp. 1135–1144). Association for Computing Machinery. https://doi.org/10.1145/2939672.2939778</w:t>
      </w:r>
    </w:p>
    <w:sectPr w:rsidR="00A06B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F06"/>
    <w:rsid w:val="0024401E"/>
    <w:rsid w:val="00653F06"/>
    <w:rsid w:val="00A06B48"/>
    <w:rsid w:val="00F505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F0C2"/>
  <w15:chartTrackingRefBased/>
  <w15:docId w15:val="{36A98199-CE7D-4919-A511-B6C7A511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F06"/>
    <w:rPr>
      <w:rFonts w:eastAsiaTheme="majorEastAsia" w:cstheme="majorBidi"/>
      <w:color w:val="272727" w:themeColor="text1" w:themeTint="D8"/>
    </w:rPr>
  </w:style>
  <w:style w:type="paragraph" w:styleId="Title">
    <w:name w:val="Title"/>
    <w:basedOn w:val="Normal"/>
    <w:next w:val="Normal"/>
    <w:link w:val="TitleChar"/>
    <w:uiPriority w:val="10"/>
    <w:qFormat/>
    <w:rsid w:val="00653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F06"/>
    <w:pPr>
      <w:spacing w:before="160"/>
      <w:jc w:val="center"/>
    </w:pPr>
    <w:rPr>
      <w:i/>
      <w:iCs/>
      <w:color w:val="404040" w:themeColor="text1" w:themeTint="BF"/>
    </w:rPr>
  </w:style>
  <w:style w:type="character" w:customStyle="1" w:styleId="QuoteChar">
    <w:name w:val="Quote Char"/>
    <w:basedOn w:val="DefaultParagraphFont"/>
    <w:link w:val="Quote"/>
    <w:uiPriority w:val="29"/>
    <w:rsid w:val="00653F06"/>
    <w:rPr>
      <w:i/>
      <w:iCs/>
      <w:color w:val="404040" w:themeColor="text1" w:themeTint="BF"/>
    </w:rPr>
  </w:style>
  <w:style w:type="paragraph" w:styleId="ListParagraph">
    <w:name w:val="List Paragraph"/>
    <w:basedOn w:val="Normal"/>
    <w:uiPriority w:val="34"/>
    <w:qFormat/>
    <w:rsid w:val="00653F06"/>
    <w:pPr>
      <w:ind w:left="720"/>
      <w:contextualSpacing/>
    </w:pPr>
  </w:style>
  <w:style w:type="character" w:styleId="IntenseEmphasis">
    <w:name w:val="Intense Emphasis"/>
    <w:basedOn w:val="DefaultParagraphFont"/>
    <w:uiPriority w:val="21"/>
    <w:qFormat/>
    <w:rsid w:val="00653F06"/>
    <w:rPr>
      <w:i/>
      <w:iCs/>
      <w:color w:val="0F4761" w:themeColor="accent1" w:themeShade="BF"/>
    </w:rPr>
  </w:style>
  <w:style w:type="paragraph" w:styleId="IntenseQuote">
    <w:name w:val="Intense Quote"/>
    <w:basedOn w:val="Normal"/>
    <w:next w:val="Normal"/>
    <w:link w:val="IntenseQuoteChar"/>
    <w:uiPriority w:val="30"/>
    <w:qFormat/>
    <w:rsid w:val="00653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F06"/>
    <w:rPr>
      <w:i/>
      <w:iCs/>
      <w:color w:val="0F4761" w:themeColor="accent1" w:themeShade="BF"/>
    </w:rPr>
  </w:style>
  <w:style w:type="character" w:styleId="IntenseReference">
    <w:name w:val="Intense Reference"/>
    <w:basedOn w:val="DefaultParagraphFont"/>
    <w:uiPriority w:val="32"/>
    <w:qFormat/>
    <w:rsid w:val="00653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Ahmed Lehri</dc:creator>
  <cp:keywords/>
  <dc:description/>
  <cp:lastModifiedBy>Zain Ahmed Lehri</cp:lastModifiedBy>
  <cp:revision>1</cp:revision>
  <dcterms:created xsi:type="dcterms:W3CDTF">2026-10-14T01:10:00Z</dcterms:created>
  <dcterms:modified xsi:type="dcterms:W3CDTF">2026-10-14T01:10:00Z</dcterms:modified>
</cp:coreProperties>
</file>