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77217" w14:textId="77777777" w:rsidR="003E1E06" w:rsidRDefault="003E1E06" w:rsidP="003E1E06">
      <w:pPr>
        <w:pStyle w:val="Title"/>
        <w:jc w:val="center"/>
      </w:pPr>
      <w:r w:rsidRPr="003E1E06">
        <w:t>RESEARCH PROJECT PROPOSAL</w:t>
      </w:r>
    </w:p>
    <w:p w14:paraId="706EF529" w14:textId="77777777" w:rsidR="003E1E06" w:rsidRPr="003E1E06" w:rsidRDefault="003E1E06" w:rsidP="003E1E06">
      <w:pPr>
        <w:rPr>
          <w:lang w:val="en-CA"/>
        </w:rPr>
      </w:pPr>
    </w:p>
    <w:p w14:paraId="6610CB19" w14:textId="45B8FC72" w:rsidR="003E1E06" w:rsidRPr="003E1E06" w:rsidRDefault="003E1E06" w:rsidP="003E1E06">
      <w:pPr>
        <w:pStyle w:val="Title"/>
        <w:jc w:val="center"/>
        <w:rPr>
          <w:color w:val="156082" w:themeColor="accent1"/>
        </w:rPr>
      </w:pPr>
      <w:r w:rsidRPr="003E1E06">
        <w:rPr>
          <w:color w:val="156082" w:themeColor="accent1"/>
        </w:rPr>
        <w:t>Explainable AI for Investment Decision-Making</w:t>
      </w:r>
      <w:r w:rsidRPr="003E1E06">
        <w:rPr>
          <w:color w:val="156082" w:themeColor="accent1"/>
        </w:rPr>
        <w:t xml:space="preserve"> </w:t>
      </w:r>
      <w:r w:rsidRPr="003E1E06">
        <w:rPr>
          <w:color w:val="156082" w:themeColor="accent1"/>
        </w:rPr>
        <w:t>in the Canadian Equity Market</w:t>
      </w:r>
    </w:p>
    <w:p w14:paraId="3C862998" w14:textId="77777777" w:rsidR="003E1E06" w:rsidRDefault="003E1E06" w:rsidP="003E1E06">
      <w:pPr>
        <w:jc w:val="center"/>
        <w:rPr>
          <w:b/>
          <w:bCs/>
        </w:rPr>
      </w:pPr>
    </w:p>
    <w:p w14:paraId="685C8C4F" w14:textId="77777777" w:rsidR="003E1E06" w:rsidRDefault="003E1E06" w:rsidP="003E1E06">
      <w:pPr>
        <w:jc w:val="center"/>
        <w:rPr>
          <w:b/>
          <w:bCs/>
        </w:rPr>
      </w:pPr>
    </w:p>
    <w:p w14:paraId="5AAEB436" w14:textId="77777777" w:rsidR="003E1E06" w:rsidRDefault="003E1E06" w:rsidP="003E1E06">
      <w:pPr>
        <w:jc w:val="center"/>
        <w:rPr>
          <w:b/>
          <w:bCs/>
        </w:rPr>
      </w:pPr>
    </w:p>
    <w:p w14:paraId="0BED68DF" w14:textId="77777777" w:rsidR="003E1E06" w:rsidRDefault="003E1E06" w:rsidP="003E1E06">
      <w:pPr>
        <w:jc w:val="center"/>
        <w:rPr>
          <w:b/>
          <w:bCs/>
        </w:rPr>
      </w:pPr>
    </w:p>
    <w:p w14:paraId="6781EBA0" w14:textId="7B44729A" w:rsidR="003E1E06" w:rsidRPr="003E1E06" w:rsidRDefault="003E1E06" w:rsidP="003E1E06">
      <w:pPr>
        <w:jc w:val="center"/>
        <w:rPr>
          <w:b/>
          <w:bCs/>
        </w:rPr>
      </w:pPr>
      <w:r w:rsidRPr="003E1E06">
        <w:rPr>
          <w:b/>
          <w:bCs/>
        </w:rPr>
        <w:t>Team Number:</w:t>
      </w:r>
    </w:p>
    <w:p w14:paraId="7E394325" w14:textId="77777777" w:rsidR="003E1E06" w:rsidRPr="003E1E06" w:rsidRDefault="003E1E06" w:rsidP="003E1E06">
      <w:pPr>
        <w:jc w:val="center"/>
      </w:pPr>
      <w:proofErr w:type="spellStart"/>
      <w:r w:rsidRPr="003E1E06">
        <w:t>Biddut</w:t>
      </w:r>
      <w:proofErr w:type="spellEnd"/>
      <w:r w:rsidRPr="003E1E06">
        <w:t xml:space="preserve"> </w:t>
      </w:r>
      <w:proofErr w:type="spellStart"/>
      <w:r w:rsidRPr="003E1E06">
        <w:t>Kundo</w:t>
      </w:r>
      <w:proofErr w:type="spellEnd"/>
      <w:r w:rsidRPr="003E1E06">
        <w:t xml:space="preserve"> - 0893844</w:t>
      </w:r>
    </w:p>
    <w:p w14:paraId="32D78603" w14:textId="234DD2A6" w:rsidR="001212A2" w:rsidRDefault="003E1E06" w:rsidP="003E1E06">
      <w:pPr>
        <w:jc w:val="center"/>
        <w:sectPr w:rsidR="001212A2">
          <w:pgSz w:w="12240" w:h="15840"/>
          <w:pgMar w:top="1440" w:right="1440" w:bottom="1440" w:left="1440" w:header="708" w:footer="708" w:gutter="0"/>
          <w:cols w:space="708"/>
          <w:docGrid w:linePitch="360"/>
        </w:sectPr>
      </w:pPr>
      <w:r w:rsidRPr="003E1E06">
        <w:t>Mir Zain Ahmed Lehri - 088452</w:t>
      </w:r>
      <w:r>
        <w:t>5</w:t>
      </w:r>
    </w:p>
    <w:p w14:paraId="73F85520" w14:textId="77777777" w:rsidR="001212A2" w:rsidRDefault="001212A2"/>
    <w:sdt>
      <w:sdtPr>
        <w:id w:val="-1402677801"/>
        <w:docPartObj>
          <w:docPartGallery w:val="Table of Contents"/>
          <w:docPartUnique/>
        </w:docPartObj>
      </w:sdtPr>
      <w:sdtEndPr>
        <w:rPr>
          <w:rFonts w:ascii="Calibri" w:eastAsiaTheme="minorEastAsia" w:hAnsi="Calibri" w:cstheme="minorBidi"/>
          <w:b/>
          <w:bCs/>
          <w:noProof/>
          <w:color w:val="1E2730"/>
          <w:sz w:val="21"/>
          <w:szCs w:val="22"/>
        </w:rPr>
      </w:sdtEndPr>
      <w:sdtContent>
        <w:p w14:paraId="756EA8FA" w14:textId="0924285F" w:rsidR="003E1E06" w:rsidRDefault="003E1E06">
          <w:pPr>
            <w:pStyle w:val="TOCHeading"/>
          </w:pPr>
          <w:r>
            <w:t>Table of Contents</w:t>
          </w:r>
        </w:p>
        <w:p w14:paraId="479587B3" w14:textId="492135A4" w:rsidR="003E1E06" w:rsidRDefault="003E1E06">
          <w:pPr>
            <w:pStyle w:val="TOC1"/>
            <w:tabs>
              <w:tab w:val="right" w:leader="dot" w:pos="9350"/>
            </w:tabs>
            <w:rPr>
              <w:noProof/>
            </w:rPr>
          </w:pPr>
          <w:r>
            <w:fldChar w:fldCharType="begin"/>
          </w:r>
          <w:r>
            <w:instrText xml:space="preserve"> TOC \o "1-3" \h \z \u </w:instrText>
          </w:r>
          <w:r>
            <w:fldChar w:fldCharType="separate"/>
          </w:r>
          <w:hyperlink w:anchor="_Toc242814621" w:history="1">
            <w:r w:rsidRPr="004B1A6C">
              <w:rPr>
                <w:rStyle w:val="Hyperlink"/>
                <w:noProof/>
              </w:rPr>
              <w:t>1. Introduction</w:t>
            </w:r>
            <w:r>
              <w:rPr>
                <w:noProof/>
                <w:webHidden/>
              </w:rPr>
              <w:tab/>
            </w:r>
            <w:r>
              <w:rPr>
                <w:noProof/>
                <w:webHidden/>
              </w:rPr>
              <w:fldChar w:fldCharType="begin"/>
            </w:r>
            <w:r>
              <w:rPr>
                <w:noProof/>
                <w:webHidden/>
              </w:rPr>
              <w:instrText xml:space="preserve"> PAGEREF _Toc242814621 \h </w:instrText>
            </w:r>
            <w:r>
              <w:rPr>
                <w:noProof/>
                <w:webHidden/>
              </w:rPr>
            </w:r>
            <w:r>
              <w:rPr>
                <w:noProof/>
                <w:webHidden/>
              </w:rPr>
              <w:fldChar w:fldCharType="separate"/>
            </w:r>
            <w:r>
              <w:rPr>
                <w:noProof/>
                <w:webHidden/>
              </w:rPr>
              <w:t>3</w:t>
            </w:r>
            <w:r>
              <w:rPr>
                <w:noProof/>
                <w:webHidden/>
              </w:rPr>
              <w:fldChar w:fldCharType="end"/>
            </w:r>
          </w:hyperlink>
        </w:p>
        <w:p w14:paraId="4E83B744" w14:textId="7EE65E3F" w:rsidR="003E1E06" w:rsidRDefault="003E1E06">
          <w:pPr>
            <w:pStyle w:val="TOC1"/>
            <w:tabs>
              <w:tab w:val="right" w:leader="dot" w:pos="9350"/>
            </w:tabs>
            <w:rPr>
              <w:noProof/>
            </w:rPr>
          </w:pPr>
          <w:hyperlink w:anchor="_Toc242814622" w:history="1">
            <w:r w:rsidRPr="004B1A6C">
              <w:rPr>
                <w:rStyle w:val="Hyperlink"/>
                <w:noProof/>
              </w:rPr>
              <w:t>2. Literature Review</w:t>
            </w:r>
            <w:r>
              <w:rPr>
                <w:noProof/>
                <w:webHidden/>
              </w:rPr>
              <w:tab/>
            </w:r>
            <w:r>
              <w:rPr>
                <w:noProof/>
                <w:webHidden/>
              </w:rPr>
              <w:fldChar w:fldCharType="begin"/>
            </w:r>
            <w:r>
              <w:rPr>
                <w:noProof/>
                <w:webHidden/>
              </w:rPr>
              <w:instrText xml:space="preserve"> PAGEREF _Toc242814622 \h </w:instrText>
            </w:r>
            <w:r>
              <w:rPr>
                <w:noProof/>
                <w:webHidden/>
              </w:rPr>
            </w:r>
            <w:r>
              <w:rPr>
                <w:noProof/>
                <w:webHidden/>
              </w:rPr>
              <w:fldChar w:fldCharType="separate"/>
            </w:r>
            <w:r>
              <w:rPr>
                <w:noProof/>
                <w:webHidden/>
              </w:rPr>
              <w:t>4</w:t>
            </w:r>
            <w:r>
              <w:rPr>
                <w:noProof/>
                <w:webHidden/>
              </w:rPr>
              <w:fldChar w:fldCharType="end"/>
            </w:r>
          </w:hyperlink>
        </w:p>
        <w:p w14:paraId="2E1A925B" w14:textId="216B0646" w:rsidR="003E1E06" w:rsidRDefault="003E1E06">
          <w:pPr>
            <w:pStyle w:val="TOC1"/>
            <w:tabs>
              <w:tab w:val="right" w:leader="dot" w:pos="9350"/>
            </w:tabs>
            <w:rPr>
              <w:noProof/>
            </w:rPr>
          </w:pPr>
          <w:hyperlink w:anchor="_Toc242814623" w:history="1">
            <w:r w:rsidRPr="004B1A6C">
              <w:rPr>
                <w:rStyle w:val="Hyperlink"/>
                <w:noProof/>
              </w:rPr>
              <w:t>3. Data Set and Variable Definitions</w:t>
            </w:r>
            <w:r>
              <w:rPr>
                <w:noProof/>
                <w:webHidden/>
              </w:rPr>
              <w:tab/>
            </w:r>
            <w:r>
              <w:rPr>
                <w:noProof/>
                <w:webHidden/>
              </w:rPr>
              <w:fldChar w:fldCharType="begin"/>
            </w:r>
            <w:r>
              <w:rPr>
                <w:noProof/>
                <w:webHidden/>
              </w:rPr>
              <w:instrText xml:space="preserve"> PAGEREF _Toc242814623 \h </w:instrText>
            </w:r>
            <w:r>
              <w:rPr>
                <w:noProof/>
                <w:webHidden/>
              </w:rPr>
            </w:r>
            <w:r>
              <w:rPr>
                <w:noProof/>
                <w:webHidden/>
              </w:rPr>
              <w:fldChar w:fldCharType="separate"/>
            </w:r>
            <w:r>
              <w:rPr>
                <w:noProof/>
                <w:webHidden/>
              </w:rPr>
              <w:t>5</w:t>
            </w:r>
            <w:r>
              <w:rPr>
                <w:noProof/>
                <w:webHidden/>
              </w:rPr>
              <w:fldChar w:fldCharType="end"/>
            </w:r>
          </w:hyperlink>
        </w:p>
        <w:p w14:paraId="4C6D810E" w14:textId="2153B7E0" w:rsidR="003E1E06" w:rsidRDefault="003E1E06">
          <w:pPr>
            <w:pStyle w:val="TOC2"/>
            <w:tabs>
              <w:tab w:val="right" w:leader="dot" w:pos="9350"/>
            </w:tabs>
            <w:rPr>
              <w:noProof/>
            </w:rPr>
          </w:pPr>
          <w:hyperlink w:anchor="_Toc242814624" w:history="1">
            <w:r w:rsidRPr="004B1A6C">
              <w:rPr>
                <w:rStyle w:val="Hyperlink"/>
                <w:noProof/>
              </w:rPr>
              <w:t>3.1 Unit of analysis and timing</w:t>
            </w:r>
            <w:r>
              <w:rPr>
                <w:noProof/>
                <w:webHidden/>
              </w:rPr>
              <w:tab/>
            </w:r>
            <w:r>
              <w:rPr>
                <w:noProof/>
                <w:webHidden/>
              </w:rPr>
              <w:fldChar w:fldCharType="begin"/>
            </w:r>
            <w:r>
              <w:rPr>
                <w:noProof/>
                <w:webHidden/>
              </w:rPr>
              <w:instrText xml:space="preserve"> PAGEREF _Toc242814624 \h </w:instrText>
            </w:r>
            <w:r>
              <w:rPr>
                <w:noProof/>
                <w:webHidden/>
              </w:rPr>
            </w:r>
            <w:r>
              <w:rPr>
                <w:noProof/>
                <w:webHidden/>
              </w:rPr>
              <w:fldChar w:fldCharType="separate"/>
            </w:r>
            <w:r>
              <w:rPr>
                <w:noProof/>
                <w:webHidden/>
              </w:rPr>
              <w:t>5</w:t>
            </w:r>
            <w:r>
              <w:rPr>
                <w:noProof/>
                <w:webHidden/>
              </w:rPr>
              <w:fldChar w:fldCharType="end"/>
            </w:r>
          </w:hyperlink>
        </w:p>
        <w:p w14:paraId="1FFCC151" w14:textId="5B03BEB4" w:rsidR="003E1E06" w:rsidRDefault="003E1E06">
          <w:pPr>
            <w:pStyle w:val="TOC1"/>
            <w:tabs>
              <w:tab w:val="right" w:leader="dot" w:pos="9350"/>
            </w:tabs>
            <w:rPr>
              <w:noProof/>
            </w:rPr>
          </w:pPr>
          <w:hyperlink w:anchor="_Toc242814625" w:history="1">
            <w:r w:rsidRPr="004B1A6C">
              <w:rPr>
                <w:rStyle w:val="Hyperlink"/>
                <w:noProof/>
              </w:rPr>
              <w:t>4. Methodology</w:t>
            </w:r>
            <w:r>
              <w:rPr>
                <w:noProof/>
                <w:webHidden/>
              </w:rPr>
              <w:tab/>
            </w:r>
            <w:r>
              <w:rPr>
                <w:noProof/>
                <w:webHidden/>
              </w:rPr>
              <w:fldChar w:fldCharType="begin"/>
            </w:r>
            <w:r>
              <w:rPr>
                <w:noProof/>
                <w:webHidden/>
              </w:rPr>
              <w:instrText xml:space="preserve"> PAGEREF _Toc242814625 \h </w:instrText>
            </w:r>
            <w:r>
              <w:rPr>
                <w:noProof/>
                <w:webHidden/>
              </w:rPr>
            </w:r>
            <w:r>
              <w:rPr>
                <w:noProof/>
                <w:webHidden/>
              </w:rPr>
              <w:fldChar w:fldCharType="separate"/>
            </w:r>
            <w:r>
              <w:rPr>
                <w:noProof/>
                <w:webHidden/>
              </w:rPr>
              <w:t>6</w:t>
            </w:r>
            <w:r>
              <w:rPr>
                <w:noProof/>
                <w:webHidden/>
              </w:rPr>
              <w:fldChar w:fldCharType="end"/>
            </w:r>
          </w:hyperlink>
        </w:p>
        <w:p w14:paraId="3E9101FD" w14:textId="5D351CAE" w:rsidR="003E1E06" w:rsidRDefault="003E1E06">
          <w:pPr>
            <w:pStyle w:val="TOC2"/>
            <w:tabs>
              <w:tab w:val="right" w:leader="dot" w:pos="9350"/>
            </w:tabs>
            <w:rPr>
              <w:noProof/>
            </w:rPr>
          </w:pPr>
          <w:hyperlink w:anchor="_Toc242814626" w:history="1">
            <w:r w:rsidRPr="004B1A6C">
              <w:rPr>
                <w:rStyle w:val="Hyperlink"/>
                <w:noProof/>
              </w:rPr>
              <w:t>4.1 Prediction targets and feature engineering</w:t>
            </w:r>
            <w:r>
              <w:rPr>
                <w:noProof/>
                <w:webHidden/>
              </w:rPr>
              <w:tab/>
            </w:r>
            <w:r>
              <w:rPr>
                <w:noProof/>
                <w:webHidden/>
              </w:rPr>
              <w:fldChar w:fldCharType="begin"/>
            </w:r>
            <w:r>
              <w:rPr>
                <w:noProof/>
                <w:webHidden/>
              </w:rPr>
              <w:instrText xml:space="preserve"> PAGEREF _Toc242814626 \h </w:instrText>
            </w:r>
            <w:r>
              <w:rPr>
                <w:noProof/>
                <w:webHidden/>
              </w:rPr>
            </w:r>
            <w:r>
              <w:rPr>
                <w:noProof/>
                <w:webHidden/>
              </w:rPr>
              <w:fldChar w:fldCharType="separate"/>
            </w:r>
            <w:r>
              <w:rPr>
                <w:noProof/>
                <w:webHidden/>
              </w:rPr>
              <w:t>6</w:t>
            </w:r>
            <w:r>
              <w:rPr>
                <w:noProof/>
                <w:webHidden/>
              </w:rPr>
              <w:fldChar w:fldCharType="end"/>
            </w:r>
          </w:hyperlink>
        </w:p>
        <w:p w14:paraId="5C061E46" w14:textId="0C6303FD" w:rsidR="003E1E06" w:rsidRDefault="003E1E06">
          <w:pPr>
            <w:pStyle w:val="TOC2"/>
            <w:tabs>
              <w:tab w:val="right" w:leader="dot" w:pos="9350"/>
            </w:tabs>
            <w:rPr>
              <w:noProof/>
            </w:rPr>
          </w:pPr>
          <w:hyperlink w:anchor="_Toc242814627" w:history="1">
            <w:r w:rsidRPr="004B1A6C">
              <w:rPr>
                <w:rStyle w:val="Hyperlink"/>
                <w:noProof/>
              </w:rPr>
              <w:t>4.2 Data preparation and controls</w:t>
            </w:r>
            <w:r>
              <w:rPr>
                <w:noProof/>
                <w:webHidden/>
              </w:rPr>
              <w:tab/>
            </w:r>
            <w:r>
              <w:rPr>
                <w:noProof/>
                <w:webHidden/>
              </w:rPr>
              <w:fldChar w:fldCharType="begin"/>
            </w:r>
            <w:r>
              <w:rPr>
                <w:noProof/>
                <w:webHidden/>
              </w:rPr>
              <w:instrText xml:space="preserve"> PAGEREF _Toc242814627 \h </w:instrText>
            </w:r>
            <w:r>
              <w:rPr>
                <w:noProof/>
                <w:webHidden/>
              </w:rPr>
            </w:r>
            <w:r>
              <w:rPr>
                <w:noProof/>
                <w:webHidden/>
              </w:rPr>
              <w:fldChar w:fldCharType="separate"/>
            </w:r>
            <w:r>
              <w:rPr>
                <w:noProof/>
                <w:webHidden/>
              </w:rPr>
              <w:t>6</w:t>
            </w:r>
            <w:r>
              <w:rPr>
                <w:noProof/>
                <w:webHidden/>
              </w:rPr>
              <w:fldChar w:fldCharType="end"/>
            </w:r>
          </w:hyperlink>
        </w:p>
        <w:p w14:paraId="71C45BB0" w14:textId="0D96449A" w:rsidR="003E1E06" w:rsidRDefault="003E1E06">
          <w:pPr>
            <w:pStyle w:val="TOC2"/>
            <w:tabs>
              <w:tab w:val="right" w:leader="dot" w:pos="9350"/>
            </w:tabs>
            <w:rPr>
              <w:noProof/>
            </w:rPr>
          </w:pPr>
          <w:hyperlink w:anchor="_Toc242814628" w:history="1">
            <w:r w:rsidRPr="004B1A6C">
              <w:rPr>
                <w:rStyle w:val="Hyperlink"/>
                <w:noProof/>
              </w:rPr>
              <w:t>4.3 Model development, validation, and evaluation</w:t>
            </w:r>
            <w:r>
              <w:rPr>
                <w:noProof/>
                <w:webHidden/>
              </w:rPr>
              <w:tab/>
            </w:r>
            <w:r>
              <w:rPr>
                <w:noProof/>
                <w:webHidden/>
              </w:rPr>
              <w:fldChar w:fldCharType="begin"/>
            </w:r>
            <w:r>
              <w:rPr>
                <w:noProof/>
                <w:webHidden/>
              </w:rPr>
              <w:instrText xml:space="preserve"> PAGEREF _Toc242814628 \h </w:instrText>
            </w:r>
            <w:r>
              <w:rPr>
                <w:noProof/>
                <w:webHidden/>
              </w:rPr>
            </w:r>
            <w:r>
              <w:rPr>
                <w:noProof/>
                <w:webHidden/>
              </w:rPr>
              <w:fldChar w:fldCharType="separate"/>
            </w:r>
            <w:r>
              <w:rPr>
                <w:noProof/>
                <w:webHidden/>
              </w:rPr>
              <w:t>7</w:t>
            </w:r>
            <w:r>
              <w:rPr>
                <w:noProof/>
                <w:webHidden/>
              </w:rPr>
              <w:fldChar w:fldCharType="end"/>
            </w:r>
          </w:hyperlink>
        </w:p>
        <w:p w14:paraId="14FE5D3C" w14:textId="1C3AA267" w:rsidR="003E1E06" w:rsidRDefault="003E1E06">
          <w:pPr>
            <w:pStyle w:val="TOC2"/>
            <w:tabs>
              <w:tab w:val="right" w:leader="dot" w:pos="9350"/>
            </w:tabs>
            <w:rPr>
              <w:noProof/>
            </w:rPr>
          </w:pPr>
          <w:hyperlink w:anchor="_Toc242814629" w:history="1">
            <w:r w:rsidRPr="004B1A6C">
              <w:rPr>
                <w:rStyle w:val="Hyperlink"/>
                <w:noProof/>
              </w:rPr>
              <w:t>4.4 Explainable AI and research outputs</w:t>
            </w:r>
            <w:r>
              <w:rPr>
                <w:noProof/>
                <w:webHidden/>
              </w:rPr>
              <w:tab/>
            </w:r>
            <w:r>
              <w:rPr>
                <w:noProof/>
                <w:webHidden/>
              </w:rPr>
              <w:fldChar w:fldCharType="begin"/>
            </w:r>
            <w:r>
              <w:rPr>
                <w:noProof/>
                <w:webHidden/>
              </w:rPr>
              <w:instrText xml:space="preserve"> PAGEREF _Toc242814629 \h </w:instrText>
            </w:r>
            <w:r>
              <w:rPr>
                <w:noProof/>
                <w:webHidden/>
              </w:rPr>
            </w:r>
            <w:r>
              <w:rPr>
                <w:noProof/>
                <w:webHidden/>
              </w:rPr>
              <w:fldChar w:fldCharType="separate"/>
            </w:r>
            <w:r>
              <w:rPr>
                <w:noProof/>
                <w:webHidden/>
              </w:rPr>
              <w:t>7</w:t>
            </w:r>
            <w:r>
              <w:rPr>
                <w:noProof/>
                <w:webHidden/>
              </w:rPr>
              <w:fldChar w:fldCharType="end"/>
            </w:r>
          </w:hyperlink>
        </w:p>
        <w:p w14:paraId="7D4B88A8" w14:textId="751937B6" w:rsidR="003E1E06" w:rsidRDefault="003E1E06">
          <w:pPr>
            <w:pStyle w:val="TOC1"/>
            <w:tabs>
              <w:tab w:val="right" w:leader="dot" w:pos="9350"/>
            </w:tabs>
            <w:rPr>
              <w:noProof/>
            </w:rPr>
          </w:pPr>
          <w:hyperlink w:anchor="_Toc242814630" w:history="1">
            <w:r w:rsidRPr="004B1A6C">
              <w:rPr>
                <w:rStyle w:val="Hyperlink"/>
                <w:noProof/>
              </w:rPr>
              <w:t>5. Project Plan and Gantt Chart</w:t>
            </w:r>
            <w:r>
              <w:rPr>
                <w:noProof/>
                <w:webHidden/>
              </w:rPr>
              <w:tab/>
            </w:r>
            <w:r>
              <w:rPr>
                <w:noProof/>
                <w:webHidden/>
              </w:rPr>
              <w:fldChar w:fldCharType="begin"/>
            </w:r>
            <w:r>
              <w:rPr>
                <w:noProof/>
                <w:webHidden/>
              </w:rPr>
              <w:instrText xml:space="preserve"> PAGEREF _Toc242814630 \h </w:instrText>
            </w:r>
            <w:r>
              <w:rPr>
                <w:noProof/>
                <w:webHidden/>
              </w:rPr>
            </w:r>
            <w:r>
              <w:rPr>
                <w:noProof/>
                <w:webHidden/>
              </w:rPr>
              <w:fldChar w:fldCharType="separate"/>
            </w:r>
            <w:r>
              <w:rPr>
                <w:noProof/>
                <w:webHidden/>
              </w:rPr>
              <w:t>9</w:t>
            </w:r>
            <w:r>
              <w:rPr>
                <w:noProof/>
                <w:webHidden/>
              </w:rPr>
              <w:fldChar w:fldCharType="end"/>
            </w:r>
          </w:hyperlink>
        </w:p>
        <w:p w14:paraId="31557270" w14:textId="637B381A" w:rsidR="003E1E06" w:rsidRDefault="003E1E06">
          <w:r>
            <w:rPr>
              <w:b/>
              <w:bCs/>
              <w:noProof/>
            </w:rPr>
            <w:fldChar w:fldCharType="end"/>
          </w:r>
        </w:p>
      </w:sdtContent>
    </w:sdt>
    <w:p w14:paraId="113CE893" w14:textId="77777777" w:rsidR="003E1E06" w:rsidRDefault="003E1E06">
      <w:pPr>
        <w:sectPr w:rsidR="003E1E06">
          <w:pgSz w:w="12240" w:h="15840"/>
          <w:pgMar w:top="1440" w:right="1440" w:bottom="1440" w:left="1440" w:header="708" w:footer="708" w:gutter="0"/>
          <w:cols w:space="708"/>
          <w:docGrid w:linePitch="360"/>
        </w:sectPr>
      </w:pPr>
    </w:p>
    <w:p w14:paraId="0709AFE7" w14:textId="77777777" w:rsidR="001212A2" w:rsidRDefault="001212A2" w:rsidP="001212A2">
      <w:pPr>
        <w:pStyle w:val="Title"/>
      </w:pPr>
      <w:r w:rsidRPr="00F112D8">
        <w:lastRenderedPageBreak/>
        <w:t>Explainable AI (XAI) for Investment Decision-Making in the Canadian Equity Market</w:t>
      </w:r>
    </w:p>
    <w:p w14:paraId="19ADDDA7" w14:textId="77777777" w:rsidR="001212A2" w:rsidRDefault="001212A2" w:rsidP="001212A2">
      <w:pPr>
        <w:pStyle w:val="Heading1"/>
      </w:pPr>
      <w:bookmarkStart w:id="0" w:name="_Toc242814621"/>
      <w:r>
        <w:t>1. Introduction</w:t>
      </w:r>
      <w:bookmarkEnd w:id="0"/>
    </w:p>
    <w:p w14:paraId="3E1D1401" w14:textId="77777777" w:rsidR="001212A2" w:rsidRPr="00F112D8" w:rsidRDefault="001212A2" w:rsidP="001212A2">
      <w:pPr>
        <w:rPr>
          <w:lang w:val="en-CA"/>
        </w:rPr>
      </w:pPr>
      <w:r w:rsidRPr="00F112D8">
        <w:rPr>
          <w:lang w:val="en-CA"/>
        </w:rPr>
        <w:t xml:space="preserve">Artificial intelligence (AI) is becoming increasingly useful in financial markets, helping investors analyze large amounts of information and identify patterns that traditional methods might miss. However, there is one major problem: AI models can make predictions without clearly explaining how they reached them. This is commonly known as the </w:t>
      </w:r>
      <w:r w:rsidRPr="00F112D8">
        <w:rPr>
          <w:i/>
          <w:iCs/>
          <w:lang w:val="en-CA"/>
        </w:rPr>
        <w:t>black-box problem</w:t>
      </w:r>
      <w:r w:rsidRPr="00F112D8">
        <w:rPr>
          <w:lang w:val="en-CA"/>
        </w:rPr>
        <w:t>.</w:t>
      </w:r>
    </w:p>
    <w:p w14:paraId="7C953703" w14:textId="77777777" w:rsidR="001212A2" w:rsidRPr="00F112D8" w:rsidRDefault="001212A2" w:rsidP="001212A2">
      <w:pPr>
        <w:rPr>
          <w:lang w:val="en-CA"/>
        </w:rPr>
      </w:pPr>
      <w:r w:rsidRPr="00F112D8">
        <w:rPr>
          <w:lang w:val="en-CA"/>
        </w:rPr>
        <w:t>This project, titled "Explainable AI (XAI) for Investment Decision-Making in the Canadian Equity Market," aims to investigate whether machine learning can predict stock performance and investment risk while making those predictions easier to understand.</w:t>
      </w:r>
    </w:p>
    <w:p w14:paraId="036C6754" w14:textId="77777777" w:rsidR="001212A2" w:rsidRPr="00F112D8" w:rsidRDefault="001212A2" w:rsidP="001212A2">
      <w:pPr>
        <w:rPr>
          <w:lang w:val="en-CA"/>
        </w:rPr>
      </w:pPr>
      <w:r w:rsidRPr="00F112D8">
        <w:rPr>
          <w:lang w:val="en-CA"/>
        </w:rPr>
        <w:t xml:space="preserve">The study will focus on selected companies from the S&amp;P/TSX Composite, Canada's main stock market benchmark. Two outcomes will be examined. First, the model will predict whether a stock will outperform the S&amp;P/TSX Composite in the following month. This is measured using </w:t>
      </w:r>
      <w:r w:rsidRPr="00F112D8">
        <w:rPr>
          <w:i/>
          <w:iCs/>
          <w:lang w:val="en-CA"/>
        </w:rPr>
        <w:t>active return</w:t>
      </w:r>
      <w:r w:rsidRPr="00F112D8">
        <w:rPr>
          <w:lang w:val="en-CA"/>
        </w:rPr>
        <w:t xml:space="preserve">, which is the difference between a stock's return and the market's return. Second, the model will predict whether a stock will experience high volatility over the following 12 months. </w:t>
      </w:r>
      <w:r w:rsidRPr="00F112D8">
        <w:rPr>
          <w:i/>
          <w:iCs/>
          <w:lang w:val="en-CA"/>
        </w:rPr>
        <w:t>Volatility</w:t>
      </w:r>
      <w:r w:rsidRPr="00F112D8">
        <w:rPr>
          <w:lang w:val="en-CA"/>
        </w:rPr>
        <w:t xml:space="preserve"> measures how much stock returns fluctuate, and annualized volatility of 20% or greater will be used as the high-risk threshold, adapted from Canadian investment fund risk classifications.</w:t>
      </w:r>
    </w:p>
    <w:p w14:paraId="70C4B118" w14:textId="77777777" w:rsidR="001212A2" w:rsidRPr="00F112D8" w:rsidRDefault="001212A2" w:rsidP="001212A2">
      <w:pPr>
        <w:rPr>
          <w:lang w:val="en-CA"/>
        </w:rPr>
      </w:pPr>
      <w:r w:rsidRPr="00F112D8">
        <w:rPr>
          <w:lang w:val="en-CA"/>
        </w:rPr>
        <w:t>To make these predictions, the study will combine company fundamentals, such as return on assets (ROA), return on equity (ROE), earnings growth, and price-to-earnings (P/E) ratios, with monthly stock returns and macroeconomic indicators such as inflation and interest rates.</w:t>
      </w:r>
    </w:p>
    <w:p w14:paraId="44CACCAC" w14:textId="77777777" w:rsidR="001212A2" w:rsidRPr="00F112D8" w:rsidRDefault="001212A2" w:rsidP="001212A2">
      <w:pPr>
        <w:rPr>
          <w:lang w:val="en-CA"/>
        </w:rPr>
      </w:pPr>
      <w:r w:rsidRPr="00F112D8">
        <w:rPr>
          <w:lang w:val="en-CA"/>
        </w:rPr>
        <w:t xml:space="preserve">Two models will be compared: logistic regression, a traditional statistical method for predicting the probability of an outcome, and </w:t>
      </w:r>
      <w:proofErr w:type="spellStart"/>
      <w:r w:rsidRPr="00F112D8">
        <w:rPr>
          <w:lang w:val="en-CA"/>
        </w:rPr>
        <w:t>XGBoost</w:t>
      </w:r>
      <w:proofErr w:type="spellEnd"/>
      <w:r w:rsidRPr="00F112D8">
        <w:rPr>
          <w:lang w:val="en-CA"/>
        </w:rPr>
        <w:t xml:space="preserve">, a more advanced machine-learning algorithm that combines decision trees to identify complex relationships. Their performance will be tested using historical data that was not used during training, known as </w:t>
      </w:r>
      <w:r w:rsidRPr="00F112D8">
        <w:rPr>
          <w:i/>
          <w:iCs/>
          <w:lang w:val="en-CA"/>
        </w:rPr>
        <w:t>out-of-sample testing</w:t>
      </w:r>
      <w:r w:rsidRPr="00F112D8">
        <w:rPr>
          <w:lang w:val="en-CA"/>
        </w:rPr>
        <w:t>.</w:t>
      </w:r>
    </w:p>
    <w:p w14:paraId="331AAC24" w14:textId="77777777" w:rsidR="001212A2" w:rsidRPr="00F112D8" w:rsidRDefault="001212A2" w:rsidP="001212A2">
      <w:pPr>
        <w:rPr>
          <w:lang w:val="en-CA"/>
        </w:rPr>
      </w:pPr>
      <w:r w:rsidRPr="00F112D8">
        <w:rPr>
          <w:lang w:val="en-CA"/>
        </w:rPr>
        <w:t xml:space="preserve">The </w:t>
      </w:r>
      <w:proofErr w:type="gramStart"/>
      <w:r w:rsidRPr="00F112D8">
        <w:rPr>
          <w:lang w:val="en-CA"/>
        </w:rPr>
        <w:t>main focus</w:t>
      </w:r>
      <w:proofErr w:type="gramEnd"/>
      <w:r w:rsidRPr="00F112D8">
        <w:rPr>
          <w:lang w:val="en-CA"/>
        </w:rPr>
        <w:t xml:space="preserve">, however, is explainability. SHAP and LIME, two Explainable AI (XAI) techniques, will help identify which financial and market variables influenced </w:t>
      </w:r>
      <w:proofErr w:type="spellStart"/>
      <w:r w:rsidRPr="00F112D8">
        <w:rPr>
          <w:lang w:val="en-CA"/>
        </w:rPr>
        <w:t>XGBoost's</w:t>
      </w:r>
      <w:proofErr w:type="spellEnd"/>
      <w:r w:rsidRPr="00F112D8">
        <w:rPr>
          <w:lang w:val="en-CA"/>
        </w:rPr>
        <w:t xml:space="preserve"> predictions. The study will also investigate whether these factors differ across sectors, since banks, technology companies, and utilities operate under different financial conditions.</w:t>
      </w:r>
    </w:p>
    <w:p w14:paraId="214AA9C3" w14:textId="77777777" w:rsidR="001212A2" w:rsidRPr="00F112D8" w:rsidRDefault="001212A2" w:rsidP="001212A2">
      <w:pPr>
        <w:rPr>
          <w:lang w:val="en-CA"/>
        </w:rPr>
      </w:pPr>
      <w:r w:rsidRPr="00F112D8">
        <w:rPr>
          <w:lang w:val="en-CA"/>
        </w:rPr>
        <w:t xml:space="preserve">Ultimately, the goal is not simply to identify which stocks might perform well, but to determine how accurately AI can predict investment outcomes and how </w:t>
      </w:r>
      <w:proofErr w:type="gramStart"/>
      <w:r w:rsidRPr="00F112D8">
        <w:rPr>
          <w:lang w:val="en-CA"/>
        </w:rPr>
        <w:t>clearly</w:t>
      </w:r>
      <w:proofErr w:type="gramEnd"/>
      <w:r w:rsidRPr="00F112D8">
        <w:rPr>
          <w:lang w:val="en-CA"/>
        </w:rPr>
        <w:t xml:space="preserve"> we can explain its reasoning. The findings may help make machine-learning-based investment analysis more transparent and useful for financial decision-making.</w:t>
      </w:r>
    </w:p>
    <w:p w14:paraId="485F58A9" w14:textId="77777777" w:rsidR="001212A2" w:rsidRDefault="001212A2" w:rsidP="001212A2"/>
    <w:p w14:paraId="0CD9156D" w14:textId="77777777" w:rsidR="001212A2" w:rsidRDefault="001212A2" w:rsidP="001212A2">
      <w:pPr>
        <w:pStyle w:val="Heading1"/>
        <w:pageBreakBefore/>
      </w:pPr>
      <w:bookmarkStart w:id="1" w:name="_Toc242814622"/>
      <w:r>
        <w:lastRenderedPageBreak/>
        <w:t>2. Literature Review</w:t>
      </w:r>
      <w:bookmarkEnd w:id="1"/>
    </w:p>
    <w:p w14:paraId="7F17BBC1" w14:textId="77777777" w:rsidR="001212A2" w:rsidRPr="00882FDE" w:rsidRDefault="001212A2" w:rsidP="001212A2">
      <w:pPr>
        <w:spacing w:line="240" w:lineRule="auto"/>
        <w:rPr>
          <w:lang w:val="en-CA"/>
        </w:rPr>
      </w:pPr>
      <w:r w:rsidRPr="00882FDE">
        <w:rPr>
          <w:lang w:val="en-CA"/>
        </w:rPr>
        <w:t xml:space="preserve">Predicting stock performance has been an important topic in financial research for decades. Traditional financial models often examine how company fundamentals, valuation, and market conditions relate to stock returns. Fama and French (1992) found that company size and book-to-market ratio, which compares a company's accounting value with its market value, help explain differences in stock returns. They also recognized that financial ratios </w:t>
      </w:r>
      <w:proofErr w:type="gramStart"/>
      <w:r w:rsidRPr="00882FDE">
        <w:rPr>
          <w:lang w:val="en-CA"/>
        </w:rPr>
        <w:t>can</w:t>
      </w:r>
      <w:proofErr w:type="gramEnd"/>
      <w:r w:rsidRPr="00882FDE">
        <w:rPr>
          <w:lang w:val="en-CA"/>
        </w:rPr>
        <w:t xml:space="preserve"> have different meanings across industries. For example, high leverage is normal for banks but may indicate financial difficulty for other companies. This is particularly relevant to our study, which includes companies from different Canadian sectors.</w:t>
      </w:r>
    </w:p>
    <w:p w14:paraId="4C8ACE0E" w14:textId="77777777" w:rsidR="001212A2" w:rsidRPr="00882FDE" w:rsidRDefault="001212A2" w:rsidP="001212A2">
      <w:pPr>
        <w:spacing w:line="240" w:lineRule="auto"/>
        <w:rPr>
          <w:lang w:val="en-CA"/>
        </w:rPr>
      </w:pPr>
      <w:r w:rsidRPr="00882FDE">
        <w:rPr>
          <w:lang w:val="en-CA"/>
        </w:rPr>
        <w:t xml:space="preserve">More recently, researchers have explored whether machine learning can improve financial predictions. Gu et al. (2020) examined several machine-learning methods for predicting monthly stock returns using 94 company characteristics, including financial ratios, valuation measures, and market indicators. Their study demonstrated how annual, quarterly, and monthly information can be combined in one dataset. They also accounted for reporting delays to avoid </w:t>
      </w:r>
      <w:r w:rsidRPr="00882FDE">
        <w:rPr>
          <w:i/>
          <w:iCs/>
          <w:lang w:val="en-CA"/>
        </w:rPr>
        <w:t>look-ahead bias</w:t>
      </w:r>
      <w:r w:rsidRPr="00882FDE">
        <w:rPr>
          <w:lang w:val="en-CA"/>
        </w:rPr>
        <w:t>, which occurs when a model accidentally uses information that was not available at the time of prediction. This provides an important foundation for our project, since company financial statements are reported annually or quarterly, while our stock-return data is monthly.</w:t>
      </w:r>
    </w:p>
    <w:p w14:paraId="040FBB24" w14:textId="77777777" w:rsidR="001212A2" w:rsidRPr="00882FDE" w:rsidRDefault="001212A2" w:rsidP="001212A2">
      <w:pPr>
        <w:spacing w:line="240" w:lineRule="auto"/>
        <w:rPr>
          <w:lang w:val="en-CA"/>
        </w:rPr>
      </w:pPr>
      <w:r w:rsidRPr="00882FDE">
        <w:rPr>
          <w:lang w:val="en-CA"/>
        </w:rPr>
        <w:t xml:space="preserve">One promising machine-learning technique is </w:t>
      </w:r>
      <w:proofErr w:type="spellStart"/>
      <w:r w:rsidRPr="00882FDE">
        <w:rPr>
          <w:lang w:val="en-CA"/>
        </w:rPr>
        <w:t>XGBoost</w:t>
      </w:r>
      <w:proofErr w:type="spellEnd"/>
      <w:r w:rsidRPr="00882FDE">
        <w:rPr>
          <w:lang w:val="en-CA"/>
        </w:rPr>
        <w:t xml:space="preserve">, introduced by Chen and </w:t>
      </w:r>
      <w:proofErr w:type="spellStart"/>
      <w:r w:rsidRPr="00882FDE">
        <w:rPr>
          <w:lang w:val="en-CA"/>
        </w:rPr>
        <w:t>Guestrin</w:t>
      </w:r>
      <w:proofErr w:type="spellEnd"/>
      <w:r w:rsidRPr="00882FDE">
        <w:rPr>
          <w:lang w:val="en-CA"/>
        </w:rPr>
        <w:t xml:space="preserve"> (2016). </w:t>
      </w:r>
      <w:proofErr w:type="spellStart"/>
      <w:r w:rsidRPr="00882FDE">
        <w:rPr>
          <w:lang w:val="en-CA"/>
        </w:rPr>
        <w:t>XGBoost</w:t>
      </w:r>
      <w:proofErr w:type="spellEnd"/>
      <w:r w:rsidRPr="00882FDE">
        <w:rPr>
          <w:lang w:val="en-CA"/>
        </w:rPr>
        <w:t xml:space="preserve"> uses multiple decision trees, with each new tree attempting to improve the predictions of earlier trees. Unlike simpler statistical models, it can capture </w:t>
      </w:r>
      <w:r w:rsidRPr="00882FDE">
        <w:rPr>
          <w:i/>
          <w:iCs/>
          <w:lang w:val="en-CA"/>
        </w:rPr>
        <w:t>nonlinear relationships</w:t>
      </w:r>
      <w:r w:rsidRPr="00882FDE">
        <w:rPr>
          <w:lang w:val="en-CA"/>
        </w:rPr>
        <w:t>, meaning that changes in one financial variable do not necessarily have the same effect under every market condition. Although this flexibility can improve prediction, it can also make the model difficult to interpret.</w:t>
      </w:r>
    </w:p>
    <w:p w14:paraId="20EB8D47" w14:textId="77777777" w:rsidR="001212A2" w:rsidRDefault="001212A2" w:rsidP="001212A2">
      <w:pPr>
        <w:spacing w:line="240" w:lineRule="auto"/>
        <w:rPr>
          <w:lang w:val="en-CA"/>
        </w:rPr>
      </w:pPr>
      <w:r w:rsidRPr="00882FDE">
        <w:rPr>
          <w:lang w:val="en-CA"/>
        </w:rPr>
        <w:t xml:space="preserve">Babaei and Giudici (2025) addressed this challenge in their study of Explainable AI for investment decision-making. They applied </w:t>
      </w:r>
      <w:proofErr w:type="spellStart"/>
      <w:r w:rsidRPr="00882FDE">
        <w:rPr>
          <w:lang w:val="en-CA"/>
        </w:rPr>
        <w:t>XGBoost</w:t>
      </w:r>
      <w:proofErr w:type="spellEnd"/>
      <w:r w:rsidRPr="00882FDE">
        <w:rPr>
          <w:lang w:val="en-CA"/>
        </w:rPr>
        <w:t xml:space="preserve"> to financial data from 2,049 small and medium-sized enterprises to estimate default risk and examine expected profitability. They then used Shapley values to explain which financial indicators contributed to the model's predictions. Their research demonstrates how AI can support financial analysis while providing explanations instead of only predictions. Our project builds on this approach but applies it to publicly traded Canadian stocks, focusing on market outperformance and volatility-based risk rather than company default.</w:t>
      </w:r>
      <w:r>
        <w:rPr>
          <w:lang w:val="en-CA"/>
        </w:rPr>
        <w:t xml:space="preserve"> </w:t>
      </w:r>
    </w:p>
    <w:p w14:paraId="74C72C12" w14:textId="5EC75A99" w:rsidR="001212A2" w:rsidRPr="00882FDE" w:rsidRDefault="001212A2" w:rsidP="001212A2">
      <w:pPr>
        <w:spacing w:line="240" w:lineRule="auto"/>
        <w:rPr>
          <w:lang w:val="en-CA"/>
        </w:rPr>
      </w:pPr>
      <w:r w:rsidRPr="00882FDE">
        <w:rPr>
          <w:lang w:val="en-CA"/>
        </w:rPr>
        <w:t>To better understand black-box predictions, researchers have developed Explainable AI (XAI) techniques. Lundberg and Lee (2017) introduced SHAP (</w:t>
      </w:r>
      <w:proofErr w:type="spellStart"/>
      <w:r w:rsidRPr="00882FDE">
        <w:rPr>
          <w:lang w:val="en-CA"/>
        </w:rPr>
        <w:t>SHapley</w:t>
      </w:r>
      <w:proofErr w:type="spellEnd"/>
      <w:r w:rsidRPr="00882FDE">
        <w:rPr>
          <w:lang w:val="en-CA"/>
        </w:rPr>
        <w:t xml:space="preserve"> Additive </w:t>
      </w:r>
      <w:proofErr w:type="spellStart"/>
      <w:r w:rsidRPr="00882FDE">
        <w:rPr>
          <w:lang w:val="en-CA"/>
        </w:rPr>
        <w:t>exPlanations</w:t>
      </w:r>
      <w:proofErr w:type="spellEnd"/>
      <w:r w:rsidRPr="00882FDE">
        <w:rPr>
          <w:lang w:val="en-CA"/>
        </w:rPr>
        <w:t>), which measures how individual variables contribute to a prediction. For example, SHAP can help explain whether a company's profitability, recent returns, or valuation increased or decreased its predicted probability of outperforming the market.</w:t>
      </w:r>
    </w:p>
    <w:p w14:paraId="17F2AAEC" w14:textId="77777777" w:rsidR="001212A2" w:rsidRPr="00882FDE" w:rsidRDefault="001212A2" w:rsidP="001212A2">
      <w:pPr>
        <w:spacing w:line="240" w:lineRule="auto"/>
        <w:rPr>
          <w:lang w:val="en-CA"/>
        </w:rPr>
      </w:pPr>
      <w:r w:rsidRPr="00882FDE">
        <w:rPr>
          <w:lang w:val="en-CA"/>
        </w:rPr>
        <w:t>Similarly, Ribeiro et al. (2016) developed LIME (Local Interpretable Model-agnostic Explanations), which explains individual predictions by approximating the complex model with a simpler one around a particular observation. While SHAP can provide both overall and company-specific explanations, LIME is mainly used to explain individual predictions.</w:t>
      </w:r>
    </w:p>
    <w:p w14:paraId="66E559F0" w14:textId="77777777" w:rsidR="001212A2" w:rsidRDefault="001212A2" w:rsidP="001212A2">
      <w:pPr>
        <w:spacing w:line="240" w:lineRule="auto"/>
        <w:rPr>
          <w:lang w:val="en-CA"/>
        </w:rPr>
      </w:pPr>
      <w:r w:rsidRPr="00882FDE">
        <w:rPr>
          <w:lang w:val="en-CA"/>
        </w:rPr>
        <w:t xml:space="preserve">Together, these studies provide the foundation for our research. However, accurate predictions do not necessarily mean that a model's decisions are understandable or economically meaningful. Therefore, this project will compare logistic regression and </w:t>
      </w:r>
      <w:proofErr w:type="spellStart"/>
      <w:r w:rsidRPr="00882FDE">
        <w:rPr>
          <w:lang w:val="en-CA"/>
        </w:rPr>
        <w:t>XGBoost</w:t>
      </w:r>
      <w:proofErr w:type="spellEnd"/>
      <w:r w:rsidRPr="00882FDE">
        <w:rPr>
          <w:lang w:val="en-CA"/>
        </w:rPr>
        <w:t xml:space="preserve"> in predicting Canadian stock outperformance and risk, then apply SHAP and LIME to examine the factors behind those predictions. By comparing explanations across sectors, the study aims to determine whether Explainable AI can make complex financial predictions more transparent and useful for investment decision-making.</w:t>
      </w:r>
    </w:p>
    <w:p w14:paraId="557F60B0" w14:textId="77777777" w:rsidR="001212A2" w:rsidRDefault="001212A2" w:rsidP="001212A2">
      <w:pPr>
        <w:pStyle w:val="Heading1"/>
        <w:pageBreakBefore/>
      </w:pPr>
      <w:bookmarkStart w:id="2" w:name="_Toc242814623"/>
      <w:r>
        <w:lastRenderedPageBreak/>
        <w:t>3. Data Set and Variable Definitions</w:t>
      </w:r>
      <w:bookmarkEnd w:id="2"/>
    </w:p>
    <w:p w14:paraId="12AD23D2" w14:textId="77777777" w:rsidR="001212A2" w:rsidRDefault="001212A2" w:rsidP="001212A2">
      <w:r>
        <w:t>Population and sampling. The initial collection list contains 110 candidate TSX companies across 11 sectors. The usable sample may fall to roughly 60–110 firms after Bloomberg coverage, listing history, missingness, and data-quality checks. The target study period is January 2013–December 2024 (144 monthly observations per continuously observed stock), or at most 15,840 company-month rows for 110 firms and 8,640 for 60. These are upper bounds, not an assertion that every security has a complete history. Companies entering, leaving, restructuring, or delisting during the period will be documented to limit survivorship bias.</w:t>
      </w:r>
    </w:p>
    <w:tbl>
      <w:tblPr>
        <w:tblStyle w:val="TableGrid"/>
        <w:tblW w:w="0" w:type="auto"/>
        <w:jc w:val="center"/>
        <w:tblLayout w:type="fixed"/>
        <w:tblLook w:val="04A0" w:firstRow="1" w:lastRow="0" w:firstColumn="1" w:lastColumn="0" w:noHBand="0" w:noVBand="1"/>
      </w:tblPr>
      <w:tblGrid>
        <w:gridCol w:w="2477"/>
        <w:gridCol w:w="3211"/>
        <w:gridCol w:w="4090"/>
      </w:tblGrid>
      <w:tr w:rsidR="001212A2" w14:paraId="4196269C" w14:textId="77777777" w:rsidTr="008860EC">
        <w:trPr>
          <w:cantSplit/>
          <w:tblHeader/>
          <w:jc w:val="center"/>
        </w:trPr>
        <w:tc>
          <w:tcPr>
            <w:tcW w:w="2477" w:type="dxa"/>
            <w:shd w:val="clear" w:color="auto" w:fill="1A344F"/>
            <w:tcMar>
              <w:top w:w="96" w:type="dxa"/>
              <w:left w:w="86" w:type="dxa"/>
              <w:bottom w:w="96" w:type="dxa"/>
              <w:right w:w="86" w:type="dxa"/>
            </w:tcMar>
          </w:tcPr>
          <w:p w14:paraId="1743E7A3" w14:textId="77777777" w:rsidR="001212A2" w:rsidRDefault="001212A2" w:rsidP="008860EC">
            <w:pPr>
              <w:spacing w:after="0"/>
            </w:pPr>
            <w:r>
              <w:rPr>
                <w:b/>
                <w:color w:val="FFFFFF"/>
                <w:sz w:val="17"/>
              </w:rPr>
              <w:t>Source and frequency</w:t>
            </w:r>
          </w:p>
        </w:tc>
        <w:tc>
          <w:tcPr>
            <w:tcW w:w="3211" w:type="dxa"/>
            <w:shd w:val="clear" w:color="auto" w:fill="1A344F"/>
            <w:tcMar>
              <w:top w:w="96" w:type="dxa"/>
              <w:left w:w="86" w:type="dxa"/>
              <w:bottom w:w="96" w:type="dxa"/>
              <w:right w:w="86" w:type="dxa"/>
            </w:tcMar>
          </w:tcPr>
          <w:p w14:paraId="231A2279" w14:textId="77777777" w:rsidR="001212A2" w:rsidRDefault="001212A2" w:rsidP="008860EC">
            <w:pPr>
              <w:spacing w:after="0"/>
            </w:pPr>
            <w:r>
              <w:rPr>
                <w:b/>
                <w:color w:val="FFFFFF"/>
                <w:sz w:val="17"/>
              </w:rPr>
              <w:t>Variables (examples)</w:t>
            </w:r>
          </w:p>
        </w:tc>
        <w:tc>
          <w:tcPr>
            <w:tcW w:w="4090" w:type="dxa"/>
            <w:shd w:val="clear" w:color="auto" w:fill="1A344F"/>
            <w:tcMar>
              <w:top w:w="96" w:type="dxa"/>
              <w:left w:w="86" w:type="dxa"/>
              <w:bottom w:w="96" w:type="dxa"/>
              <w:right w:w="86" w:type="dxa"/>
            </w:tcMar>
          </w:tcPr>
          <w:p w14:paraId="3CA92FA8" w14:textId="77777777" w:rsidR="001212A2" w:rsidRDefault="001212A2" w:rsidP="008860EC">
            <w:pPr>
              <w:spacing w:after="0"/>
            </w:pPr>
            <w:r>
              <w:rPr>
                <w:b/>
                <w:color w:val="FFFFFF"/>
                <w:sz w:val="17"/>
              </w:rPr>
              <w:t>Treatment in company-month dataset</w:t>
            </w:r>
          </w:p>
        </w:tc>
      </w:tr>
      <w:tr w:rsidR="001212A2" w14:paraId="0A772B7D" w14:textId="77777777" w:rsidTr="008860EC">
        <w:trPr>
          <w:cantSplit/>
          <w:jc w:val="center"/>
        </w:trPr>
        <w:tc>
          <w:tcPr>
            <w:tcW w:w="2477" w:type="dxa"/>
            <w:shd w:val="clear" w:color="auto" w:fill="EDF3F6"/>
            <w:tcMar>
              <w:top w:w="70" w:type="dxa"/>
              <w:left w:w="86" w:type="dxa"/>
              <w:bottom w:w="70" w:type="dxa"/>
              <w:right w:w="86" w:type="dxa"/>
            </w:tcMar>
          </w:tcPr>
          <w:p w14:paraId="3853FBB3" w14:textId="77777777" w:rsidR="001212A2" w:rsidRDefault="001212A2" w:rsidP="008860EC">
            <w:pPr>
              <w:spacing w:after="0" w:line="254" w:lineRule="auto"/>
            </w:pPr>
            <w:r>
              <w:rPr>
                <w:sz w:val="17"/>
              </w:rPr>
              <w:t>Bloomberg: annual/quarterly</w:t>
            </w:r>
          </w:p>
        </w:tc>
        <w:tc>
          <w:tcPr>
            <w:tcW w:w="3211" w:type="dxa"/>
            <w:shd w:val="clear" w:color="auto" w:fill="EDF3F6"/>
            <w:tcMar>
              <w:top w:w="70" w:type="dxa"/>
              <w:left w:w="86" w:type="dxa"/>
              <w:bottom w:w="70" w:type="dxa"/>
              <w:right w:w="86" w:type="dxa"/>
            </w:tcMar>
          </w:tcPr>
          <w:p w14:paraId="08EBD161" w14:textId="77777777" w:rsidR="001212A2" w:rsidRDefault="001212A2" w:rsidP="008860EC">
            <w:pPr>
              <w:spacing w:after="0" w:line="254" w:lineRule="auto"/>
            </w:pPr>
            <w:r>
              <w:rPr>
                <w:sz w:val="17"/>
              </w:rPr>
              <w:t>ROA, ROE, profit margin, EBIT, revenue, revenue growth, net income growth, EPS growth, dividend payout, debt ratios</w:t>
            </w:r>
          </w:p>
        </w:tc>
        <w:tc>
          <w:tcPr>
            <w:tcW w:w="4090" w:type="dxa"/>
            <w:shd w:val="clear" w:color="auto" w:fill="EDF3F6"/>
            <w:tcMar>
              <w:top w:w="70" w:type="dxa"/>
              <w:left w:w="86" w:type="dxa"/>
              <w:bottom w:w="70" w:type="dxa"/>
              <w:right w:w="86" w:type="dxa"/>
            </w:tcMar>
          </w:tcPr>
          <w:p w14:paraId="59CC376D" w14:textId="77777777" w:rsidR="001212A2" w:rsidRDefault="001212A2" w:rsidP="008860EC">
            <w:pPr>
              <w:spacing w:after="0" w:line="254" w:lineRule="auto"/>
            </w:pPr>
            <w:r>
              <w:rPr>
                <w:sz w:val="17"/>
              </w:rPr>
              <w:t>Use latest information after release; retain fiscal year and publication/eligibility date.</w:t>
            </w:r>
          </w:p>
        </w:tc>
      </w:tr>
      <w:tr w:rsidR="001212A2" w14:paraId="007CCB4E" w14:textId="77777777" w:rsidTr="008860EC">
        <w:trPr>
          <w:cantSplit/>
          <w:jc w:val="center"/>
        </w:trPr>
        <w:tc>
          <w:tcPr>
            <w:tcW w:w="2477" w:type="dxa"/>
            <w:tcMar>
              <w:top w:w="70" w:type="dxa"/>
              <w:left w:w="86" w:type="dxa"/>
              <w:bottom w:w="70" w:type="dxa"/>
              <w:right w:w="86" w:type="dxa"/>
            </w:tcMar>
          </w:tcPr>
          <w:p w14:paraId="18CC1A8D" w14:textId="77777777" w:rsidR="001212A2" w:rsidRDefault="001212A2" w:rsidP="008860EC">
            <w:pPr>
              <w:spacing w:after="0" w:line="254" w:lineRule="auto"/>
            </w:pPr>
            <w:r>
              <w:rPr>
                <w:sz w:val="17"/>
              </w:rPr>
              <w:t>Bloomberg: monthly market</w:t>
            </w:r>
          </w:p>
        </w:tc>
        <w:tc>
          <w:tcPr>
            <w:tcW w:w="3211" w:type="dxa"/>
            <w:tcMar>
              <w:top w:w="70" w:type="dxa"/>
              <w:left w:w="86" w:type="dxa"/>
              <w:bottom w:w="70" w:type="dxa"/>
              <w:right w:w="86" w:type="dxa"/>
            </w:tcMar>
          </w:tcPr>
          <w:p w14:paraId="69235947" w14:textId="77777777" w:rsidR="001212A2" w:rsidRDefault="001212A2" w:rsidP="008860EC">
            <w:pPr>
              <w:spacing w:after="0" w:line="254" w:lineRule="auto"/>
            </w:pPr>
            <w:r>
              <w:rPr>
                <w:sz w:val="17"/>
              </w:rPr>
              <w:t>Total-return series, shares/volume, P/E, P/B, market capitalization, dividend yield</w:t>
            </w:r>
          </w:p>
        </w:tc>
        <w:tc>
          <w:tcPr>
            <w:tcW w:w="4090" w:type="dxa"/>
            <w:tcMar>
              <w:top w:w="70" w:type="dxa"/>
              <w:left w:w="86" w:type="dxa"/>
              <w:bottom w:w="70" w:type="dxa"/>
              <w:right w:w="86" w:type="dxa"/>
            </w:tcMar>
          </w:tcPr>
          <w:p w14:paraId="0C24F2A1" w14:textId="77777777" w:rsidR="001212A2" w:rsidRDefault="001212A2" w:rsidP="008860EC">
            <w:pPr>
              <w:spacing w:after="0" w:line="254" w:lineRule="auto"/>
            </w:pPr>
            <w:r>
              <w:rPr>
                <w:sz w:val="17"/>
              </w:rPr>
              <w:t>Update at each month-end; historical P/E must use trailing earnings known then.</w:t>
            </w:r>
          </w:p>
        </w:tc>
      </w:tr>
      <w:tr w:rsidR="001212A2" w14:paraId="3687523F" w14:textId="77777777" w:rsidTr="008860EC">
        <w:trPr>
          <w:cantSplit/>
          <w:jc w:val="center"/>
        </w:trPr>
        <w:tc>
          <w:tcPr>
            <w:tcW w:w="2477" w:type="dxa"/>
            <w:shd w:val="clear" w:color="auto" w:fill="EDF3F6"/>
            <w:tcMar>
              <w:top w:w="70" w:type="dxa"/>
              <w:left w:w="86" w:type="dxa"/>
              <w:bottom w:w="70" w:type="dxa"/>
              <w:right w:w="86" w:type="dxa"/>
            </w:tcMar>
          </w:tcPr>
          <w:p w14:paraId="4E902762" w14:textId="77777777" w:rsidR="001212A2" w:rsidRDefault="001212A2" w:rsidP="008860EC">
            <w:pPr>
              <w:spacing w:after="0" w:line="254" w:lineRule="auto"/>
            </w:pPr>
            <w:r>
              <w:rPr>
                <w:sz w:val="17"/>
              </w:rPr>
              <w:t>Bloomberg: derived market</w:t>
            </w:r>
          </w:p>
        </w:tc>
        <w:tc>
          <w:tcPr>
            <w:tcW w:w="3211" w:type="dxa"/>
            <w:shd w:val="clear" w:color="auto" w:fill="EDF3F6"/>
            <w:tcMar>
              <w:top w:w="70" w:type="dxa"/>
              <w:left w:w="86" w:type="dxa"/>
              <w:bottom w:w="70" w:type="dxa"/>
              <w:right w:w="86" w:type="dxa"/>
            </w:tcMar>
          </w:tcPr>
          <w:p w14:paraId="0B43AF5A" w14:textId="77777777" w:rsidR="001212A2" w:rsidRDefault="001212A2" w:rsidP="008860EC">
            <w:pPr>
              <w:spacing w:after="0" w:line="254" w:lineRule="auto"/>
            </w:pPr>
            <w:r>
              <w:rPr>
                <w:sz w:val="17"/>
              </w:rPr>
              <w:t>Past 1/3/6/12-month returns, active returns, rolling beta, volatility, active risk, drawdown, turnover</w:t>
            </w:r>
          </w:p>
        </w:tc>
        <w:tc>
          <w:tcPr>
            <w:tcW w:w="4090" w:type="dxa"/>
            <w:shd w:val="clear" w:color="auto" w:fill="EDF3F6"/>
            <w:tcMar>
              <w:top w:w="70" w:type="dxa"/>
              <w:left w:w="86" w:type="dxa"/>
              <w:bottom w:w="70" w:type="dxa"/>
              <w:right w:w="86" w:type="dxa"/>
            </w:tcMar>
          </w:tcPr>
          <w:p w14:paraId="3EAAB8FB" w14:textId="77777777" w:rsidR="001212A2" w:rsidRDefault="001212A2" w:rsidP="008860EC">
            <w:pPr>
              <w:spacing w:after="0" w:line="254" w:lineRule="auto"/>
            </w:pPr>
            <w:r>
              <w:rPr>
                <w:sz w:val="17"/>
              </w:rPr>
              <w:t>Calculate with completed historical months only.</w:t>
            </w:r>
          </w:p>
        </w:tc>
      </w:tr>
      <w:tr w:rsidR="001212A2" w14:paraId="265B74F7" w14:textId="77777777" w:rsidTr="008860EC">
        <w:trPr>
          <w:cantSplit/>
          <w:jc w:val="center"/>
        </w:trPr>
        <w:tc>
          <w:tcPr>
            <w:tcW w:w="2477" w:type="dxa"/>
            <w:tcMar>
              <w:top w:w="70" w:type="dxa"/>
              <w:left w:w="86" w:type="dxa"/>
              <w:bottom w:w="70" w:type="dxa"/>
              <w:right w:w="86" w:type="dxa"/>
            </w:tcMar>
          </w:tcPr>
          <w:p w14:paraId="006B054B" w14:textId="77777777" w:rsidR="001212A2" w:rsidRDefault="001212A2" w:rsidP="008860EC">
            <w:pPr>
              <w:spacing w:after="0" w:line="254" w:lineRule="auto"/>
            </w:pPr>
            <w:r>
              <w:rPr>
                <w:sz w:val="17"/>
              </w:rPr>
              <w:t>Market and macro</w:t>
            </w:r>
          </w:p>
        </w:tc>
        <w:tc>
          <w:tcPr>
            <w:tcW w:w="3211" w:type="dxa"/>
            <w:tcMar>
              <w:top w:w="70" w:type="dxa"/>
              <w:left w:w="86" w:type="dxa"/>
              <w:bottom w:w="70" w:type="dxa"/>
              <w:right w:w="86" w:type="dxa"/>
            </w:tcMar>
          </w:tcPr>
          <w:p w14:paraId="24B6CFE3" w14:textId="77777777" w:rsidR="001212A2" w:rsidRDefault="001212A2" w:rsidP="008860EC">
            <w:pPr>
              <w:spacing w:after="0" w:line="254" w:lineRule="auto"/>
            </w:pPr>
            <w:r>
              <w:rPr>
                <w:sz w:val="17"/>
              </w:rPr>
              <w:t>S&amp;P/TSX Composite total return, sector returns, rates, CPI, GDP, oil, gold, CAD/USD</w:t>
            </w:r>
          </w:p>
        </w:tc>
        <w:tc>
          <w:tcPr>
            <w:tcW w:w="4090" w:type="dxa"/>
            <w:tcMar>
              <w:top w:w="70" w:type="dxa"/>
              <w:left w:w="86" w:type="dxa"/>
              <w:bottom w:w="70" w:type="dxa"/>
              <w:right w:w="86" w:type="dxa"/>
            </w:tcMar>
          </w:tcPr>
          <w:p w14:paraId="1451EF71" w14:textId="77777777" w:rsidR="001212A2" w:rsidRDefault="001212A2" w:rsidP="008860EC">
            <w:pPr>
              <w:spacing w:after="0" w:line="254" w:lineRule="auto"/>
            </w:pPr>
            <w:r>
              <w:rPr>
                <w:sz w:val="17"/>
              </w:rPr>
              <w:t>Use release-date-aligned values, with published information carried forward.</w:t>
            </w:r>
          </w:p>
        </w:tc>
      </w:tr>
      <w:tr w:rsidR="001212A2" w14:paraId="27F243A6" w14:textId="77777777" w:rsidTr="008860EC">
        <w:trPr>
          <w:cantSplit/>
          <w:jc w:val="center"/>
        </w:trPr>
        <w:tc>
          <w:tcPr>
            <w:tcW w:w="2477" w:type="dxa"/>
            <w:shd w:val="clear" w:color="auto" w:fill="EDF3F6"/>
            <w:tcMar>
              <w:top w:w="70" w:type="dxa"/>
              <w:left w:w="86" w:type="dxa"/>
              <w:bottom w:w="70" w:type="dxa"/>
              <w:right w:w="86" w:type="dxa"/>
            </w:tcMar>
          </w:tcPr>
          <w:p w14:paraId="1DA2FEB0" w14:textId="77777777" w:rsidR="001212A2" w:rsidRDefault="001212A2" w:rsidP="008860EC">
            <w:pPr>
              <w:spacing w:after="0" w:line="254" w:lineRule="auto"/>
            </w:pPr>
            <w:r>
              <w:rPr>
                <w:sz w:val="17"/>
              </w:rPr>
              <w:t>Constructed outcomes</w:t>
            </w:r>
          </w:p>
        </w:tc>
        <w:tc>
          <w:tcPr>
            <w:tcW w:w="3211" w:type="dxa"/>
            <w:shd w:val="clear" w:color="auto" w:fill="EDF3F6"/>
            <w:tcMar>
              <w:top w:w="70" w:type="dxa"/>
              <w:left w:w="86" w:type="dxa"/>
              <w:bottom w:w="70" w:type="dxa"/>
              <w:right w:w="86" w:type="dxa"/>
            </w:tcMar>
          </w:tcPr>
          <w:p w14:paraId="111164B1" w14:textId="77777777" w:rsidR="001212A2" w:rsidRDefault="001212A2" w:rsidP="008860EC">
            <w:pPr>
              <w:spacing w:after="0" w:line="254" w:lineRule="auto"/>
            </w:pPr>
            <w:r>
              <w:rPr>
                <w:sz w:val="17"/>
              </w:rPr>
              <w:t>Next-month TSX outperformance; forward 12-month high volatility</w:t>
            </w:r>
          </w:p>
        </w:tc>
        <w:tc>
          <w:tcPr>
            <w:tcW w:w="4090" w:type="dxa"/>
            <w:shd w:val="clear" w:color="auto" w:fill="EDF3F6"/>
            <w:tcMar>
              <w:top w:w="70" w:type="dxa"/>
              <w:left w:w="86" w:type="dxa"/>
              <w:bottom w:w="70" w:type="dxa"/>
              <w:right w:w="86" w:type="dxa"/>
            </w:tcMar>
          </w:tcPr>
          <w:p w14:paraId="6350A5B7" w14:textId="77777777" w:rsidR="001212A2" w:rsidRDefault="001212A2" w:rsidP="008860EC">
            <w:pPr>
              <w:spacing w:after="0" w:line="254" w:lineRule="auto"/>
            </w:pPr>
            <w:r>
              <w:rPr>
                <w:sz w:val="17"/>
              </w:rPr>
              <w:t>Created from future returns solely as response labels, never contemporaneous inputs.</w:t>
            </w:r>
          </w:p>
        </w:tc>
      </w:tr>
    </w:tbl>
    <w:p w14:paraId="1419F127" w14:textId="77777777" w:rsidR="001212A2" w:rsidRDefault="001212A2" w:rsidP="001212A2">
      <w:pPr>
        <w:spacing w:after="0"/>
      </w:pPr>
    </w:p>
    <w:p w14:paraId="42452156" w14:textId="77777777" w:rsidR="001212A2" w:rsidRDefault="001212A2" w:rsidP="001212A2">
      <w:r>
        <w:t>Bloomberg financial fields being collected include RETURN_ON_ASSET, RETURN_COM_EQY, PROF_MARGIN, EBIT_AFTER_OPERATING_LEASE, SALES_REV_TURN, SALES_GROWTH, NET_INCOME_TO_COMMON_SEQ_GROWTH, EPS_DIL_BEF_EXTRAORD_SEQ_GRWTH, DVD_PAYOUT_RATIO, TOT_DEBT_TO_TOT_EQY, TOT_DEBT_TO_TOT_ASSET, DIVIDEND_12_MONTH_YIELD, HISTORICAL_MARKET_CAP, and PX_TO_BOOK_RATIO. These are raw collection definitions, not a final promise that every feature is economically comparable or available for every sector. For example, Bloomberg defines profit margin differently for banks, and conventional leverage and EBIT ratios are not directly comparable between banks and industrial firms.</w:t>
      </w:r>
    </w:p>
    <w:p w14:paraId="711CB49C" w14:textId="77777777" w:rsidR="001212A2" w:rsidRDefault="001212A2" w:rsidP="001212A2">
      <w:pPr>
        <w:pStyle w:val="Heading2"/>
      </w:pPr>
      <w:bookmarkStart w:id="3" w:name="_Toc242814624"/>
      <w:r>
        <w:t>3.1 Unit of analysis and timing</w:t>
      </w:r>
      <w:bookmarkEnd w:id="3"/>
    </w:p>
    <w:p w14:paraId="7549B2BD" w14:textId="77777777" w:rsidR="001212A2" w:rsidRDefault="001212A2" w:rsidP="001212A2">
      <w:r>
        <w:t xml:space="preserve">Each row represents stock </w:t>
      </w:r>
      <w:proofErr w:type="spellStart"/>
      <w:r>
        <w:t>i</w:t>
      </w:r>
      <w:proofErr w:type="spellEnd"/>
      <w:r>
        <w:t xml:space="preserve"> at the end of month t. Stock and benchmark returns are measured monthly and should both include dividends when constructing benchmark-relative performance. Annual or quarterly accounting ratios </w:t>
      </w:r>
      <w:proofErr w:type="gramStart"/>
      <w:r>
        <w:t>retain</w:t>
      </w:r>
      <w:proofErr w:type="gramEnd"/>
      <w:r>
        <w:t xml:space="preserve"> the most recent published value until a new disclosure is available. If original release dates cannot be recovered, a documented conservative delay will be used (e.g., six months for annual and four months for quarterly characteristics, following Gu et al., 2020). Macroeconomic values will similarly be matched by their actual release dates, not their reference periods.</w:t>
      </w:r>
    </w:p>
    <w:p w14:paraId="275AF66C" w14:textId="77777777" w:rsidR="001212A2" w:rsidRDefault="001212A2" w:rsidP="001212A2">
      <w:r>
        <w:t>For example, RBC at January 2020 month-end is paired with its latest published financial ratios and historical returns through January; the outcome is whether RBC beats the TSX in February 2020. This illustrates information availability rather than actual RBC values.</w:t>
      </w:r>
    </w:p>
    <w:p w14:paraId="67AC4727" w14:textId="77777777" w:rsidR="001212A2" w:rsidRDefault="001212A2" w:rsidP="001212A2">
      <w:pPr>
        <w:pStyle w:val="Heading1"/>
        <w:pageBreakBefore/>
      </w:pPr>
      <w:bookmarkStart w:id="4" w:name="_Toc242814625"/>
      <w:r>
        <w:lastRenderedPageBreak/>
        <w:t>4. Methodology</w:t>
      </w:r>
      <w:bookmarkEnd w:id="4"/>
    </w:p>
    <w:p w14:paraId="57328CAA" w14:textId="77777777" w:rsidR="001212A2" w:rsidRDefault="001212A2" w:rsidP="001212A2">
      <w:pPr>
        <w:pStyle w:val="Heading2"/>
      </w:pPr>
      <w:bookmarkStart w:id="5" w:name="_Toc242814626"/>
      <w:r>
        <w:t>4.1 Prediction targets and feature engineering</w:t>
      </w:r>
      <w:bookmarkEnd w:id="5"/>
    </w:p>
    <w:p w14:paraId="494B4C5E" w14:textId="77777777" w:rsidR="001212A2" w:rsidRDefault="001212A2" w:rsidP="001212A2">
      <w:r>
        <w:t>Two different binary response variables will be estimated using separate models. The first asks whether an individual stock delivers a larger total return than the benchmark next month. The second asks whether that stock experiences high total return volatility during the following 12 months. These are distinct tasks: a stock may outperform the benchmark while still being highly volatile.</w:t>
      </w:r>
    </w:p>
    <w:p w14:paraId="68BDA097" w14:textId="77777777" w:rsidR="001212A2" w:rsidRDefault="001212A2" w:rsidP="001212A2">
      <w:pPr>
        <w:spacing w:before="60" w:after="60"/>
        <w:ind w:left="288"/>
      </w:pPr>
      <w:r>
        <w:rPr>
          <w:rFonts w:ascii="Cambria Math" w:hAnsi="Cambria Math"/>
          <w:b/>
          <w:color w:val="1A3450"/>
        </w:rPr>
        <w:t xml:space="preserve">Active </w:t>
      </w:r>
      <w:proofErr w:type="gramStart"/>
      <w:r>
        <w:rPr>
          <w:rFonts w:ascii="Cambria Math" w:hAnsi="Cambria Math"/>
          <w:b/>
          <w:color w:val="1A3450"/>
        </w:rPr>
        <w:t>returnᵢ,ₜ₊₁  =</w:t>
      </w:r>
      <w:proofErr w:type="gramEnd"/>
      <w:r>
        <w:rPr>
          <w:rFonts w:ascii="Cambria Math" w:hAnsi="Cambria Math"/>
          <w:b/>
          <w:color w:val="1A3450"/>
        </w:rPr>
        <w:t xml:space="preserve">  </w:t>
      </w:r>
      <w:proofErr w:type="gramStart"/>
      <w:r>
        <w:rPr>
          <w:rFonts w:ascii="Cambria Math" w:hAnsi="Cambria Math"/>
          <w:b/>
          <w:color w:val="1A3450"/>
        </w:rPr>
        <w:t>Rᵢ,ₜ₊₁  −</w:t>
      </w:r>
      <w:proofErr w:type="gramEnd"/>
      <w:r>
        <w:rPr>
          <w:rFonts w:ascii="Cambria Math" w:hAnsi="Cambria Math"/>
          <w:b/>
          <w:color w:val="1A3450"/>
        </w:rPr>
        <w:t xml:space="preserve">  </w:t>
      </w:r>
      <w:proofErr w:type="gramStart"/>
      <w:r>
        <w:rPr>
          <w:rFonts w:ascii="Cambria Math" w:hAnsi="Cambria Math"/>
          <w:b/>
          <w:color w:val="1A3450"/>
        </w:rPr>
        <w:t>Rₘ,ₜ₊</w:t>
      </w:r>
      <w:proofErr w:type="gramEnd"/>
      <w:r>
        <w:rPr>
          <w:rFonts w:ascii="Cambria Math" w:hAnsi="Cambria Math"/>
          <w:b/>
          <w:color w:val="1A3450"/>
        </w:rPr>
        <w:t>₁</w:t>
      </w:r>
      <w:r>
        <w:rPr>
          <w:i/>
          <w:color w:val="53606E"/>
          <w:sz w:val="18"/>
        </w:rPr>
        <w:t xml:space="preserve">   Rₘ = S&amp;P/TSX Composite total return</w:t>
      </w:r>
    </w:p>
    <w:p w14:paraId="4DC6B704" w14:textId="77777777" w:rsidR="001212A2" w:rsidRDefault="001212A2" w:rsidP="001212A2">
      <w:pPr>
        <w:spacing w:before="60" w:after="60"/>
        <w:ind w:left="288"/>
      </w:pPr>
      <w:proofErr w:type="gramStart"/>
      <w:r>
        <w:rPr>
          <w:rFonts w:ascii="Cambria Math" w:hAnsi="Cambria Math"/>
          <w:b/>
          <w:color w:val="1A3450"/>
        </w:rPr>
        <w:t>Outperformᵢ,ₜ₊₁  =</w:t>
      </w:r>
      <w:proofErr w:type="gramEnd"/>
      <w:r>
        <w:rPr>
          <w:rFonts w:ascii="Cambria Math" w:hAnsi="Cambria Math"/>
          <w:b/>
          <w:color w:val="1A3450"/>
        </w:rPr>
        <w:t xml:space="preserve">  1 if Active </w:t>
      </w:r>
      <w:proofErr w:type="gramStart"/>
      <w:r>
        <w:rPr>
          <w:rFonts w:ascii="Cambria Math" w:hAnsi="Cambria Math"/>
          <w:b/>
          <w:color w:val="1A3450"/>
        </w:rPr>
        <w:t>returnᵢ,ₜ₊</w:t>
      </w:r>
      <w:proofErr w:type="gramEnd"/>
      <w:r>
        <w:rPr>
          <w:rFonts w:ascii="Cambria Math" w:hAnsi="Cambria Math"/>
          <w:b/>
          <w:color w:val="1A3450"/>
        </w:rPr>
        <w:t xml:space="preserve">₁ &gt; 0; </w:t>
      </w:r>
      <w:proofErr w:type="gramStart"/>
      <w:r>
        <w:rPr>
          <w:rFonts w:ascii="Cambria Math" w:hAnsi="Cambria Math"/>
          <w:b/>
          <w:color w:val="1A3450"/>
        </w:rPr>
        <w:t>otherwise</w:t>
      </w:r>
      <w:proofErr w:type="gramEnd"/>
      <w:r>
        <w:rPr>
          <w:rFonts w:ascii="Cambria Math" w:hAnsi="Cambria Math"/>
          <w:b/>
          <w:color w:val="1A3450"/>
        </w:rPr>
        <w:t xml:space="preserve"> 0</w:t>
      </w:r>
    </w:p>
    <w:p w14:paraId="5B67FF73" w14:textId="77777777" w:rsidR="001212A2" w:rsidRDefault="001212A2" w:rsidP="001212A2">
      <w:pPr>
        <w:spacing w:before="60" w:after="60"/>
        <w:ind w:left="288"/>
      </w:pPr>
      <w:r>
        <w:rPr>
          <w:rFonts w:ascii="Cambria Math" w:hAnsi="Cambria Math"/>
          <w:b/>
          <w:color w:val="1A3450"/>
        </w:rPr>
        <w:t xml:space="preserve">Future </w:t>
      </w:r>
      <w:proofErr w:type="gramStart"/>
      <w:r>
        <w:rPr>
          <w:rFonts w:ascii="Cambria Math" w:hAnsi="Cambria Math"/>
          <w:b/>
          <w:color w:val="1A3450"/>
        </w:rPr>
        <w:t>volatilityᵢ,ₜ  =</w:t>
      </w:r>
      <w:proofErr w:type="gramEnd"/>
      <w:r>
        <w:rPr>
          <w:rFonts w:ascii="Cambria Math" w:hAnsi="Cambria Math"/>
          <w:b/>
          <w:color w:val="1A3450"/>
        </w:rPr>
        <w:t xml:space="preserve">  </w:t>
      </w:r>
      <w:proofErr w:type="gramStart"/>
      <w:r>
        <w:rPr>
          <w:rFonts w:ascii="Cambria Math" w:hAnsi="Cambria Math"/>
          <w:b/>
          <w:color w:val="1A3450"/>
        </w:rPr>
        <w:t>SD(Rᵢ,ₜ₊</w:t>
      </w:r>
      <w:proofErr w:type="gramEnd"/>
      <w:r>
        <w:rPr>
          <w:rFonts w:ascii="Cambria Math" w:hAnsi="Cambria Math"/>
          <w:b/>
          <w:color w:val="1A3450"/>
        </w:rPr>
        <w:t xml:space="preserve">₁ … </w:t>
      </w:r>
      <w:proofErr w:type="gramStart"/>
      <w:r>
        <w:rPr>
          <w:rFonts w:ascii="Cambria Math" w:hAnsi="Cambria Math"/>
          <w:b/>
          <w:color w:val="1A3450"/>
        </w:rPr>
        <w:t>Rᵢ,ₜ₊</w:t>
      </w:r>
      <w:proofErr w:type="gramEnd"/>
      <w:r>
        <w:rPr>
          <w:rFonts w:ascii="Cambria Math" w:hAnsi="Cambria Math"/>
          <w:b/>
          <w:color w:val="1A3450"/>
        </w:rPr>
        <w:t>₁₂) × √12</w:t>
      </w:r>
    </w:p>
    <w:p w14:paraId="3FBFC74D" w14:textId="77777777" w:rsidR="001212A2" w:rsidRDefault="001212A2" w:rsidP="001212A2">
      <w:pPr>
        <w:spacing w:before="60" w:after="60"/>
        <w:ind w:left="288"/>
      </w:pPr>
      <w:proofErr w:type="spellStart"/>
      <w:proofErr w:type="gramStart"/>
      <w:r>
        <w:rPr>
          <w:rFonts w:ascii="Cambria Math" w:hAnsi="Cambria Math"/>
          <w:b/>
          <w:color w:val="1A3450"/>
        </w:rPr>
        <w:t>HighRisk</w:t>
      </w:r>
      <w:proofErr w:type="spellEnd"/>
      <w:r>
        <w:rPr>
          <w:rFonts w:ascii="Cambria Math" w:hAnsi="Cambria Math"/>
          <w:b/>
          <w:color w:val="1A3450"/>
        </w:rPr>
        <w:t>ᵢ,ₜ  =</w:t>
      </w:r>
      <w:proofErr w:type="gramEnd"/>
      <w:r>
        <w:rPr>
          <w:rFonts w:ascii="Cambria Math" w:hAnsi="Cambria Math"/>
          <w:b/>
          <w:color w:val="1A3450"/>
        </w:rPr>
        <w:t xml:space="preserve">  1 if Future volatilityᵢ,ₜ ≥ 0.20; </w:t>
      </w:r>
      <w:proofErr w:type="gramStart"/>
      <w:r>
        <w:rPr>
          <w:rFonts w:ascii="Cambria Math" w:hAnsi="Cambria Math"/>
          <w:b/>
          <w:color w:val="1A3450"/>
        </w:rPr>
        <w:t>otherwise</w:t>
      </w:r>
      <w:proofErr w:type="gramEnd"/>
      <w:r>
        <w:rPr>
          <w:rFonts w:ascii="Cambria Math" w:hAnsi="Cambria Math"/>
          <w:b/>
          <w:color w:val="1A3450"/>
        </w:rPr>
        <w:t xml:space="preserve"> 0</w:t>
      </w:r>
    </w:p>
    <w:p w14:paraId="3B4DBDB9" w14:textId="77777777" w:rsidR="001212A2" w:rsidRDefault="001212A2" w:rsidP="001212A2">
      <w:r>
        <w:t>Monthly returns will be based on consistent adjusted/total-return information to account for splits and dividends. Predictors will include past cumulative returns (momentum), past active returns, historical volatility, beta relative to the TSX, active risk (annualized standard deviation of benchmark-relative returns), and maximum drawdown. Rolling risk features will use observations ending at month t; 12-month and longer lookback periods will be compared where appropriate. A 36- or 60-month beta is an estimation choice for that feature, not a restriction on the 2013–2024 study period.</w:t>
      </w:r>
    </w:p>
    <w:p w14:paraId="30743980" w14:textId="77777777" w:rsidR="001212A2" w:rsidRDefault="001212A2" w:rsidP="001212A2">
      <w:r>
        <w:t>The 20% high-risk cutoff is an adaptation of Appendix F of National Instrument 81-102, which labels mutual funds with historical standard deviation of 20% or more “High.” It is not an official classification of individual stocks and is calculated over a different horizon here. Therefore, we will report a sensitivity check at 25% and describe the 20% cutoff as a research definition rather than a regulatory rule for equities (Ontario Securities Commission, 2024).</w:t>
      </w:r>
    </w:p>
    <w:p w14:paraId="75CEAE6D" w14:textId="77777777" w:rsidR="001212A2" w:rsidRDefault="001212A2" w:rsidP="001212A2">
      <w:pPr>
        <w:pStyle w:val="Heading2"/>
      </w:pPr>
      <w:bookmarkStart w:id="6" w:name="_Toc242814627"/>
      <w:r>
        <w:t>4.2 Data preparation and controls</w:t>
      </w:r>
      <w:bookmarkEnd w:id="6"/>
    </w:p>
    <w:p w14:paraId="15067E04" w14:textId="77777777" w:rsidR="001212A2" w:rsidRDefault="001212A2" w:rsidP="001212A2">
      <w:r>
        <w:t>First, Bloomberg data will be checked for missing values, duplicate ticker-month observations, inconsistent units (percent versus decimals; CAD versus USD), corporate actions, changing tickers, and extreme ratios caused by near-zero or negative earnings. No missing financial value will be replaced with zero. We will examine missingness by stock, year, and feature; unavailable bank-specific fields will not automatically cause bank exclusions. A smaller unbalanced sample is acceptable when its historical coverage is documented.</w:t>
      </w:r>
    </w:p>
    <w:p w14:paraId="351D2104" w14:textId="77777777" w:rsidR="001212A2" w:rsidRDefault="001212A2" w:rsidP="001212A2">
      <w:r>
        <w:t>Second, predictors will be aligned to the information set available at each month-end. Historical P/E and P/B are month-end valuations; annual financial ratios will not be assigned backward to months before their publication. Repeated annual figures across several months are expected and will not be treated as separate financial disclosures.</w:t>
      </w:r>
    </w:p>
    <w:p w14:paraId="39886DD2" w14:textId="77777777" w:rsidR="001212A2" w:rsidRDefault="001212A2" w:rsidP="001212A2">
      <w:r>
        <w:t xml:space="preserve">Third, variables will be selected using financial meaning and training-only data diagnostics. High-missingness fields, unstable ratios, and highly correlated measures will be reviewed; variance inflation factor (VIF) may be used to diagnose multicollinearity for logistic regression. The </w:t>
      </w:r>
      <w:proofErr w:type="spellStart"/>
      <w:r>
        <w:t>XGBoost</w:t>
      </w:r>
      <w:proofErr w:type="spellEnd"/>
      <w:r>
        <w:t xml:space="preserve"> model will also include sector indicators. Because the same variables may matter differently for banks, energy, technology, and utilities, common factors will be interpreted both globally and within each sector, while sector-specific measures such as CET1 will remain outside the principal all-sector model.</w:t>
      </w:r>
    </w:p>
    <w:p w14:paraId="41E9E330" w14:textId="77777777" w:rsidR="001212A2" w:rsidRDefault="001212A2" w:rsidP="001212A2">
      <w:pPr>
        <w:pStyle w:val="Heading2"/>
        <w:pageBreakBefore/>
      </w:pPr>
      <w:bookmarkStart w:id="7" w:name="_Toc242814628"/>
      <w:r>
        <w:lastRenderedPageBreak/>
        <w:t>4.3 Model development, validation, and evaluation</w:t>
      </w:r>
      <w:bookmarkEnd w:id="7"/>
    </w:p>
    <w:p w14:paraId="44BD705E" w14:textId="77777777" w:rsidR="001212A2" w:rsidRDefault="001212A2" w:rsidP="001212A2">
      <w:r>
        <w:t xml:space="preserve">Baseline and main model. Logistic regression provides a transparent benchmark for predicting the probability of each yes/no outcome. </w:t>
      </w:r>
      <w:proofErr w:type="spellStart"/>
      <w:r>
        <w:t>XGBoost</w:t>
      </w:r>
      <w:proofErr w:type="spellEnd"/>
      <w:r>
        <w:t xml:space="preserve"> (</w:t>
      </w:r>
      <w:proofErr w:type="spellStart"/>
      <w:proofErr w:type="gramStart"/>
      <w:r>
        <w:t>eXtreme</w:t>
      </w:r>
      <w:proofErr w:type="spellEnd"/>
      <w:proofErr w:type="gramEnd"/>
      <w:r>
        <w:t xml:space="preserve"> Gradient Boosting) is the primary algorithm: it sequentially builds decision trees to improve predictions and uses regularization to control complexity (Chen &amp; </w:t>
      </w:r>
      <w:proofErr w:type="spellStart"/>
      <w:r>
        <w:t>Guestrin</w:t>
      </w:r>
      <w:proofErr w:type="spellEnd"/>
      <w:r>
        <w:t>, 2016). Key hyperparameters include maximum tree depth, number of trees, learning rate, subsampling, and minimum child weight. Tuning will be based on validation results only.</w:t>
      </w:r>
    </w:p>
    <w:p w14:paraId="328CAE60" w14:textId="77777777" w:rsidR="001212A2" w:rsidRDefault="001212A2" w:rsidP="001212A2">
      <w:r>
        <w:t>Temporal separation. Predictions must be assessed on future periods not used to estimate or tune the model. The broad chronology will be training years 2013–2020, validation 2021–2022, and final test 2023–2024. Exact eligible months differ by target: for next-month outperformance, a November 2024 predictor row may be labelled by December 2024. For the 12-month risk target, a December 2024 predictor row would require data through December 2025 and therefore cannot be evaluated using a dataset ending in 2024. To prevent label overlap, the risk model will train using feature dates through December 2019 (future-risk labels end by December 2020), validate on 2021 origin dates (labels finish in 2022), and finally test on 2023 origin dates (labels finish in 2024). These holdout partitions will be fixed before analysis.</w:t>
      </w:r>
    </w:p>
    <w:tbl>
      <w:tblPr>
        <w:tblStyle w:val="TableGrid"/>
        <w:tblW w:w="0" w:type="auto"/>
        <w:jc w:val="center"/>
        <w:tblLayout w:type="fixed"/>
        <w:tblLook w:val="04A0" w:firstRow="1" w:lastRow="0" w:firstColumn="1" w:lastColumn="0" w:noHBand="0" w:noVBand="1"/>
      </w:tblPr>
      <w:tblGrid>
        <w:gridCol w:w="2448"/>
        <w:gridCol w:w="3672"/>
        <w:gridCol w:w="3658"/>
      </w:tblGrid>
      <w:tr w:rsidR="001212A2" w14:paraId="28433E19" w14:textId="77777777" w:rsidTr="008860EC">
        <w:trPr>
          <w:cantSplit/>
          <w:tblHeader/>
          <w:jc w:val="center"/>
        </w:trPr>
        <w:tc>
          <w:tcPr>
            <w:tcW w:w="2448" w:type="dxa"/>
            <w:shd w:val="clear" w:color="auto" w:fill="1A344F"/>
            <w:tcMar>
              <w:top w:w="96" w:type="dxa"/>
              <w:left w:w="86" w:type="dxa"/>
              <w:bottom w:w="96" w:type="dxa"/>
              <w:right w:w="86" w:type="dxa"/>
            </w:tcMar>
          </w:tcPr>
          <w:p w14:paraId="5A0A65C0" w14:textId="77777777" w:rsidR="001212A2" w:rsidRDefault="001212A2" w:rsidP="008860EC">
            <w:pPr>
              <w:spacing w:after="0"/>
            </w:pPr>
            <w:r>
              <w:rPr>
                <w:b/>
                <w:color w:val="FFFFFF"/>
                <w:sz w:val="17"/>
              </w:rPr>
              <w:t>Metric</w:t>
            </w:r>
          </w:p>
        </w:tc>
        <w:tc>
          <w:tcPr>
            <w:tcW w:w="3672" w:type="dxa"/>
            <w:shd w:val="clear" w:color="auto" w:fill="1A344F"/>
            <w:tcMar>
              <w:top w:w="96" w:type="dxa"/>
              <w:left w:w="86" w:type="dxa"/>
              <w:bottom w:w="96" w:type="dxa"/>
              <w:right w:w="86" w:type="dxa"/>
            </w:tcMar>
          </w:tcPr>
          <w:p w14:paraId="5BEE5E86" w14:textId="77777777" w:rsidR="001212A2" w:rsidRDefault="001212A2" w:rsidP="008860EC">
            <w:pPr>
              <w:spacing w:after="0"/>
            </w:pPr>
            <w:r>
              <w:rPr>
                <w:b/>
                <w:color w:val="FFFFFF"/>
                <w:sz w:val="17"/>
              </w:rPr>
              <w:t>Definition</w:t>
            </w:r>
          </w:p>
        </w:tc>
        <w:tc>
          <w:tcPr>
            <w:tcW w:w="3658" w:type="dxa"/>
            <w:shd w:val="clear" w:color="auto" w:fill="1A344F"/>
            <w:tcMar>
              <w:top w:w="96" w:type="dxa"/>
              <w:left w:w="86" w:type="dxa"/>
              <w:bottom w:w="96" w:type="dxa"/>
              <w:right w:w="86" w:type="dxa"/>
            </w:tcMar>
          </w:tcPr>
          <w:p w14:paraId="62AD2A79" w14:textId="77777777" w:rsidR="001212A2" w:rsidRDefault="001212A2" w:rsidP="008860EC">
            <w:pPr>
              <w:spacing w:after="0"/>
            </w:pPr>
            <w:r>
              <w:rPr>
                <w:b/>
                <w:color w:val="FFFFFF"/>
                <w:sz w:val="17"/>
              </w:rPr>
              <w:t>Role in our two classification models</w:t>
            </w:r>
          </w:p>
        </w:tc>
      </w:tr>
      <w:tr w:rsidR="001212A2" w14:paraId="671A33B8" w14:textId="77777777" w:rsidTr="008860EC">
        <w:trPr>
          <w:cantSplit/>
          <w:jc w:val="center"/>
        </w:trPr>
        <w:tc>
          <w:tcPr>
            <w:tcW w:w="2448" w:type="dxa"/>
            <w:shd w:val="clear" w:color="auto" w:fill="EDF3F6"/>
            <w:tcMar>
              <w:top w:w="70" w:type="dxa"/>
              <w:left w:w="86" w:type="dxa"/>
              <w:bottom w:w="70" w:type="dxa"/>
              <w:right w:w="86" w:type="dxa"/>
            </w:tcMar>
          </w:tcPr>
          <w:p w14:paraId="36B20C44" w14:textId="77777777" w:rsidR="001212A2" w:rsidRDefault="001212A2" w:rsidP="008860EC">
            <w:pPr>
              <w:spacing w:after="0" w:line="254" w:lineRule="auto"/>
            </w:pPr>
            <w:r>
              <w:rPr>
                <w:sz w:val="17"/>
              </w:rPr>
              <w:t>ROC-AUC</w:t>
            </w:r>
          </w:p>
        </w:tc>
        <w:tc>
          <w:tcPr>
            <w:tcW w:w="3672" w:type="dxa"/>
            <w:shd w:val="clear" w:color="auto" w:fill="EDF3F6"/>
            <w:tcMar>
              <w:top w:w="70" w:type="dxa"/>
              <w:left w:w="86" w:type="dxa"/>
              <w:bottom w:w="70" w:type="dxa"/>
              <w:right w:w="86" w:type="dxa"/>
            </w:tcMar>
          </w:tcPr>
          <w:p w14:paraId="678D559B" w14:textId="77777777" w:rsidR="001212A2" w:rsidRDefault="001212A2" w:rsidP="008860EC">
            <w:pPr>
              <w:spacing w:after="0" w:line="254" w:lineRule="auto"/>
            </w:pPr>
            <w:r>
              <w:rPr>
                <w:sz w:val="17"/>
              </w:rPr>
              <w:t>Area under the receiver operating characteristic curve; ranks positives above negatives across probability cutoffs.</w:t>
            </w:r>
          </w:p>
        </w:tc>
        <w:tc>
          <w:tcPr>
            <w:tcW w:w="3658" w:type="dxa"/>
            <w:shd w:val="clear" w:color="auto" w:fill="EDF3F6"/>
            <w:tcMar>
              <w:top w:w="70" w:type="dxa"/>
              <w:left w:w="86" w:type="dxa"/>
              <w:bottom w:w="70" w:type="dxa"/>
              <w:right w:w="86" w:type="dxa"/>
            </w:tcMar>
          </w:tcPr>
          <w:p w14:paraId="341A1166" w14:textId="77777777" w:rsidR="001212A2" w:rsidRDefault="001212A2" w:rsidP="008860EC">
            <w:pPr>
              <w:spacing w:after="0" w:line="254" w:lineRule="auto"/>
            </w:pPr>
            <w:r>
              <w:rPr>
                <w:sz w:val="17"/>
              </w:rPr>
              <w:t xml:space="preserve">Primary discrimination measure for logistic regression vs </w:t>
            </w:r>
            <w:proofErr w:type="spellStart"/>
            <w:r>
              <w:rPr>
                <w:sz w:val="17"/>
              </w:rPr>
              <w:t>XGBoost</w:t>
            </w:r>
            <w:proofErr w:type="spellEnd"/>
            <w:r>
              <w:rPr>
                <w:sz w:val="17"/>
              </w:rPr>
              <w:t>.</w:t>
            </w:r>
          </w:p>
        </w:tc>
      </w:tr>
      <w:tr w:rsidR="001212A2" w14:paraId="0DDB38C9" w14:textId="77777777" w:rsidTr="008860EC">
        <w:trPr>
          <w:cantSplit/>
          <w:jc w:val="center"/>
        </w:trPr>
        <w:tc>
          <w:tcPr>
            <w:tcW w:w="2448" w:type="dxa"/>
            <w:tcMar>
              <w:top w:w="70" w:type="dxa"/>
              <w:left w:w="86" w:type="dxa"/>
              <w:bottom w:w="70" w:type="dxa"/>
              <w:right w:w="86" w:type="dxa"/>
            </w:tcMar>
          </w:tcPr>
          <w:p w14:paraId="733F067D" w14:textId="77777777" w:rsidR="001212A2" w:rsidRDefault="001212A2" w:rsidP="008860EC">
            <w:pPr>
              <w:spacing w:after="0" w:line="254" w:lineRule="auto"/>
            </w:pPr>
            <w:r>
              <w:rPr>
                <w:sz w:val="17"/>
              </w:rPr>
              <w:t>Precision = TP</w:t>
            </w:r>
            <w:proofErr w:type="gramStart"/>
            <w:r>
              <w:rPr>
                <w:sz w:val="17"/>
              </w:rPr>
              <w:t>/(</w:t>
            </w:r>
            <w:proofErr w:type="gramEnd"/>
            <w:r>
              <w:rPr>
                <w:sz w:val="17"/>
              </w:rPr>
              <w:t>TP + FP)</w:t>
            </w:r>
          </w:p>
        </w:tc>
        <w:tc>
          <w:tcPr>
            <w:tcW w:w="3672" w:type="dxa"/>
            <w:tcMar>
              <w:top w:w="70" w:type="dxa"/>
              <w:left w:w="86" w:type="dxa"/>
              <w:bottom w:w="70" w:type="dxa"/>
              <w:right w:w="86" w:type="dxa"/>
            </w:tcMar>
          </w:tcPr>
          <w:p w14:paraId="53E8D1C9" w14:textId="77777777" w:rsidR="001212A2" w:rsidRDefault="001212A2" w:rsidP="008860EC">
            <w:pPr>
              <w:spacing w:after="0" w:line="254" w:lineRule="auto"/>
            </w:pPr>
            <w:r>
              <w:rPr>
                <w:sz w:val="17"/>
              </w:rPr>
              <w:t>Share of positive predictions that were truly positive.</w:t>
            </w:r>
          </w:p>
        </w:tc>
        <w:tc>
          <w:tcPr>
            <w:tcW w:w="3658" w:type="dxa"/>
            <w:tcMar>
              <w:top w:w="70" w:type="dxa"/>
              <w:left w:w="86" w:type="dxa"/>
              <w:bottom w:w="70" w:type="dxa"/>
              <w:right w:w="86" w:type="dxa"/>
            </w:tcMar>
          </w:tcPr>
          <w:p w14:paraId="25C4E6E9" w14:textId="77777777" w:rsidR="001212A2" w:rsidRDefault="001212A2" w:rsidP="008860EC">
            <w:pPr>
              <w:spacing w:after="0" w:line="254" w:lineRule="auto"/>
            </w:pPr>
            <w:r>
              <w:rPr>
                <w:sz w:val="17"/>
              </w:rPr>
              <w:t>Avoid too many false outperformance or high-risk signals.</w:t>
            </w:r>
          </w:p>
        </w:tc>
      </w:tr>
      <w:tr w:rsidR="001212A2" w14:paraId="7A91FA5D" w14:textId="77777777" w:rsidTr="008860EC">
        <w:trPr>
          <w:cantSplit/>
          <w:jc w:val="center"/>
        </w:trPr>
        <w:tc>
          <w:tcPr>
            <w:tcW w:w="2448" w:type="dxa"/>
            <w:shd w:val="clear" w:color="auto" w:fill="EDF3F6"/>
            <w:tcMar>
              <w:top w:w="70" w:type="dxa"/>
              <w:left w:w="86" w:type="dxa"/>
              <w:bottom w:w="70" w:type="dxa"/>
              <w:right w:w="86" w:type="dxa"/>
            </w:tcMar>
          </w:tcPr>
          <w:p w14:paraId="2E1E3D14" w14:textId="77777777" w:rsidR="001212A2" w:rsidRDefault="001212A2" w:rsidP="008860EC">
            <w:pPr>
              <w:spacing w:after="0" w:line="254" w:lineRule="auto"/>
            </w:pPr>
            <w:r>
              <w:rPr>
                <w:sz w:val="17"/>
              </w:rPr>
              <w:t>Recall = TP</w:t>
            </w:r>
            <w:proofErr w:type="gramStart"/>
            <w:r>
              <w:rPr>
                <w:sz w:val="17"/>
              </w:rPr>
              <w:t>/(</w:t>
            </w:r>
            <w:proofErr w:type="gramEnd"/>
            <w:r>
              <w:rPr>
                <w:sz w:val="17"/>
              </w:rPr>
              <w:t>TP + FN)</w:t>
            </w:r>
          </w:p>
        </w:tc>
        <w:tc>
          <w:tcPr>
            <w:tcW w:w="3672" w:type="dxa"/>
            <w:shd w:val="clear" w:color="auto" w:fill="EDF3F6"/>
            <w:tcMar>
              <w:top w:w="70" w:type="dxa"/>
              <w:left w:w="86" w:type="dxa"/>
              <w:bottom w:w="70" w:type="dxa"/>
              <w:right w:w="86" w:type="dxa"/>
            </w:tcMar>
          </w:tcPr>
          <w:p w14:paraId="5919FBBC" w14:textId="77777777" w:rsidR="001212A2" w:rsidRDefault="001212A2" w:rsidP="008860EC">
            <w:pPr>
              <w:spacing w:after="0" w:line="254" w:lineRule="auto"/>
            </w:pPr>
            <w:r>
              <w:rPr>
                <w:sz w:val="17"/>
              </w:rPr>
              <w:t>Share of true positives that the model identifies.</w:t>
            </w:r>
          </w:p>
        </w:tc>
        <w:tc>
          <w:tcPr>
            <w:tcW w:w="3658" w:type="dxa"/>
            <w:shd w:val="clear" w:color="auto" w:fill="EDF3F6"/>
            <w:tcMar>
              <w:top w:w="70" w:type="dxa"/>
              <w:left w:w="86" w:type="dxa"/>
              <w:bottom w:w="70" w:type="dxa"/>
              <w:right w:w="86" w:type="dxa"/>
            </w:tcMar>
          </w:tcPr>
          <w:p w14:paraId="54DB4279" w14:textId="77777777" w:rsidR="001212A2" w:rsidRDefault="001212A2" w:rsidP="008860EC">
            <w:pPr>
              <w:spacing w:after="0" w:line="254" w:lineRule="auto"/>
            </w:pPr>
            <w:r>
              <w:rPr>
                <w:sz w:val="17"/>
              </w:rPr>
              <w:t>Important for not overlooking stocks that turn out high risk.</w:t>
            </w:r>
          </w:p>
        </w:tc>
      </w:tr>
      <w:tr w:rsidR="001212A2" w14:paraId="2D7CC9CC" w14:textId="77777777" w:rsidTr="008860EC">
        <w:trPr>
          <w:cantSplit/>
          <w:jc w:val="center"/>
        </w:trPr>
        <w:tc>
          <w:tcPr>
            <w:tcW w:w="2448" w:type="dxa"/>
            <w:tcMar>
              <w:top w:w="70" w:type="dxa"/>
              <w:left w:w="86" w:type="dxa"/>
              <w:bottom w:w="70" w:type="dxa"/>
              <w:right w:w="86" w:type="dxa"/>
            </w:tcMar>
          </w:tcPr>
          <w:p w14:paraId="4D3EBCE4" w14:textId="77777777" w:rsidR="001212A2" w:rsidRDefault="001212A2" w:rsidP="008860EC">
            <w:pPr>
              <w:spacing w:after="0" w:line="254" w:lineRule="auto"/>
            </w:pPr>
            <w:r>
              <w:rPr>
                <w:sz w:val="17"/>
              </w:rPr>
              <w:t>Confusion matrix</w:t>
            </w:r>
          </w:p>
        </w:tc>
        <w:tc>
          <w:tcPr>
            <w:tcW w:w="3672" w:type="dxa"/>
            <w:tcMar>
              <w:top w:w="70" w:type="dxa"/>
              <w:left w:w="86" w:type="dxa"/>
              <w:bottom w:w="70" w:type="dxa"/>
              <w:right w:w="86" w:type="dxa"/>
            </w:tcMar>
          </w:tcPr>
          <w:p w14:paraId="7AE16173" w14:textId="77777777" w:rsidR="001212A2" w:rsidRDefault="001212A2" w:rsidP="008860EC">
            <w:pPr>
              <w:spacing w:after="0" w:line="254" w:lineRule="auto"/>
            </w:pPr>
            <w:r>
              <w:rPr>
                <w:sz w:val="17"/>
              </w:rPr>
              <w:t>Counts TP, TN, FP and FN after choosing a probability threshold.</w:t>
            </w:r>
          </w:p>
        </w:tc>
        <w:tc>
          <w:tcPr>
            <w:tcW w:w="3658" w:type="dxa"/>
            <w:tcMar>
              <w:top w:w="70" w:type="dxa"/>
              <w:left w:w="86" w:type="dxa"/>
              <w:bottom w:w="70" w:type="dxa"/>
              <w:right w:w="86" w:type="dxa"/>
            </w:tcMar>
          </w:tcPr>
          <w:p w14:paraId="336464D3" w14:textId="77777777" w:rsidR="001212A2" w:rsidRDefault="001212A2" w:rsidP="008860EC">
            <w:pPr>
              <w:spacing w:after="0" w:line="254" w:lineRule="auto"/>
            </w:pPr>
            <w:r>
              <w:rPr>
                <w:sz w:val="17"/>
              </w:rPr>
              <w:t>Shows false alarms and missed events; threshold tuned on validation.</w:t>
            </w:r>
          </w:p>
        </w:tc>
      </w:tr>
      <w:tr w:rsidR="001212A2" w14:paraId="299FAA48" w14:textId="77777777" w:rsidTr="008860EC">
        <w:trPr>
          <w:cantSplit/>
          <w:jc w:val="center"/>
        </w:trPr>
        <w:tc>
          <w:tcPr>
            <w:tcW w:w="2448" w:type="dxa"/>
            <w:shd w:val="clear" w:color="auto" w:fill="EDF3F6"/>
            <w:tcMar>
              <w:top w:w="70" w:type="dxa"/>
              <w:left w:w="86" w:type="dxa"/>
              <w:bottom w:w="70" w:type="dxa"/>
              <w:right w:w="86" w:type="dxa"/>
            </w:tcMar>
          </w:tcPr>
          <w:p w14:paraId="2756541A" w14:textId="77777777" w:rsidR="001212A2" w:rsidRDefault="001212A2" w:rsidP="008860EC">
            <w:pPr>
              <w:spacing w:after="0" w:line="254" w:lineRule="auto"/>
            </w:pPr>
            <w:r>
              <w:rPr>
                <w:sz w:val="17"/>
              </w:rPr>
              <w:t>PR-AUC / balanced accuracy</w:t>
            </w:r>
          </w:p>
        </w:tc>
        <w:tc>
          <w:tcPr>
            <w:tcW w:w="3672" w:type="dxa"/>
            <w:shd w:val="clear" w:color="auto" w:fill="EDF3F6"/>
            <w:tcMar>
              <w:top w:w="70" w:type="dxa"/>
              <w:left w:w="86" w:type="dxa"/>
              <w:bottom w:w="70" w:type="dxa"/>
              <w:right w:w="86" w:type="dxa"/>
            </w:tcMar>
          </w:tcPr>
          <w:p w14:paraId="35E53DBE" w14:textId="77777777" w:rsidR="001212A2" w:rsidRDefault="001212A2" w:rsidP="008860EC">
            <w:pPr>
              <w:spacing w:after="0" w:line="254" w:lineRule="auto"/>
            </w:pPr>
            <w:r>
              <w:rPr>
                <w:sz w:val="17"/>
              </w:rPr>
              <w:t>Helpful where positive and negative classes are unequal.</w:t>
            </w:r>
          </w:p>
        </w:tc>
        <w:tc>
          <w:tcPr>
            <w:tcW w:w="3658" w:type="dxa"/>
            <w:shd w:val="clear" w:color="auto" w:fill="EDF3F6"/>
            <w:tcMar>
              <w:top w:w="70" w:type="dxa"/>
              <w:left w:w="86" w:type="dxa"/>
              <w:bottom w:w="70" w:type="dxa"/>
              <w:right w:w="86" w:type="dxa"/>
            </w:tcMar>
          </w:tcPr>
          <w:p w14:paraId="367E62C3" w14:textId="77777777" w:rsidR="001212A2" w:rsidRDefault="001212A2" w:rsidP="008860EC">
            <w:pPr>
              <w:spacing w:after="0" w:line="254" w:lineRule="auto"/>
            </w:pPr>
            <w:r>
              <w:rPr>
                <w:sz w:val="17"/>
              </w:rPr>
              <w:t>Secondary checks if class imbalance is substantial.</w:t>
            </w:r>
          </w:p>
        </w:tc>
      </w:tr>
    </w:tbl>
    <w:p w14:paraId="6D546505" w14:textId="77777777" w:rsidR="001212A2" w:rsidRDefault="001212A2" w:rsidP="001212A2">
      <w:pPr>
        <w:spacing w:after="0"/>
      </w:pPr>
    </w:p>
    <w:p w14:paraId="59B45AFD" w14:textId="77777777" w:rsidR="001212A2" w:rsidRDefault="001212A2" w:rsidP="001212A2">
      <w:r>
        <w:t>Model comparison will report validation and final test ROC-AUC, precision, recall, and confusion matrices separately for the two outcomes, with class prevalence. Any reweighting or imputation will be learned from training data only. We will test class weights before considering SMOTE, because synthetic observations across time and company identities require special care. The final test will not be used to repeatedly revise hyperparameters or feature definitions.</w:t>
      </w:r>
    </w:p>
    <w:p w14:paraId="77138495" w14:textId="77777777" w:rsidR="001212A2" w:rsidRDefault="001212A2" w:rsidP="001212A2">
      <w:pPr>
        <w:pStyle w:val="Heading2"/>
      </w:pPr>
      <w:bookmarkStart w:id="8" w:name="_Toc242814629"/>
      <w:r>
        <w:t>4.4 Explainable AI and research outputs</w:t>
      </w:r>
      <w:bookmarkEnd w:id="8"/>
    </w:p>
    <w:p w14:paraId="42D23ED1" w14:textId="77777777" w:rsidR="001212A2" w:rsidRDefault="001212A2" w:rsidP="001212A2">
      <w:r>
        <w:t xml:space="preserve">SHAP will quantify how each predictor shifts a model prediction relative to a baseline. We will report </w:t>
      </w:r>
      <w:proofErr w:type="gramStart"/>
      <w:r>
        <w:t>global mean</w:t>
      </w:r>
      <w:proofErr w:type="gramEnd"/>
      <w:r>
        <w:t xml:space="preserve"> absolute SHAP contributions, separate SHAP summaries for each sector with adequate observations, and local waterfall plots for selected stock-month examples. Sector-balanced summaries will be considered so a sector with many firms does not automatically dominate the pooled importance ranking. LIME will approximate the </w:t>
      </w:r>
      <w:proofErr w:type="spellStart"/>
      <w:r>
        <w:t>XGBoost</w:t>
      </w:r>
      <w:proofErr w:type="spellEnd"/>
      <w:r>
        <w:t xml:space="preserve"> prediction locally for the same selected examples, allowing a qualitative comparison of important explanatory variables (Lundberg &amp; Lee, 2017; Ribeiro et al., 2016). Alternatives include annual-only modelling (less temporal </w:t>
      </w:r>
      <w:r>
        <w:lastRenderedPageBreak/>
        <w:t>detail) and MIDAS/deep learning (more complexity). Limitations include survivorship bias, sector imbalance, correlated months, and adapting a fund-risk cutoff; SHAP does not establish causality.</w:t>
      </w:r>
    </w:p>
    <w:p w14:paraId="7590639A" w14:textId="77777777" w:rsidR="001212A2" w:rsidRDefault="001212A2" w:rsidP="001212A2">
      <w:pPr>
        <w:rPr>
          <w:lang w:val="en-CA"/>
        </w:rPr>
      </w:pPr>
    </w:p>
    <w:p w14:paraId="61025645" w14:textId="77777777" w:rsidR="001212A2" w:rsidRDefault="001212A2" w:rsidP="001212A2">
      <w:pPr>
        <w:rPr>
          <w:lang w:val="en-CA"/>
        </w:rPr>
      </w:pPr>
    </w:p>
    <w:p w14:paraId="49AA9935" w14:textId="70795288" w:rsidR="001212A2" w:rsidRPr="001212A2" w:rsidRDefault="001212A2" w:rsidP="001212A2">
      <w:pPr>
        <w:rPr>
          <w:lang w:val="en-CA"/>
        </w:rPr>
        <w:sectPr w:rsidR="001212A2" w:rsidRPr="001212A2" w:rsidSect="001212A2">
          <w:footerReference w:type="default" r:id="rId7"/>
          <w:pgSz w:w="12240" w:h="15840"/>
          <w:pgMar w:top="1181" w:right="1238" w:bottom="1123" w:left="1238" w:header="504" w:footer="547" w:gutter="0"/>
          <w:cols w:space="720"/>
          <w:docGrid w:linePitch="360"/>
        </w:sectPr>
      </w:pPr>
    </w:p>
    <w:p w14:paraId="30C472FA" w14:textId="77777777" w:rsidR="001212A2" w:rsidRDefault="001212A2" w:rsidP="001212A2">
      <w:pPr>
        <w:pStyle w:val="Heading1"/>
      </w:pPr>
      <w:bookmarkStart w:id="9" w:name="_Toc242814630"/>
      <w:r>
        <w:lastRenderedPageBreak/>
        <w:t>5. Project Plan and Gantt Chart</w:t>
      </w:r>
      <w:bookmarkEnd w:id="9"/>
    </w:p>
    <w:p w14:paraId="3EFEE656" w14:textId="77777777" w:rsidR="00B15419" w:rsidRPr="00B15419" w:rsidRDefault="00B15419" w:rsidP="00B15419">
      <w:pPr>
        <w:spacing w:line="292" w:lineRule="auto"/>
        <w:rPr>
          <w:rFonts w:eastAsia="MS Mincho" w:cs="Times New Roman"/>
        </w:rPr>
      </w:pPr>
      <w:r w:rsidRPr="00B15419">
        <w:rPr>
          <w:rFonts w:eastAsia="MS Mincho" w:cs="Times New Roman"/>
        </w:rPr>
        <w:t>Proposed nine-week schedule beginning 12 October 2026. The instructor’s submission date has not been specified in the supplied requirements, so week numbers and dates are provisional. Workstreams overlap deliberately: reading and writing proceed alongside Bloomberg extraction and model construction. Milestones are a validated dataset by W5, a selected model by W7, and final written report and poster presentation by W9.</w:t>
      </w:r>
    </w:p>
    <w:tbl>
      <w:tblPr>
        <w:tblStyle w:val="TableGrid1"/>
        <w:tblW w:w="0" w:type="auto"/>
        <w:jc w:val="center"/>
        <w:tblInd w:w="0" w:type="dxa"/>
        <w:tblLayout w:type="fixed"/>
        <w:tblLook w:val="04A0" w:firstRow="1" w:lastRow="0" w:firstColumn="1" w:lastColumn="0" w:noHBand="0" w:noVBand="1"/>
      </w:tblPr>
      <w:tblGrid>
        <w:gridCol w:w="5400"/>
        <w:gridCol w:w="1022"/>
        <w:gridCol w:w="1022"/>
        <w:gridCol w:w="1022"/>
        <w:gridCol w:w="1022"/>
        <w:gridCol w:w="1022"/>
        <w:gridCol w:w="1022"/>
        <w:gridCol w:w="1022"/>
        <w:gridCol w:w="1022"/>
        <w:gridCol w:w="1022"/>
      </w:tblGrid>
      <w:tr w:rsidR="00B15419" w:rsidRPr="00B15419" w14:paraId="78A1196E" w14:textId="77777777">
        <w:trPr>
          <w:cantSplit/>
          <w:tblHeader/>
          <w:jc w:val="center"/>
        </w:trPr>
        <w:tc>
          <w:tcPr>
            <w:tcW w:w="5400" w:type="dxa"/>
            <w:tcBorders>
              <w:top w:val="single" w:sz="4" w:space="0" w:color="auto"/>
              <w:left w:val="single" w:sz="4" w:space="0" w:color="auto"/>
              <w:bottom w:val="single" w:sz="4" w:space="0" w:color="auto"/>
              <w:right w:val="single" w:sz="4" w:space="0" w:color="auto"/>
            </w:tcBorders>
            <w:shd w:val="clear" w:color="auto" w:fill="1A344F"/>
            <w:tcMar>
              <w:top w:w="80" w:type="dxa"/>
              <w:left w:w="45" w:type="dxa"/>
              <w:bottom w:w="80" w:type="dxa"/>
              <w:right w:w="45" w:type="dxa"/>
            </w:tcMar>
            <w:hideMark/>
          </w:tcPr>
          <w:p w14:paraId="53D7398C" w14:textId="77777777" w:rsidR="00B15419" w:rsidRPr="00B15419" w:rsidRDefault="00B15419" w:rsidP="00B15419">
            <w:pPr>
              <w:spacing w:after="0" w:line="292" w:lineRule="auto"/>
              <w:rPr>
                <w:rFonts w:eastAsia="MS Mincho"/>
              </w:rPr>
            </w:pPr>
            <w:r w:rsidRPr="00B15419">
              <w:rPr>
                <w:rFonts w:eastAsia="MS Mincho"/>
                <w:b/>
                <w:color w:val="FFFFFF"/>
                <w:sz w:val="17"/>
              </w:rPr>
              <w:t>Work package</w:t>
            </w:r>
          </w:p>
        </w:tc>
        <w:tc>
          <w:tcPr>
            <w:tcW w:w="1022" w:type="dxa"/>
            <w:tcBorders>
              <w:top w:val="single" w:sz="4" w:space="0" w:color="auto"/>
              <w:left w:val="single" w:sz="4" w:space="0" w:color="auto"/>
              <w:bottom w:val="single" w:sz="4" w:space="0" w:color="auto"/>
              <w:right w:val="single" w:sz="4" w:space="0" w:color="auto"/>
            </w:tcBorders>
            <w:shd w:val="clear" w:color="auto" w:fill="1A344F"/>
            <w:tcMar>
              <w:top w:w="80" w:type="dxa"/>
              <w:left w:w="45" w:type="dxa"/>
              <w:bottom w:w="80" w:type="dxa"/>
              <w:right w:w="45" w:type="dxa"/>
            </w:tcMar>
            <w:hideMark/>
          </w:tcPr>
          <w:p w14:paraId="02C79491" w14:textId="77777777" w:rsidR="00B15419" w:rsidRPr="00B15419" w:rsidRDefault="00B15419" w:rsidP="00B15419">
            <w:pPr>
              <w:spacing w:after="0" w:line="292" w:lineRule="auto"/>
              <w:jc w:val="center"/>
              <w:rPr>
                <w:rFonts w:eastAsia="MS Mincho"/>
              </w:rPr>
            </w:pPr>
            <w:r w:rsidRPr="00B15419">
              <w:rPr>
                <w:rFonts w:eastAsia="MS Mincho"/>
                <w:b/>
                <w:color w:val="FFFFFF"/>
                <w:sz w:val="17"/>
              </w:rPr>
              <w:t>W1</w:t>
            </w:r>
            <w:r w:rsidRPr="00B15419">
              <w:rPr>
                <w:rFonts w:eastAsia="MS Mincho"/>
                <w:b/>
                <w:color w:val="FFFFFF"/>
                <w:sz w:val="17"/>
              </w:rPr>
              <w:br/>
              <w:t>Oct 12</w:t>
            </w:r>
          </w:p>
        </w:tc>
        <w:tc>
          <w:tcPr>
            <w:tcW w:w="1022" w:type="dxa"/>
            <w:tcBorders>
              <w:top w:val="single" w:sz="4" w:space="0" w:color="auto"/>
              <w:left w:val="single" w:sz="4" w:space="0" w:color="auto"/>
              <w:bottom w:val="single" w:sz="4" w:space="0" w:color="auto"/>
              <w:right w:val="single" w:sz="4" w:space="0" w:color="auto"/>
            </w:tcBorders>
            <w:shd w:val="clear" w:color="auto" w:fill="1A344F"/>
            <w:tcMar>
              <w:top w:w="80" w:type="dxa"/>
              <w:left w:w="45" w:type="dxa"/>
              <w:bottom w:w="80" w:type="dxa"/>
              <w:right w:w="45" w:type="dxa"/>
            </w:tcMar>
            <w:hideMark/>
          </w:tcPr>
          <w:p w14:paraId="3D9B36F3" w14:textId="77777777" w:rsidR="00B15419" w:rsidRPr="00B15419" w:rsidRDefault="00B15419" w:rsidP="00B15419">
            <w:pPr>
              <w:spacing w:after="0" w:line="292" w:lineRule="auto"/>
              <w:jc w:val="center"/>
              <w:rPr>
                <w:rFonts w:eastAsia="MS Mincho"/>
              </w:rPr>
            </w:pPr>
            <w:r w:rsidRPr="00B15419">
              <w:rPr>
                <w:rFonts w:eastAsia="MS Mincho"/>
                <w:b/>
                <w:color w:val="FFFFFF"/>
                <w:sz w:val="17"/>
              </w:rPr>
              <w:t>W2</w:t>
            </w:r>
            <w:r w:rsidRPr="00B15419">
              <w:rPr>
                <w:rFonts w:eastAsia="MS Mincho"/>
                <w:b/>
                <w:color w:val="FFFFFF"/>
                <w:sz w:val="17"/>
              </w:rPr>
              <w:br/>
              <w:t>Oct 19</w:t>
            </w:r>
          </w:p>
        </w:tc>
        <w:tc>
          <w:tcPr>
            <w:tcW w:w="1022" w:type="dxa"/>
            <w:tcBorders>
              <w:top w:val="single" w:sz="4" w:space="0" w:color="auto"/>
              <w:left w:val="single" w:sz="4" w:space="0" w:color="auto"/>
              <w:bottom w:val="single" w:sz="4" w:space="0" w:color="auto"/>
              <w:right w:val="single" w:sz="4" w:space="0" w:color="auto"/>
            </w:tcBorders>
            <w:shd w:val="clear" w:color="auto" w:fill="1A344F"/>
            <w:tcMar>
              <w:top w:w="80" w:type="dxa"/>
              <w:left w:w="45" w:type="dxa"/>
              <w:bottom w:w="80" w:type="dxa"/>
              <w:right w:w="45" w:type="dxa"/>
            </w:tcMar>
            <w:hideMark/>
          </w:tcPr>
          <w:p w14:paraId="0697CB92" w14:textId="77777777" w:rsidR="00B15419" w:rsidRPr="00B15419" w:rsidRDefault="00B15419" w:rsidP="00B15419">
            <w:pPr>
              <w:spacing w:after="0" w:line="292" w:lineRule="auto"/>
              <w:jc w:val="center"/>
              <w:rPr>
                <w:rFonts w:eastAsia="MS Mincho"/>
              </w:rPr>
            </w:pPr>
            <w:r w:rsidRPr="00B15419">
              <w:rPr>
                <w:rFonts w:eastAsia="MS Mincho"/>
                <w:b/>
                <w:color w:val="FFFFFF"/>
                <w:sz w:val="17"/>
              </w:rPr>
              <w:t>W3</w:t>
            </w:r>
            <w:r w:rsidRPr="00B15419">
              <w:rPr>
                <w:rFonts w:eastAsia="MS Mincho"/>
                <w:b/>
                <w:color w:val="FFFFFF"/>
                <w:sz w:val="17"/>
              </w:rPr>
              <w:br/>
              <w:t>Oct 26</w:t>
            </w:r>
          </w:p>
        </w:tc>
        <w:tc>
          <w:tcPr>
            <w:tcW w:w="1022" w:type="dxa"/>
            <w:tcBorders>
              <w:top w:val="single" w:sz="4" w:space="0" w:color="auto"/>
              <w:left w:val="single" w:sz="4" w:space="0" w:color="auto"/>
              <w:bottom w:val="single" w:sz="4" w:space="0" w:color="auto"/>
              <w:right w:val="single" w:sz="4" w:space="0" w:color="auto"/>
            </w:tcBorders>
            <w:shd w:val="clear" w:color="auto" w:fill="1A344F"/>
            <w:tcMar>
              <w:top w:w="80" w:type="dxa"/>
              <w:left w:w="45" w:type="dxa"/>
              <w:bottom w:w="80" w:type="dxa"/>
              <w:right w:w="45" w:type="dxa"/>
            </w:tcMar>
            <w:hideMark/>
          </w:tcPr>
          <w:p w14:paraId="08694881" w14:textId="77777777" w:rsidR="00B15419" w:rsidRPr="00B15419" w:rsidRDefault="00B15419" w:rsidP="00B15419">
            <w:pPr>
              <w:spacing w:after="0" w:line="292" w:lineRule="auto"/>
              <w:jc w:val="center"/>
              <w:rPr>
                <w:rFonts w:eastAsia="MS Mincho"/>
              </w:rPr>
            </w:pPr>
            <w:r w:rsidRPr="00B15419">
              <w:rPr>
                <w:rFonts w:eastAsia="MS Mincho"/>
                <w:b/>
                <w:color w:val="FFFFFF"/>
                <w:sz w:val="17"/>
              </w:rPr>
              <w:t>W4</w:t>
            </w:r>
            <w:r w:rsidRPr="00B15419">
              <w:rPr>
                <w:rFonts w:eastAsia="MS Mincho"/>
                <w:b/>
                <w:color w:val="FFFFFF"/>
                <w:sz w:val="17"/>
              </w:rPr>
              <w:br/>
              <w:t>Nov 2</w:t>
            </w:r>
          </w:p>
        </w:tc>
        <w:tc>
          <w:tcPr>
            <w:tcW w:w="1022" w:type="dxa"/>
            <w:tcBorders>
              <w:top w:val="single" w:sz="4" w:space="0" w:color="auto"/>
              <w:left w:val="single" w:sz="4" w:space="0" w:color="auto"/>
              <w:bottom w:val="single" w:sz="4" w:space="0" w:color="auto"/>
              <w:right w:val="single" w:sz="4" w:space="0" w:color="auto"/>
            </w:tcBorders>
            <w:shd w:val="clear" w:color="auto" w:fill="1A344F"/>
            <w:tcMar>
              <w:top w:w="80" w:type="dxa"/>
              <w:left w:w="45" w:type="dxa"/>
              <w:bottom w:w="80" w:type="dxa"/>
              <w:right w:w="45" w:type="dxa"/>
            </w:tcMar>
            <w:hideMark/>
          </w:tcPr>
          <w:p w14:paraId="4A0F33A3" w14:textId="77777777" w:rsidR="00B15419" w:rsidRPr="00B15419" w:rsidRDefault="00B15419" w:rsidP="00B15419">
            <w:pPr>
              <w:spacing w:after="0" w:line="292" w:lineRule="auto"/>
              <w:jc w:val="center"/>
              <w:rPr>
                <w:rFonts w:eastAsia="MS Mincho"/>
              </w:rPr>
            </w:pPr>
            <w:r w:rsidRPr="00B15419">
              <w:rPr>
                <w:rFonts w:eastAsia="MS Mincho"/>
                <w:b/>
                <w:color w:val="FFFFFF"/>
                <w:sz w:val="17"/>
              </w:rPr>
              <w:t>W5</w:t>
            </w:r>
            <w:r w:rsidRPr="00B15419">
              <w:rPr>
                <w:rFonts w:eastAsia="MS Mincho"/>
                <w:b/>
                <w:color w:val="FFFFFF"/>
                <w:sz w:val="17"/>
              </w:rPr>
              <w:br/>
              <w:t>Nov 9</w:t>
            </w:r>
          </w:p>
        </w:tc>
        <w:tc>
          <w:tcPr>
            <w:tcW w:w="1022" w:type="dxa"/>
            <w:tcBorders>
              <w:top w:val="single" w:sz="4" w:space="0" w:color="auto"/>
              <w:left w:val="single" w:sz="4" w:space="0" w:color="auto"/>
              <w:bottom w:val="single" w:sz="4" w:space="0" w:color="auto"/>
              <w:right w:val="single" w:sz="4" w:space="0" w:color="auto"/>
            </w:tcBorders>
            <w:shd w:val="clear" w:color="auto" w:fill="1A344F"/>
            <w:tcMar>
              <w:top w:w="80" w:type="dxa"/>
              <w:left w:w="45" w:type="dxa"/>
              <w:bottom w:w="80" w:type="dxa"/>
              <w:right w:w="45" w:type="dxa"/>
            </w:tcMar>
            <w:hideMark/>
          </w:tcPr>
          <w:p w14:paraId="443CC596" w14:textId="77777777" w:rsidR="00B15419" w:rsidRPr="00B15419" w:rsidRDefault="00B15419" w:rsidP="00B15419">
            <w:pPr>
              <w:spacing w:after="0" w:line="292" w:lineRule="auto"/>
              <w:jc w:val="center"/>
              <w:rPr>
                <w:rFonts w:eastAsia="MS Mincho"/>
              </w:rPr>
            </w:pPr>
            <w:r w:rsidRPr="00B15419">
              <w:rPr>
                <w:rFonts w:eastAsia="MS Mincho"/>
                <w:b/>
                <w:color w:val="FFFFFF"/>
                <w:sz w:val="17"/>
              </w:rPr>
              <w:t>W6</w:t>
            </w:r>
            <w:r w:rsidRPr="00B15419">
              <w:rPr>
                <w:rFonts w:eastAsia="MS Mincho"/>
                <w:b/>
                <w:color w:val="FFFFFF"/>
                <w:sz w:val="17"/>
              </w:rPr>
              <w:br/>
              <w:t>Nov 16</w:t>
            </w:r>
          </w:p>
        </w:tc>
        <w:tc>
          <w:tcPr>
            <w:tcW w:w="1022" w:type="dxa"/>
            <w:tcBorders>
              <w:top w:val="single" w:sz="4" w:space="0" w:color="auto"/>
              <w:left w:val="single" w:sz="4" w:space="0" w:color="auto"/>
              <w:bottom w:val="single" w:sz="4" w:space="0" w:color="auto"/>
              <w:right w:val="single" w:sz="4" w:space="0" w:color="auto"/>
            </w:tcBorders>
            <w:shd w:val="clear" w:color="auto" w:fill="1A344F"/>
            <w:tcMar>
              <w:top w:w="80" w:type="dxa"/>
              <w:left w:w="45" w:type="dxa"/>
              <w:bottom w:w="80" w:type="dxa"/>
              <w:right w:w="45" w:type="dxa"/>
            </w:tcMar>
            <w:hideMark/>
          </w:tcPr>
          <w:p w14:paraId="6A74EF5F" w14:textId="77777777" w:rsidR="00B15419" w:rsidRPr="00B15419" w:rsidRDefault="00B15419" w:rsidP="00B15419">
            <w:pPr>
              <w:spacing w:after="0" w:line="292" w:lineRule="auto"/>
              <w:jc w:val="center"/>
              <w:rPr>
                <w:rFonts w:eastAsia="MS Mincho"/>
              </w:rPr>
            </w:pPr>
            <w:r w:rsidRPr="00B15419">
              <w:rPr>
                <w:rFonts w:eastAsia="MS Mincho"/>
                <w:b/>
                <w:color w:val="FFFFFF"/>
                <w:sz w:val="17"/>
              </w:rPr>
              <w:t>W7</w:t>
            </w:r>
            <w:r w:rsidRPr="00B15419">
              <w:rPr>
                <w:rFonts w:eastAsia="MS Mincho"/>
                <w:b/>
                <w:color w:val="FFFFFF"/>
                <w:sz w:val="17"/>
              </w:rPr>
              <w:br/>
              <w:t>Nov 23</w:t>
            </w:r>
          </w:p>
        </w:tc>
        <w:tc>
          <w:tcPr>
            <w:tcW w:w="1022" w:type="dxa"/>
            <w:tcBorders>
              <w:top w:val="single" w:sz="4" w:space="0" w:color="auto"/>
              <w:left w:val="single" w:sz="4" w:space="0" w:color="auto"/>
              <w:bottom w:val="single" w:sz="4" w:space="0" w:color="auto"/>
              <w:right w:val="single" w:sz="4" w:space="0" w:color="auto"/>
            </w:tcBorders>
            <w:shd w:val="clear" w:color="auto" w:fill="1A344F"/>
            <w:tcMar>
              <w:top w:w="80" w:type="dxa"/>
              <w:left w:w="45" w:type="dxa"/>
              <w:bottom w:w="80" w:type="dxa"/>
              <w:right w:w="45" w:type="dxa"/>
            </w:tcMar>
            <w:hideMark/>
          </w:tcPr>
          <w:p w14:paraId="230FEE39" w14:textId="77777777" w:rsidR="00B15419" w:rsidRPr="00B15419" w:rsidRDefault="00B15419" w:rsidP="00B15419">
            <w:pPr>
              <w:spacing w:after="0" w:line="292" w:lineRule="auto"/>
              <w:jc w:val="center"/>
              <w:rPr>
                <w:rFonts w:eastAsia="MS Mincho"/>
              </w:rPr>
            </w:pPr>
            <w:r w:rsidRPr="00B15419">
              <w:rPr>
                <w:rFonts w:eastAsia="MS Mincho"/>
                <w:b/>
                <w:color w:val="FFFFFF"/>
                <w:sz w:val="17"/>
              </w:rPr>
              <w:t>W8</w:t>
            </w:r>
            <w:r w:rsidRPr="00B15419">
              <w:rPr>
                <w:rFonts w:eastAsia="MS Mincho"/>
                <w:b/>
                <w:color w:val="FFFFFF"/>
                <w:sz w:val="17"/>
              </w:rPr>
              <w:br/>
              <w:t>Nov 30</w:t>
            </w:r>
          </w:p>
        </w:tc>
        <w:tc>
          <w:tcPr>
            <w:tcW w:w="1022" w:type="dxa"/>
            <w:tcBorders>
              <w:top w:val="single" w:sz="4" w:space="0" w:color="auto"/>
              <w:left w:val="single" w:sz="4" w:space="0" w:color="auto"/>
              <w:bottom w:val="single" w:sz="4" w:space="0" w:color="auto"/>
              <w:right w:val="single" w:sz="4" w:space="0" w:color="auto"/>
            </w:tcBorders>
            <w:shd w:val="clear" w:color="auto" w:fill="1A344F"/>
            <w:tcMar>
              <w:top w:w="80" w:type="dxa"/>
              <w:left w:w="45" w:type="dxa"/>
              <w:bottom w:w="80" w:type="dxa"/>
              <w:right w:w="45" w:type="dxa"/>
            </w:tcMar>
            <w:hideMark/>
          </w:tcPr>
          <w:p w14:paraId="3532CAF6" w14:textId="77777777" w:rsidR="00B15419" w:rsidRPr="00B15419" w:rsidRDefault="00B15419" w:rsidP="00B15419">
            <w:pPr>
              <w:spacing w:after="0" w:line="292" w:lineRule="auto"/>
              <w:jc w:val="center"/>
              <w:rPr>
                <w:rFonts w:eastAsia="MS Mincho"/>
              </w:rPr>
            </w:pPr>
            <w:r w:rsidRPr="00B15419">
              <w:rPr>
                <w:rFonts w:eastAsia="MS Mincho"/>
                <w:b/>
                <w:color w:val="FFFFFF"/>
                <w:sz w:val="17"/>
              </w:rPr>
              <w:t>W9</w:t>
            </w:r>
            <w:r w:rsidRPr="00B15419">
              <w:rPr>
                <w:rFonts w:eastAsia="MS Mincho"/>
                <w:b/>
                <w:color w:val="FFFFFF"/>
                <w:sz w:val="17"/>
              </w:rPr>
              <w:br/>
              <w:t>Dec 7</w:t>
            </w:r>
          </w:p>
        </w:tc>
      </w:tr>
      <w:tr w:rsidR="00B15419" w:rsidRPr="00B15419" w14:paraId="315D9770" w14:textId="77777777">
        <w:trPr>
          <w:cantSplit/>
          <w:jc w:val="center"/>
        </w:trPr>
        <w:tc>
          <w:tcPr>
            <w:tcW w:w="5400" w:type="dxa"/>
            <w:tcBorders>
              <w:top w:val="single" w:sz="4" w:space="0" w:color="auto"/>
              <w:left w:val="single" w:sz="4" w:space="0" w:color="auto"/>
              <w:bottom w:val="single" w:sz="4" w:space="0" w:color="auto"/>
              <w:right w:val="single" w:sz="4" w:space="0" w:color="auto"/>
            </w:tcBorders>
            <w:shd w:val="clear" w:color="auto" w:fill="EAF1F5"/>
            <w:tcMar>
              <w:top w:w="72" w:type="dxa"/>
              <w:left w:w="65" w:type="dxa"/>
              <w:bottom w:w="72" w:type="dxa"/>
              <w:right w:w="40" w:type="dxa"/>
            </w:tcMar>
            <w:hideMark/>
          </w:tcPr>
          <w:p w14:paraId="57597789" w14:textId="77777777" w:rsidR="00B15419" w:rsidRPr="00B15419" w:rsidRDefault="00B15419" w:rsidP="00B15419">
            <w:pPr>
              <w:spacing w:after="0" w:line="292" w:lineRule="auto"/>
              <w:rPr>
                <w:rFonts w:eastAsia="MS Mincho"/>
              </w:rPr>
            </w:pPr>
            <w:r w:rsidRPr="00B15419">
              <w:rPr>
                <w:rFonts w:eastAsia="MS Mincho"/>
                <w:sz w:val="16"/>
              </w:rPr>
              <w:t>1. Research question, scope and reviewed sources</w:t>
            </w: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1E4BB63D"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599AF21D"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284725F7"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4C884FFE"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2471A641"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3703E36E"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2B38C84E"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3C692DE8"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2A12E165" w14:textId="77777777" w:rsidR="00B15419" w:rsidRPr="00B15419" w:rsidRDefault="00B15419" w:rsidP="00B15419">
            <w:pPr>
              <w:spacing w:after="0" w:line="292" w:lineRule="auto"/>
              <w:rPr>
                <w:rFonts w:eastAsia="MS Mincho"/>
              </w:rPr>
            </w:pPr>
          </w:p>
        </w:tc>
      </w:tr>
      <w:tr w:rsidR="00B15419" w:rsidRPr="00B15419" w14:paraId="04D9408F" w14:textId="77777777">
        <w:trPr>
          <w:cantSplit/>
          <w:jc w:val="center"/>
        </w:trPr>
        <w:tc>
          <w:tcPr>
            <w:tcW w:w="5400" w:type="dxa"/>
            <w:tcBorders>
              <w:top w:val="single" w:sz="4" w:space="0" w:color="auto"/>
              <w:left w:val="single" w:sz="4" w:space="0" w:color="auto"/>
              <w:bottom w:val="single" w:sz="4" w:space="0" w:color="auto"/>
              <w:right w:val="single" w:sz="4" w:space="0" w:color="auto"/>
            </w:tcBorders>
            <w:tcMar>
              <w:top w:w="72" w:type="dxa"/>
              <w:left w:w="65" w:type="dxa"/>
              <w:bottom w:w="72" w:type="dxa"/>
              <w:right w:w="40" w:type="dxa"/>
            </w:tcMar>
            <w:hideMark/>
          </w:tcPr>
          <w:p w14:paraId="6E8782EB" w14:textId="77777777" w:rsidR="00B15419" w:rsidRPr="00B15419" w:rsidRDefault="00B15419" w:rsidP="00B15419">
            <w:pPr>
              <w:spacing w:after="0" w:line="292" w:lineRule="auto"/>
              <w:rPr>
                <w:rFonts w:eastAsia="MS Mincho"/>
              </w:rPr>
            </w:pPr>
            <w:r w:rsidRPr="00B15419">
              <w:rPr>
                <w:rFonts w:eastAsia="MS Mincho"/>
                <w:sz w:val="16"/>
              </w:rPr>
              <w:t>2. Bloomberg extraction + ticker/sector checks</w:t>
            </w: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5FB66C67"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74698F25"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10A57595"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369C816A"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2D1D8066"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5FD38811"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5117EB29"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1DA56ED2"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6E99297B" w14:textId="77777777" w:rsidR="00B15419" w:rsidRPr="00B15419" w:rsidRDefault="00B15419" w:rsidP="00B15419">
            <w:pPr>
              <w:spacing w:after="0" w:line="292" w:lineRule="auto"/>
              <w:rPr>
                <w:rFonts w:eastAsia="MS Mincho"/>
              </w:rPr>
            </w:pPr>
          </w:p>
        </w:tc>
      </w:tr>
      <w:tr w:rsidR="00B15419" w:rsidRPr="00B15419" w14:paraId="4DF29820" w14:textId="77777777">
        <w:trPr>
          <w:cantSplit/>
          <w:jc w:val="center"/>
        </w:trPr>
        <w:tc>
          <w:tcPr>
            <w:tcW w:w="5400" w:type="dxa"/>
            <w:tcBorders>
              <w:top w:val="single" w:sz="4" w:space="0" w:color="auto"/>
              <w:left w:val="single" w:sz="4" w:space="0" w:color="auto"/>
              <w:bottom w:val="single" w:sz="4" w:space="0" w:color="auto"/>
              <w:right w:val="single" w:sz="4" w:space="0" w:color="auto"/>
            </w:tcBorders>
            <w:shd w:val="clear" w:color="auto" w:fill="EAF1F5"/>
            <w:tcMar>
              <w:top w:w="72" w:type="dxa"/>
              <w:left w:w="65" w:type="dxa"/>
              <w:bottom w:w="72" w:type="dxa"/>
              <w:right w:w="40" w:type="dxa"/>
            </w:tcMar>
            <w:hideMark/>
          </w:tcPr>
          <w:p w14:paraId="1D8E5E95" w14:textId="77777777" w:rsidR="00B15419" w:rsidRPr="00B15419" w:rsidRDefault="00B15419" w:rsidP="00B15419">
            <w:pPr>
              <w:spacing w:after="0" w:line="292" w:lineRule="auto"/>
              <w:rPr>
                <w:rFonts w:eastAsia="MS Mincho"/>
              </w:rPr>
            </w:pPr>
            <w:r w:rsidRPr="00B15419">
              <w:rPr>
                <w:rFonts w:eastAsia="MS Mincho"/>
                <w:sz w:val="16"/>
              </w:rPr>
              <w:t>3. Audit N/A, reporting dates and sample attrition</w:t>
            </w: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79CF292E"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1B6BCC9D"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1195631A"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2B079B89"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5DE6AE5C"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75BBE638"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447BFAA3"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634B28A3"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5562E4DB" w14:textId="77777777" w:rsidR="00B15419" w:rsidRPr="00B15419" w:rsidRDefault="00B15419" w:rsidP="00B15419">
            <w:pPr>
              <w:spacing w:after="0" w:line="292" w:lineRule="auto"/>
              <w:rPr>
                <w:rFonts w:eastAsia="MS Mincho"/>
              </w:rPr>
            </w:pPr>
          </w:p>
        </w:tc>
      </w:tr>
      <w:tr w:rsidR="00B15419" w:rsidRPr="00B15419" w14:paraId="2537F7CB" w14:textId="77777777">
        <w:trPr>
          <w:cantSplit/>
          <w:jc w:val="center"/>
        </w:trPr>
        <w:tc>
          <w:tcPr>
            <w:tcW w:w="5400" w:type="dxa"/>
            <w:tcBorders>
              <w:top w:val="single" w:sz="4" w:space="0" w:color="auto"/>
              <w:left w:val="single" w:sz="4" w:space="0" w:color="auto"/>
              <w:bottom w:val="single" w:sz="4" w:space="0" w:color="auto"/>
              <w:right w:val="single" w:sz="4" w:space="0" w:color="auto"/>
            </w:tcBorders>
            <w:tcMar>
              <w:top w:w="72" w:type="dxa"/>
              <w:left w:w="65" w:type="dxa"/>
              <w:bottom w:w="72" w:type="dxa"/>
              <w:right w:w="40" w:type="dxa"/>
            </w:tcMar>
            <w:hideMark/>
          </w:tcPr>
          <w:p w14:paraId="6EC2D30C" w14:textId="77777777" w:rsidR="00B15419" w:rsidRPr="00B15419" w:rsidRDefault="00B15419" w:rsidP="00B15419">
            <w:pPr>
              <w:spacing w:after="0" w:line="292" w:lineRule="auto"/>
              <w:rPr>
                <w:rFonts w:eastAsia="MS Mincho"/>
              </w:rPr>
            </w:pPr>
            <w:r w:rsidRPr="00B15419">
              <w:rPr>
                <w:rFonts w:eastAsia="MS Mincho"/>
                <w:sz w:val="16"/>
              </w:rPr>
              <w:t>4. Construct monthly panel and publication lags</w:t>
            </w: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432761E1"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58E2CB94"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0FA8DA9D"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5BD77773"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740E5C61"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65FADAC4"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63A76FD6"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297A4E65"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541E3083" w14:textId="77777777" w:rsidR="00B15419" w:rsidRPr="00B15419" w:rsidRDefault="00B15419" w:rsidP="00B15419">
            <w:pPr>
              <w:spacing w:after="0" w:line="292" w:lineRule="auto"/>
              <w:rPr>
                <w:rFonts w:eastAsia="MS Mincho"/>
              </w:rPr>
            </w:pPr>
          </w:p>
        </w:tc>
      </w:tr>
      <w:tr w:rsidR="00B15419" w:rsidRPr="00B15419" w14:paraId="76E64CD8" w14:textId="77777777">
        <w:trPr>
          <w:cantSplit/>
          <w:jc w:val="center"/>
        </w:trPr>
        <w:tc>
          <w:tcPr>
            <w:tcW w:w="5400" w:type="dxa"/>
            <w:tcBorders>
              <w:top w:val="single" w:sz="4" w:space="0" w:color="auto"/>
              <w:left w:val="single" w:sz="4" w:space="0" w:color="auto"/>
              <w:bottom w:val="single" w:sz="4" w:space="0" w:color="auto"/>
              <w:right w:val="single" w:sz="4" w:space="0" w:color="auto"/>
            </w:tcBorders>
            <w:shd w:val="clear" w:color="auto" w:fill="EAF1F5"/>
            <w:tcMar>
              <w:top w:w="72" w:type="dxa"/>
              <w:left w:w="65" w:type="dxa"/>
              <w:bottom w:w="72" w:type="dxa"/>
              <w:right w:w="40" w:type="dxa"/>
            </w:tcMar>
            <w:hideMark/>
          </w:tcPr>
          <w:p w14:paraId="6F29F74B" w14:textId="77777777" w:rsidR="00B15419" w:rsidRPr="00B15419" w:rsidRDefault="00B15419" w:rsidP="00B15419">
            <w:pPr>
              <w:spacing w:after="0" w:line="292" w:lineRule="auto"/>
              <w:rPr>
                <w:rFonts w:eastAsia="MS Mincho"/>
              </w:rPr>
            </w:pPr>
            <w:r w:rsidRPr="00B15419">
              <w:rPr>
                <w:rFonts w:eastAsia="MS Mincho"/>
                <w:sz w:val="16"/>
              </w:rPr>
              <w:t>5. Total returns, active returns, beta/risk features</w:t>
            </w: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3800DC34"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140C765C"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3D255521"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5C3FA52F"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10B0DFE2"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6C89927A"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74C5470E"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4F43E44A"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7A99BCA0" w14:textId="77777777" w:rsidR="00B15419" w:rsidRPr="00B15419" w:rsidRDefault="00B15419" w:rsidP="00B15419">
            <w:pPr>
              <w:spacing w:after="0" w:line="292" w:lineRule="auto"/>
              <w:rPr>
                <w:rFonts w:eastAsia="MS Mincho"/>
              </w:rPr>
            </w:pPr>
          </w:p>
        </w:tc>
      </w:tr>
      <w:tr w:rsidR="00B15419" w:rsidRPr="00B15419" w14:paraId="501340B0" w14:textId="77777777">
        <w:trPr>
          <w:cantSplit/>
          <w:jc w:val="center"/>
        </w:trPr>
        <w:tc>
          <w:tcPr>
            <w:tcW w:w="5400" w:type="dxa"/>
            <w:tcBorders>
              <w:top w:val="single" w:sz="4" w:space="0" w:color="auto"/>
              <w:left w:val="single" w:sz="4" w:space="0" w:color="auto"/>
              <w:bottom w:val="single" w:sz="4" w:space="0" w:color="auto"/>
              <w:right w:val="single" w:sz="4" w:space="0" w:color="auto"/>
            </w:tcBorders>
            <w:tcMar>
              <w:top w:w="72" w:type="dxa"/>
              <w:left w:w="65" w:type="dxa"/>
              <w:bottom w:w="72" w:type="dxa"/>
              <w:right w:w="40" w:type="dxa"/>
            </w:tcMar>
            <w:hideMark/>
          </w:tcPr>
          <w:p w14:paraId="7C1EEB15" w14:textId="77777777" w:rsidR="00B15419" w:rsidRPr="00B15419" w:rsidRDefault="00B15419" w:rsidP="00B15419">
            <w:pPr>
              <w:spacing w:after="0" w:line="292" w:lineRule="auto"/>
              <w:rPr>
                <w:rFonts w:eastAsia="MS Mincho"/>
              </w:rPr>
            </w:pPr>
            <w:r w:rsidRPr="00B15419">
              <w:rPr>
                <w:rFonts w:eastAsia="MS Mincho"/>
                <w:sz w:val="16"/>
              </w:rPr>
              <w:t>6. Next-month and next-12M target definitions</w:t>
            </w: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492D8521"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7259309B"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62AAA08B"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46DDE69D"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49E4E103"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6C9910F8"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472CF4FA"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22BEF077"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121BD050" w14:textId="77777777" w:rsidR="00B15419" w:rsidRPr="00B15419" w:rsidRDefault="00B15419" w:rsidP="00B15419">
            <w:pPr>
              <w:spacing w:after="0" w:line="292" w:lineRule="auto"/>
              <w:rPr>
                <w:rFonts w:eastAsia="MS Mincho"/>
              </w:rPr>
            </w:pPr>
          </w:p>
        </w:tc>
      </w:tr>
      <w:tr w:rsidR="00B15419" w:rsidRPr="00B15419" w14:paraId="61B3E7EE" w14:textId="77777777">
        <w:trPr>
          <w:cantSplit/>
          <w:jc w:val="center"/>
        </w:trPr>
        <w:tc>
          <w:tcPr>
            <w:tcW w:w="5400" w:type="dxa"/>
            <w:tcBorders>
              <w:top w:val="single" w:sz="4" w:space="0" w:color="auto"/>
              <w:left w:val="single" w:sz="4" w:space="0" w:color="auto"/>
              <w:bottom w:val="single" w:sz="4" w:space="0" w:color="auto"/>
              <w:right w:val="single" w:sz="4" w:space="0" w:color="auto"/>
            </w:tcBorders>
            <w:shd w:val="clear" w:color="auto" w:fill="EAF1F5"/>
            <w:tcMar>
              <w:top w:w="72" w:type="dxa"/>
              <w:left w:w="65" w:type="dxa"/>
              <w:bottom w:w="72" w:type="dxa"/>
              <w:right w:w="40" w:type="dxa"/>
            </w:tcMar>
            <w:hideMark/>
          </w:tcPr>
          <w:p w14:paraId="0DA57F8D" w14:textId="77777777" w:rsidR="00B15419" w:rsidRPr="00B15419" w:rsidRDefault="00B15419" w:rsidP="00B15419">
            <w:pPr>
              <w:spacing w:after="0" w:line="292" w:lineRule="auto"/>
              <w:rPr>
                <w:rFonts w:eastAsia="MS Mincho"/>
              </w:rPr>
            </w:pPr>
            <w:r w:rsidRPr="00B15419">
              <w:rPr>
                <w:rFonts w:eastAsia="MS Mincho"/>
                <w:sz w:val="16"/>
              </w:rPr>
              <w:t>7. Train-only cleaning + feature diagnostics</w:t>
            </w: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211AEF02"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214FEEB4"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1285341A"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1B2C9294"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17FFF609"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518E6892"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5F4E96CF"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64FC6102"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41227373" w14:textId="77777777" w:rsidR="00B15419" w:rsidRPr="00B15419" w:rsidRDefault="00B15419" w:rsidP="00B15419">
            <w:pPr>
              <w:spacing w:after="0" w:line="292" w:lineRule="auto"/>
              <w:rPr>
                <w:rFonts w:eastAsia="MS Mincho"/>
              </w:rPr>
            </w:pPr>
          </w:p>
        </w:tc>
      </w:tr>
      <w:tr w:rsidR="00B15419" w:rsidRPr="00B15419" w14:paraId="5412179B" w14:textId="77777777">
        <w:trPr>
          <w:cantSplit/>
          <w:jc w:val="center"/>
        </w:trPr>
        <w:tc>
          <w:tcPr>
            <w:tcW w:w="5400" w:type="dxa"/>
            <w:tcBorders>
              <w:top w:val="single" w:sz="4" w:space="0" w:color="auto"/>
              <w:left w:val="single" w:sz="4" w:space="0" w:color="auto"/>
              <w:bottom w:val="single" w:sz="4" w:space="0" w:color="auto"/>
              <w:right w:val="single" w:sz="4" w:space="0" w:color="auto"/>
            </w:tcBorders>
            <w:tcMar>
              <w:top w:w="72" w:type="dxa"/>
              <w:left w:w="65" w:type="dxa"/>
              <w:bottom w:w="72" w:type="dxa"/>
              <w:right w:w="40" w:type="dxa"/>
            </w:tcMar>
            <w:hideMark/>
          </w:tcPr>
          <w:p w14:paraId="4DD5778B" w14:textId="77777777" w:rsidR="00B15419" w:rsidRPr="00B15419" w:rsidRDefault="00B15419" w:rsidP="00B15419">
            <w:pPr>
              <w:spacing w:after="0" w:line="292" w:lineRule="auto"/>
              <w:rPr>
                <w:rFonts w:eastAsia="MS Mincho"/>
              </w:rPr>
            </w:pPr>
            <w:r w:rsidRPr="00B15419">
              <w:rPr>
                <w:rFonts w:eastAsia="MS Mincho"/>
                <w:sz w:val="16"/>
              </w:rPr>
              <w:t xml:space="preserve">8. Logistic baseline and </w:t>
            </w:r>
            <w:proofErr w:type="spellStart"/>
            <w:r w:rsidRPr="00B15419">
              <w:rPr>
                <w:rFonts w:eastAsia="MS Mincho"/>
                <w:sz w:val="16"/>
              </w:rPr>
              <w:t>XGBoost</w:t>
            </w:r>
            <w:proofErr w:type="spellEnd"/>
            <w:r w:rsidRPr="00B15419">
              <w:rPr>
                <w:rFonts w:eastAsia="MS Mincho"/>
                <w:sz w:val="16"/>
              </w:rPr>
              <w:t xml:space="preserve"> tuning</w:t>
            </w: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1157E06C"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7349494D"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5D8E0668"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2C98B24D"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78FD0ABD"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1E91DB8A"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5C9FFFBE"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01230839"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37FF3146" w14:textId="77777777" w:rsidR="00B15419" w:rsidRPr="00B15419" w:rsidRDefault="00B15419" w:rsidP="00B15419">
            <w:pPr>
              <w:spacing w:after="0" w:line="292" w:lineRule="auto"/>
              <w:rPr>
                <w:rFonts w:eastAsia="MS Mincho"/>
              </w:rPr>
            </w:pPr>
          </w:p>
        </w:tc>
      </w:tr>
      <w:tr w:rsidR="00B15419" w:rsidRPr="00B15419" w14:paraId="07DAB034" w14:textId="77777777">
        <w:trPr>
          <w:cantSplit/>
          <w:jc w:val="center"/>
        </w:trPr>
        <w:tc>
          <w:tcPr>
            <w:tcW w:w="5400" w:type="dxa"/>
            <w:tcBorders>
              <w:top w:val="single" w:sz="4" w:space="0" w:color="auto"/>
              <w:left w:val="single" w:sz="4" w:space="0" w:color="auto"/>
              <w:bottom w:val="single" w:sz="4" w:space="0" w:color="auto"/>
              <w:right w:val="single" w:sz="4" w:space="0" w:color="auto"/>
            </w:tcBorders>
            <w:shd w:val="clear" w:color="auto" w:fill="EAF1F5"/>
            <w:tcMar>
              <w:top w:w="72" w:type="dxa"/>
              <w:left w:w="65" w:type="dxa"/>
              <w:bottom w:w="72" w:type="dxa"/>
              <w:right w:w="40" w:type="dxa"/>
            </w:tcMar>
            <w:hideMark/>
          </w:tcPr>
          <w:p w14:paraId="55207E0F" w14:textId="77777777" w:rsidR="00B15419" w:rsidRPr="00B15419" w:rsidRDefault="00B15419" w:rsidP="00B15419">
            <w:pPr>
              <w:spacing w:after="0" w:line="292" w:lineRule="auto"/>
              <w:rPr>
                <w:rFonts w:eastAsia="MS Mincho"/>
              </w:rPr>
            </w:pPr>
            <w:r w:rsidRPr="00B15419">
              <w:rPr>
                <w:rFonts w:eastAsia="MS Mincho"/>
                <w:sz w:val="16"/>
              </w:rPr>
              <w:t>9. Final out-of-sample testing + sensitivity checks</w:t>
            </w: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5A90DCBD"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02712FF5"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4B496FB1"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5B4EC127"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7754DC91"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0D9E99FE"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18866DBB"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782C6B35"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5B19CD02" w14:textId="77777777" w:rsidR="00B15419" w:rsidRPr="00B15419" w:rsidRDefault="00B15419" w:rsidP="00B15419">
            <w:pPr>
              <w:spacing w:after="0" w:line="292" w:lineRule="auto"/>
              <w:rPr>
                <w:rFonts w:eastAsia="MS Mincho"/>
              </w:rPr>
            </w:pPr>
          </w:p>
        </w:tc>
      </w:tr>
      <w:tr w:rsidR="00B15419" w:rsidRPr="00B15419" w14:paraId="5169ED9E" w14:textId="77777777">
        <w:trPr>
          <w:cantSplit/>
          <w:jc w:val="center"/>
        </w:trPr>
        <w:tc>
          <w:tcPr>
            <w:tcW w:w="5400" w:type="dxa"/>
            <w:tcBorders>
              <w:top w:val="single" w:sz="4" w:space="0" w:color="auto"/>
              <w:left w:val="single" w:sz="4" w:space="0" w:color="auto"/>
              <w:bottom w:val="single" w:sz="4" w:space="0" w:color="auto"/>
              <w:right w:val="single" w:sz="4" w:space="0" w:color="auto"/>
            </w:tcBorders>
            <w:tcMar>
              <w:top w:w="72" w:type="dxa"/>
              <w:left w:w="65" w:type="dxa"/>
              <w:bottom w:w="72" w:type="dxa"/>
              <w:right w:w="40" w:type="dxa"/>
            </w:tcMar>
            <w:hideMark/>
          </w:tcPr>
          <w:p w14:paraId="6BA672A3" w14:textId="77777777" w:rsidR="00B15419" w:rsidRPr="00B15419" w:rsidRDefault="00B15419" w:rsidP="00B15419">
            <w:pPr>
              <w:spacing w:after="0" w:line="292" w:lineRule="auto"/>
              <w:rPr>
                <w:rFonts w:eastAsia="MS Mincho"/>
              </w:rPr>
            </w:pPr>
            <w:r w:rsidRPr="00B15419">
              <w:rPr>
                <w:rFonts w:eastAsia="MS Mincho"/>
                <w:sz w:val="16"/>
              </w:rPr>
              <w:t>10. SHAP/LIME, sector analysis and results figures</w:t>
            </w: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6B88B672"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76CC2E85"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12218EF1"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2C75794F"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31BBA9A9"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076889B2"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50772836"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064E8274"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0CEF3FA9" w14:textId="77777777" w:rsidR="00B15419" w:rsidRPr="00B15419" w:rsidRDefault="00B15419" w:rsidP="00B15419">
            <w:pPr>
              <w:spacing w:after="0" w:line="292" w:lineRule="auto"/>
              <w:rPr>
                <w:rFonts w:eastAsia="MS Mincho"/>
              </w:rPr>
            </w:pPr>
          </w:p>
        </w:tc>
      </w:tr>
      <w:tr w:rsidR="00B15419" w:rsidRPr="00B15419" w14:paraId="22743FED" w14:textId="77777777">
        <w:trPr>
          <w:cantSplit/>
          <w:jc w:val="center"/>
        </w:trPr>
        <w:tc>
          <w:tcPr>
            <w:tcW w:w="5400" w:type="dxa"/>
            <w:tcBorders>
              <w:top w:val="single" w:sz="4" w:space="0" w:color="auto"/>
              <w:left w:val="single" w:sz="4" w:space="0" w:color="auto"/>
              <w:bottom w:val="single" w:sz="4" w:space="0" w:color="auto"/>
              <w:right w:val="single" w:sz="4" w:space="0" w:color="auto"/>
            </w:tcBorders>
            <w:shd w:val="clear" w:color="auto" w:fill="EAF1F5"/>
            <w:tcMar>
              <w:top w:w="72" w:type="dxa"/>
              <w:left w:w="65" w:type="dxa"/>
              <w:bottom w:w="72" w:type="dxa"/>
              <w:right w:w="40" w:type="dxa"/>
            </w:tcMar>
            <w:hideMark/>
          </w:tcPr>
          <w:p w14:paraId="67CD9B37" w14:textId="77777777" w:rsidR="00B15419" w:rsidRPr="00B15419" w:rsidRDefault="00B15419" w:rsidP="00B15419">
            <w:pPr>
              <w:spacing w:after="0" w:line="292" w:lineRule="auto"/>
              <w:rPr>
                <w:rFonts w:eastAsia="MS Mincho"/>
              </w:rPr>
            </w:pPr>
            <w:r w:rsidRPr="00B15419">
              <w:rPr>
                <w:rFonts w:eastAsia="MS Mincho"/>
                <w:sz w:val="16"/>
              </w:rPr>
              <w:t>11. Writing, APA citations and revision</w:t>
            </w: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55C87E7F"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07A9AF19"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13AF0736"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1F6F8"/>
            <w:tcMar>
              <w:top w:w="72" w:type="dxa"/>
              <w:left w:w="25" w:type="dxa"/>
              <w:bottom w:w="72" w:type="dxa"/>
              <w:right w:w="25" w:type="dxa"/>
            </w:tcMar>
          </w:tcPr>
          <w:p w14:paraId="3CB44DC7"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6C1896BE"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065BF3DC"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10A6E3B7"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6D7A9E12"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37E99"/>
            <w:tcMar>
              <w:top w:w="72" w:type="dxa"/>
              <w:left w:w="25" w:type="dxa"/>
              <w:bottom w:w="72" w:type="dxa"/>
              <w:right w:w="25" w:type="dxa"/>
            </w:tcMar>
          </w:tcPr>
          <w:p w14:paraId="140F1A65" w14:textId="77777777" w:rsidR="00B15419" w:rsidRPr="00B15419" w:rsidRDefault="00B15419" w:rsidP="00B15419">
            <w:pPr>
              <w:spacing w:after="0" w:line="292" w:lineRule="auto"/>
              <w:rPr>
                <w:rFonts w:eastAsia="MS Mincho"/>
              </w:rPr>
            </w:pPr>
          </w:p>
        </w:tc>
      </w:tr>
      <w:tr w:rsidR="00B15419" w:rsidRPr="00B15419" w14:paraId="3AE811D2" w14:textId="77777777">
        <w:trPr>
          <w:cantSplit/>
          <w:jc w:val="center"/>
        </w:trPr>
        <w:tc>
          <w:tcPr>
            <w:tcW w:w="5400" w:type="dxa"/>
            <w:tcBorders>
              <w:top w:val="single" w:sz="4" w:space="0" w:color="auto"/>
              <w:left w:val="single" w:sz="4" w:space="0" w:color="auto"/>
              <w:bottom w:val="single" w:sz="4" w:space="0" w:color="auto"/>
              <w:right w:val="single" w:sz="4" w:space="0" w:color="auto"/>
            </w:tcBorders>
            <w:tcMar>
              <w:top w:w="72" w:type="dxa"/>
              <w:left w:w="65" w:type="dxa"/>
              <w:bottom w:w="72" w:type="dxa"/>
              <w:right w:w="40" w:type="dxa"/>
            </w:tcMar>
            <w:hideMark/>
          </w:tcPr>
          <w:p w14:paraId="60C53984" w14:textId="77777777" w:rsidR="00B15419" w:rsidRPr="00B15419" w:rsidRDefault="00B15419" w:rsidP="00B15419">
            <w:pPr>
              <w:spacing w:after="0" w:line="292" w:lineRule="auto"/>
              <w:rPr>
                <w:rFonts w:eastAsia="MS Mincho"/>
              </w:rPr>
            </w:pPr>
            <w:r w:rsidRPr="00B15419">
              <w:rPr>
                <w:rFonts w:eastAsia="MS Mincho"/>
                <w:sz w:val="16"/>
              </w:rPr>
              <w:t>12. Poster outline, key results and visual design</w:t>
            </w:r>
          </w:p>
        </w:tc>
        <w:tc>
          <w:tcPr>
            <w:tcW w:w="1022" w:type="dxa"/>
            <w:tcBorders>
              <w:top w:val="single" w:sz="4" w:space="0" w:color="auto"/>
              <w:left w:val="single" w:sz="4" w:space="0" w:color="auto"/>
              <w:bottom w:val="single" w:sz="4" w:space="0" w:color="auto"/>
              <w:right w:val="single" w:sz="4" w:space="0" w:color="auto"/>
            </w:tcBorders>
            <w:shd w:val="clear" w:color="auto" w:fill="EAF1F5"/>
            <w:tcMar>
              <w:top w:w="72" w:type="dxa"/>
              <w:left w:w="25" w:type="dxa"/>
              <w:bottom w:w="72" w:type="dxa"/>
              <w:right w:w="25" w:type="dxa"/>
            </w:tcMar>
          </w:tcPr>
          <w:p w14:paraId="093C75AB"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EAF1F5"/>
            <w:tcMar>
              <w:top w:w="72" w:type="dxa"/>
              <w:left w:w="25" w:type="dxa"/>
              <w:bottom w:w="72" w:type="dxa"/>
              <w:right w:w="25" w:type="dxa"/>
            </w:tcMar>
          </w:tcPr>
          <w:p w14:paraId="6F7AC622"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EAF1F5"/>
            <w:tcMar>
              <w:top w:w="72" w:type="dxa"/>
              <w:left w:w="25" w:type="dxa"/>
              <w:bottom w:w="72" w:type="dxa"/>
              <w:right w:w="25" w:type="dxa"/>
            </w:tcMar>
          </w:tcPr>
          <w:p w14:paraId="540FFC36"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EAF1F5"/>
            <w:tcMar>
              <w:top w:w="72" w:type="dxa"/>
              <w:left w:w="25" w:type="dxa"/>
              <w:bottom w:w="72" w:type="dxa"/>
              <w:right w:w="25" w:type="dxa"/>
            </w:tcMar>
          </w:tcPr>
          <w:p w14:paraId="044B992F"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EAF1F5"/>
            <w:tcMar>
              <w:top w:w="72" w:type="dxa"/>
              <w:left w:w="25" w:type="dxa"/>
              <w:bottom w:w="72" w:type="dxa"/>
              <w:right w:w="25" w:type="dxa"/>
            </w:tcMar>
          </w:tcPr>
          <w:p w14:paraId="63405353"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EAF1F5"/>
            <w:tcMar>
              <w:top w:w="72" w:type="dxa"/>
              <w:left w:w="25" w:type="dxa"/>
              <w:bottom w:w="72" w:type="dxa"/>
              <w:right w:w="25" w:type="dxa"/>
            </w:tcMar>
          </w:tcPr>
          <w:p w14:paraId="35C97A49"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47F9D"/>
            <w:tcMar>
              <w:top w:w="72" w:type="dxa"/>
              <w:left w:w="25" w:type="dxa"/>
              <w:bottom w:w="72" w:type="dxa"/>
              <w:right w:w="25" w:type="dxa"/>
            </w:tcMar>
          </w:tcPr>
          <w:p w14:paraId="0D6501EA"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47F9D"/>
            <w:tcMar>
              <w:top w:w="72" w:type="dxa"/>
              <w:left w:w="25" w:type="dxa"/>
              <w:bottom w:w="72" w:type="dxa"/>
              <w:right w:w="25" w:type="dxa"/>
            </w:tcMar>
          </w:tcPr>
          <w:p w14:paraId="770714BE"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EAF1F5"/>
            <w:tcMar>
              <w:top w:w="72" w:type="dxa"/>
              <w:left w:w="25" w:type="dxa"/>
              <w:bottom w:w="72" w:type="dxa"/>
              <w:right w:w="25" w:type="dxa"/>
            </w:tcMar>
          </w:tcPr>
          <w:p w14:paraId="65B3B9B4" w14:textId="77777777" w:rsidR="00B15419" w:rsidRPr="00B15419" w:rsidRDefault="00B15419" w:rsidP="00B15419">
            <w:pPr>
              <w:spacing w:after="0" w:line="292" w:lineRule="auto"/>
              <w:rPr>
                <w:rFonts w:eastAsia="MS Mincho"/>
              </w:rPr>
            </w:pPr>
          </w:p>
        </w:tc>
      </w:tr>
      <w:tr w:rsidR="00B15419" w:rsidRPr="00B15419" w14:paraId="75E4324E" w14:textId="77777777">
        <w:trPr>
          <w:cantSplit/>
          <w:jc w:val="center"/>
        </w:trPr>
        <w:tc>
          <w:tcPr>
            <w:tcW w:w="5400" w:type="dxa"/>
            <w:tcBorders>
              <w:top w:val="single" w:sz="4" w:space="0" w:color="auto"/>
              <w:left w:val="single" w:sz="4" w:space="0" w:color="auto"/>
              <w:bottom w:val="single" w:sz="4" w:space="0" w:color="auto"/>
              <w:right w:val="single" w:sz="4" w:space="0" w:color="auto"/>
            </w:tcBorders>
            <w:tcMar>
              <w:top w:w="72" w:type="dxa"/>
              <w:left w:w="65" w:type="dxa"/>
              <w:bottom w:w="72" w:type="dxa"/>
              <w:right w:w="40" w:type="dxa"/>
            </w:tcMar>
            <w:hideMark/>
          </w:tcPr>
          <w:p w14:paraId="7400808D" w14:textId="77777777" w:rsidR="00B15419" w:rsidRPr="00B15419" w:rsidRDefault="00B15419" w:rsidP="00B15419">
            <w:pPr>
              <w:spacing w:after="0" w:line="292" w:lineRule="auto"/>
              <w:rPr>
                <w:rFonts w:eastAsia="MS Mincho"/>
              </w:rPr>
            </w:pPr>
            <w:r w:rsidRPr="00B15419">
              <w:rPr>
                <w:rFonts w:eastAsia="MS Mincho"/>
                <w:sz w:val="16"/>
              </w:rPr>
              <w:t>13. Poster feedback, revisions and presentation rehearsal</w:t>
            </w: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52508434"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75EC96C7"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106152F9"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00B8C58C"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4B7F29FB"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687A5CC5"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FFFFFF"/>
            <w:tcMar>
              <w:top w:w="72" w:type="dxa"/>
              <w:left w:w="25" w:type="dxa"/>
              <w:bottom w:w="72" w:type="dxa"/>
              <w:right w:w="25" w:type="dxa"/>
            </w:tcMar>
          </w:tcPr>
          <w:p w14:paraId="3945EE06"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47F9D"/>
            <w:tcMar>
              <w:top w:w="72" w:type="dxa"/>
              <w:left w:w="25" w:type="dxa"/>
              <w:bottom w:w="72" w:type="dxa"/>
              <w:right w:w="25" w:type="dxa"/>
            </w:tcMar>
          </w:tcPr>
          <w:p w14:paraId="4AC92AB4"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47F9D"/>
            <w:tcMar>
              <w:top w:w="72" w:type="dxa"/>
              <w:left w:w="25" w:type="dxa"/>
              <w:bottom w:w="72" w:type="dxa"/>
              <w:right w:w="25" w:type="dxa"/>
            </w:tcMar>
          </w:tcPr>
          <w:p w14:paraId="22782305" w14:textId="77777777" w:rsidR="00B15419" w:rsidRPr="00B15419" w:rsidRDefault="00B15419" w:rsidP="00B15419">
            <w:pPr>
              <w:spacing w:after="0" w:line="292" w:lineRule="auto"/>
              <w:rPr>
                <w:rFonts w:eastAsia="MS Mincho"/>
              </w:rPr>
            </w:pPr>
          </w:p>
        </w:tc>
      </w:tr>
      <w:tr w:rsidR="00B15419" w:rsidRPr="00B15419" w14:paraId="74915A9C" w14:textId="77777777">
        <w:trPr>
          <w:cantSplit/>
          <w:jc w:val="center"/>
        </w:trPr>
        <w:tc>
          <w:tcPr>
            <w:tcW w:w="5400" w:type="dxa"/>
            <w:tcBorders>
              <w:top w:val="single" w:sz="4" w:space="0" w:color="auto"/>
              <w:left w:val="single" w:sz="4" w:space="0" w:color="auto"/>
              <w:bottom w:val="single" w:sz="4" w:space="0" w:color="auto"/>
              <w:right w:val="single" w:sz="4" w:space="0" w:color="auto"/>
            </w:tcBorders>
            <w:tcMar>
              <w:top w:w="72" w:type="dxa"/>
              <w:left w:w="65" w:type="dxa"/>
              <w:bottom w:w="72" w:type="dxa"/>
              <w:right w:w="40" w:type="dxa"/>
            </w:tcMar>
            <w:hideMark/>
          </w:tcPr>
          <w:p w14:paraId="4E6AE314" w14:textId="77777777" w:rsidR="00B15419" w:rsidRPr="00B15419" w:rsidRDefault="00B15419" w:rsidP="00B15419">
            <w:pPr>
              <w:spacing w:after="0" w:line="292" w:lineRule="auto"/>
              <w:rPr>
                <w:rFonts w:eastAsia="MS Mincho"/>
              </w:rPr>
            </w:pPr>
            <w:r w:rsidRPr="00B15419">
              <w:rPr>
                <w:rFonts w:eastAsia="MS Mincho"/>
                <w:sz w:val="16"/>
              </w:rPr>
              <w:t>14. Final report submission and poster presentation</w:t>
            </w:r>
          </w:p>
        </w:tc>
        <w:tc>
          <w:tcPr>
            <w:tcW w:w="1022" w:type="dxa"/>
            <w:tcBorders>
              <w:top w:val="single" w:sz="4" w:space="0" w:color="auto"/>
              <w:left w:val="single" w:sz="4" w:space="0" w:color="auto"/>
              <w:bottom w:val="single" w:sz="4" w:space="0" w:color="auto"/>
              <w:right w:val="single" w:sz="4" w:space="0" w:color="auto"/>
            </w:tcBorders>
            <w:shd w:val="clear" w:color="auto" w:fill="EAF1F5"/>
            <w:tcMar>
              <w:top w:w="72" w:type="dxa"/>
              <w:left w:w="25" w:type="dxa"/>
              <w:bottom w:w="72" w:type="dxa"/>
              <w:right w:w="25" w:type="dxa"/>
            </w:tcMar>
          </w:tcPr>
          <w:p w14:paraId="75966322"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EAF1F5"/>
            <w:tcMar>
              <w:top w:w="72" w:type="dxa"/>
              <w:left w:w="25" w:type="dxa"/>
              <w:bottom w:w="72" w:type="dxa"/>
              <w:right w:w="25" w:type="dxa"/>
            </w:tcMar>
          </w:tcPr>
          <w:p w14:paraId="25660CA2"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EAF1F5"/>
            <w:tcMar>
              <w:top w:w="72" w:type="dxa"/>
              <w:left w:w="25" w:type="dxa"/>
              <w:bottom w:w="72" w:type="dxa"/>
              <w:right w:w="25" w:type="dxa"/>
            </w:tcMar>
          </w:tcPr>
          <w:p w14:paraId="56FF714D"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EAF1F5"/>
            <w:tcMar>
              <w:top w:w="72" w:type="dxa"/>
              <w:left w:w="25" w:type="dxa"/>
              <w:bottom w:w="72" w:type="dxa"/>
              <w:right w:w="25" w:type="dxa"/>
            </w:tcMar>
          </w:tcPr>
          <w:p w14:paraId="20AA77A2"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EAF1F5"/>
            <w:tcMar>
              <w:top w:w="72" w:type="dxa"/>
              <w:left w:w="25" w:type="dxa"/>
              <w:bottom w:w="72" w:type="dxa"/>
              <w:right w:w="25" w:type="dxa"/>
            </w:tcMar>
          </w:tcPr>
          <w:p w14:paraId="46BC4177"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EAF1F5"/>
            <w:tcMar>
              <w:top w:w="72" w:type="dxa"/>
              <w:left w:w="25" w:type="dxa"/>
              <w:bottom w:w="72" w:type="dxa"/>
              <w:right w:w="25" w:type="dxa"/>
            </w:tcMar>
          </w:tcPr>
          <w:p w14:paraId="3F28543D"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EAF1F5"/>
            <w:tcMar>
              <w:top w:w="72" w:type="dxa"/>
              <w:left w:w="25" w:type="dxa"/>
              <w:bottom w:w="72" w:type="dxa"/>
              <w:right w:w="25" w:type="dxa"/>
            </w:tcMar>
          </w:tcPr>
          <w:p w14:paraId="0934721E"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EAF1F5"/>
            <w:tcMar>
              <w:top w:w="72" w:type="dxa"/>
              <w:left w:w="25" w:type="dxa"/>
              <w:bottom w:w="72" w:type="dxa"/>
              <w:right w:w="25" w:type="dxa"/>
            </w:tcMar>
          </w:tcPr>
          <w:p w14:paraId="3C0AA717" w14:textId="77777777" w:rsidR="00B15419" w:rsidRPr="00B15419" w:rsidRDefault="00B15419" w:rsidP="00B15419">
            <w:pPr>
              <w:spacing w:after="0" w:line="292" w:lineRule="auto"/>
              <w:rPr>
                <w:rFonts w:eastAsia="MS Mincho"/>
              </w:rPr>
            </w:pPr>
          </w:p>
        </w:tc>
        <w:tc>
          <w:tcPr>
            <w:tcW w:w="1022" w:type="dxa"/>
            <w:tcBorders>
              <w:top w:val="single" w:sz="4" w:space="0" w:color="auto"/>
              <w:left w:val="single" w:sz="4" w:space="0" w:color="auto"/>
              <w:bottom w:val="single" w:sz="4" w:space="0" w:color="auto"/>
              <w:right w:val="single" w:sz="4" w:space="0" w:color="auto"/>
            </w:tcBorders>
            <w:shd w:val="clear" w:color="auto" w:fill="347F9D"/>
            <w:tcMar>
              <w:top w:w="72" w:type="dxa"/>
              <w:left w:w="25" w:type="dxa"/>
              <w:bottom w:w="72" w:type="dxa"/>
              <w:right w:w="25" w:type="dxa"/>
            </w:tcMar>
          </w:tcPr>
          <w:p w14:paraId="7FB8EE0D" w14:textId="77777777" w:rsidR="00B15419" w:rsidRPr="00B15419" w:rsidRDefault="00B15419" w:rsidP="00B15419">
            <w:pPr>
              <w:spacing w:after="0" w:line="292" w:lineRule="auto"/>
              <w:rPr>
                <w:rFonts w:eastAsia="MS Mincho"/>
              </w:rPr>
            </w:pPr>
          </w:p>
        </w:tc>
      </w:tr>
    </w:tbl>
    <w:p w14:paraId="7B7BA9CC" w14:textId="27B592D2" w:rsidR="001212A2" w:rsidRDefault="001212A2" w:rsidP="001212A2"/>
    <w:p w14:paraId="4D965917" w14:textId="77777777" w:rsidR="001212A2" w:rsidRDefault="001212A2" w:rsidP="001212A2"/>
    <w:p w14:paraId="1033586E" w14:textId="77777777" w:rsidR="00B15419" w:rsidRDefault="00B15419" w:rsidP="001212A2">
      <w:pPr>
        <w:sectPr w:rsidR="00B15419" w:rsidSect="001212A2">
          <w:pgSz w:w="16848" w:h="11952" w:orient="landscape"/>
          <w:pgMar w:top="792" w:right="864" w:bottom="576" w:left="864" w:header="374" w:footer="374" w:gutter="0"/>
          <w:cols w:space="720"/>
          <w:docGrid w:linePitch="360"/>
        </w:sectPr>
      </w:pPr>
    </w:p>
    <w:p w14:paraId="1CD4312E" w14:textId="77777777" w:rsidR="001212A2" w:rsidRDefault="001212A2" w:rsidP="001212A2">
      <w:pPr>
        <w:jc w:val="center"/>
      </w:pPr>
      <w:r>
        <w:rPr>
          <w:b/>
          <w:sz w:val="24"/>
        </w:rPr>
        <w:lastRenderedPageBreak/>
        <w:t>References</w:t>
      </w:r>
    </w:p>
    <w:p w14:paraId="136F748D" w14:textId="77777777" w:rsidR="001212A2" w:rsidRDefault="001212A2" w:rsidP="001212A2">
      <w:pPr>
        <w:spacing w:after="0" w:line="480" w:lineRule="auto"/>
        <w:ind w:left="720" w:hanging="720"/>
      </w:pPr>
      <w:r>
        <w:t xml:space="preserve">Babaei, G., &amp; Giudici, P. (2025). Explainable artificial intelligence (XAI) in investment </w:t>
      </w:r>
      <w:proofErr w:type="gramStart"/>
      <w:r>
        <w:t>decision-making</w:t>
      </w:r>
      <w:proofErr w:type="gramEnd"/>
      <w:r>
        <w:t xml:space="preserve">. </w:t>
      </w:r>
      <w:r>
        <w:rPr>
          <w:i/>
        </w:rPr>
        <w:t>Academia AI and Applications, 1</w:t>
      </w:r>
      <w:r>
        <w:t>. https://doi.org/10.20935/AcadAI8017</w:t>
      </w:r>
    </w:p>
    <w:p w14:paraId="35D6F999" w14:textId="77777777" w:rsidR="001212A2" w:rsidRDefault="001212A2" w:rsidP="001212A2">
      <w:pPr>
        <w:spacing w:after="0" w:line="480" w:lineRule="auto"/>
        <w:ind w:left="720" w:hanging="720"/>
      </w:pPr>
      <w:r>
        <w:t xml:space="preserve">Chen, T., &amp; </w:t>
      </w:r>
      <w:proofErr w:type="spellStart"/>
      <w:r>
        <w:t>Guestrin</w:t>
      </w:r>
      <w:proofErr w:type="spellEnd"/>
      <w:r>
        <w:t xml:space="preserve">, C. (2016). </w:t>
      </w:r>
      <w:proofErr w:type="spellStart"/>
      <w:r>
        <w:t>XGBoost</w:t>
      </w:r>
      <w:proofErr w:type="spellEnd"/>
      <w:r>
        <w:t xml:space="preserve">: A scalable tree boosting system. In </w:t>
      </w:r>
      <w:r>
        <w:rPr>
          <w:i/>
        </w:rPr>
        <w:t>Proceedings of the 22nd ACM SIGKDD International Conference on Knowledge Discovery and Data Mining</w:t>
      </w:r>
      <w:r>
        <w:t xml:space="preserve"> (pp. 785–794). https://doi.org/10.1145/2939672.2939785</w:t>
      </w:r>
    </w:p>
    <w:p w14:paraId="13323B26" w14:textId="77777777" w:rsidR="001212A2" w:rsidRDefault="001212A2" w:rsidP="001212A2">
      <w:pPr>
        <w:spacing w:after="0" w:line="480" w:lineRule="auto"/>
        <w:ind w:left="720" w:hanging="720"/>
      </w:pPr>
      <w:r>
        <w:t xml:space="preserve">Fama, E. F., &amp; French, K. R. (1992). The cross-section of expected stock returns. </w:t>
      </w:r>
      <w:r>
        <w:rPr>
          <w:i/>
        </w:rPr>
        <w:t>The Journal of Finance, 47</w:t>
      </w:r>
      <w:r>
        <w:t>(2), 427–465. https://doi.org/10.1111/j.1540-6261.1992.tb04398.x</w:t>
      </w:r>
    </w:p>
    <w:p w14:paraId="0913EF1C" w14:textId="77777777" w:rsidR="001212A2" w:rsidRDefault="001212A2" w:rsidP="001212A2">
      <w:pPr>
        <w:spacing w:after="0" w:line="480" w:lineRule="auto"/>
        <w:ind w:left="720" w:hanging="720"/>
      </w:pPr>
      <w:r>
        <w:t xml:space="preserve">Gu, S., Kelly, B., &amp; Xiu, D. (2020). Empirical asset pricing via machine learning. </w:t>
      </w:r>
      <w:r>
        <w:rPr>
          <w:i/>
        </w:rPr>
        <w:t>The Review of Financial Studies, 33</w:t>
      </w:r>
      <w:r>
        <w:t>(5), 2223–2273. https://doi.org/10.1093/rfs/hhaa009</w:t>
      </w:r>
    </w:p>
    <w:p w14:paraId="5CC8B187" w14:textId="77777777" w:rsidR="001212A2" w:rsidRDefault="001212A2" w:rsidP="001212A2">
      <w:pPr>
        <w:spacing w:after="0" w:line="480" w:lineRule="auto"/>
        <w:ind w:left="720" w:hanging="720"/>
      </w:pPr>
      <w:r>
        <w:t xml:space="preserve">Lundberg, S. M., &amp; Lee, S.-I. (2017). A unified approach to interpreting model predictions. </w:t>
      </w:r>
      <w:r>
        <w:rPr>
          <w:i/>
        </w:rPr>
        <w:t>Advances in Neural Information Processing Systems, 30</w:t>
      </w:r>
      <w:r>
        <w:t>. https://papers.nips.cc/paper/2017/hash/8a20a8621978632d76c43dfd28b67767-Abstract.html</w:t>
      </w:r>
    </w:p>
    <w:p w14:paraId="1A4F7644" w14:textId="77777777" w:rsidR="001212A2" w:rsidRDefault="001212A2" w:rsidP="001212A2">
      <w:pPr>
        <w:spacing w:after="0" w:line="480" w:lineRule="auto"/>
        <w:ind w:left="720" w:hanging="720"/>
      </w:pPr>
      <w:r>
        <w:t xml:space="preserve">Ontario Securities Commission. (2024). </w:t>
      </w:r>
      <w:r>
        <w:rPr>
          <w:i/>
        </w:rPr>
        <w:t>National Instrument 81-102 Investment Funds (Appendix F: Investment Risk Classification Methodology)</w:t>
      </w:r>
      <w:r>
        <w:t>. https://www.osc.ca/sites/default/files/2024-10/ni_20240831_81-102_unofficial-consolidation-v2.pdf</w:t>
      </w:r>
    </w:p>
    <w:p w14:paraId="7578C998" w14:textId="77777777" w:rsidR="001212A2" w:rsidRDefault="001212A2" w:rsidP="001212A2">
      <w:pPr>
        <w:spacing w:after="0" w:line="480" w:lineRule="auto"/>
        <w:ind w:left="720" w:hanging="720"/>
      </w:pPr>
      <w:r>
        <w:t xml:space="preserve">Ribeiro, M. T., Singh, S., &amp; </w:t>
      </w:r>
      <w:proofErr w:type="spellStart"/>
      <w:r>
        <w:t>Guestrin</w:t>
      </w:r>
      <w:proofErr w:type="spellEnd"/>
      <w:r>
        <w:t xml:space="preserve">, C. (2016). “Why should I trust you?”: Explaining the predictions of any classifier. In </w:t>
      </w:r>
      <w:r>
        <w:rPr>
          <w:i/>
        </w:rPr>
        <w:t>Proceedings of the 22nd ACM SIGKDD International Conference on Knowledge Discovery and Data Mining</w:t>
      </w:r>
      <w:r>
        <w:t xml:space="preserve"> (pp. 1135–1144). https://doi.org/10.1145/2939672.2939778</w:t>
      </w:r>
    </w:p>
    <w:p w14:paraId="16C28A1E" w14:textId="77777777" w:rsidR="00A06B48" w:rsidRDefault="00A06B48"/>
    <w:sectPr w:rsidR="00A06B48" w:rsidSect="001212A2">
      <w:pgSz w:w="12240" w:h="15840"/>
      <w:pgMar w:top="1181" w:right="1238" w:bottom="1123" w:left="1238" w:header="504"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92CE8" w14:textId="77777777" w:rsidR="006B43A8" w:rsidRDefault="006B43A8" w:rsidP="001212A2">
      <w:pPr>
        <w:spacing w:after="0" w:line="240" w:lineRule="auto"/>
      </w:pPr>
      <w:r>
        <w:separator/>
      </w:r>
    </w:p>
  </w:endnote>
  <w:endnote w:type="continuationSeparator" w:id="0">
    <w:p w14:paraId="6444B687" w14:textId="77777777" w:rsidR="006B43A8" w:rsidRDefault="006B43A8" w:rsidP="00121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AC395" w14:textId="524ED275" w:rsidR="001212A2" w:rsidRDefault="001212A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68F60" w14:textId="77777777" w:rsidR="006B43A8" w:rsidRDefault="006B43A8" w:rsidP="001212A2">
      <w:pPr>
        <w:spacing w:after="0" w:line="240" w:lineRule="auto"/>
      </w:pPr>
      <w:r>
        <w:separator/>
      </w:r>
    </w:p>
  </w:footnote>
  <w:footnote w:type="continuationSeparator" w:id="0">
    <w:p w14:paraId="4FAA1D40" w14:textId="77777777" w:rsidR="006B43A8" w:rsidRDefault="006B43A8" w:rsidP="001212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2A2"/>
    <w:rsid w:val="001212A2"/>
    <w:rsid w:val="0024401E"/>
    <w:rsid w:val="003E1E06"/>
    <w:rsid w:val="006B43A8"/>
    <w:rsid w:val="00A06B48"/>
    <w:rsid w:val="00B15419"/>
    <w:rsid w:val="00F505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1AF63"/>
  <w15:chartTrackingRefBased/>
  <w15:docId w15:val="{FAC2D630-8ADF-4A88-8885-FB76CF42B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2A2"/>
    <w:pPr>
      <w:spacing w:after="120" w:line="295" w:lineRule="auto"/>
    </w:pPr>
    <w:rPr>
      <w:rFonts w:ascii="Calibri" w:eastAsiaTheme="minorEastAsia" w:hAnsi="Calibri"/>
      <w:color w:val="1E2730"/>
      <w:kern w:val="0"/>
      <w:sz w:val="21"/>
      <w:szCs w:val="22"/>
      <w:lang w:val="en-US"/>
      <w14:ligatures w14:val="none"/>
    </w:rPr>
  </w:style>
  <w:style w:type="paragraph" w:styleId="Heading1">
    <w:name w:val="heading 1"/>
    <w:basedOn w:val="Normal"/>
    <w:next w:val="Normal"/>
    <w:link w:val="Heading1Char"/>
    <w:uiPriority w:val="9"/>
    <w:qFormat/>
    <w:rsid w:val="001212A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14:ligatures w14:val="standardContextual"/>
    </w:rPr>
  </w:style>
  <w:style w:type="paragraph" w:styleId="Heading2">
    <w:name w:val="heading 2"/>
    <w:basedOn w:val="Normal"/>
    <w:next w:val="Normal"/>
    <w:link w:val="Heading2Char"/>
    <w:uiPriority w:val="9"/>
    <w:unhideWhenUsed/>
    <w:qFormat/>
    <w:rsid w:val="001212A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14:ligatures w14:val="standardContextual"/>
    </w:rPr>
  </w:style>
  <w:style w:type="paragraph" w:styleId="Heading3">
    <w:name w:val="heading 3"/>
    <w:basedOn w:val="Normal"/>
    <w:next w:val="Normal"/>
    <w:link w:val="Heading3Char"/>
    <w:uiPriority w:val="9"/>
    <w:semiHidden/>
    <w:unhideWhenUsed/>
    <w:qFormat/>
    <w:rsid w:val="001212A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CA"/>
      <w14:ligatures w14:val="standardContextual"/>
    </w:rPr>
  </w:style>
  <w:style w:type="paragraph" w:styleId="Heading4">
    <w:name w:val="heading 4"/>
    <w:basedOn w:val="Normal"/>
    <w:next w:val="Normal"/>
    <w:link w:val="Heading4Char"/>
    <w:uiPriority w:val="9"/>
    <w:semiHidden/>
    <w:unhideWhenUsed/>
    <w:qFormat/>
    <w:rsid w:val="001212A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CA"/>
      <w14:ligatures w14:val="standardContextual"/>
    </w:rPr>
  </w:style>
  <w:style w:type="paragraph" w:styleId="Heading5">
    <w:name w:val="heading 5"/>
    <w:basedOn w:val="Normal"/>
    <w:next w:val="Normal"/>
    <w:link w:val="Heading5Char"/>
    <w:uiPriority w:val="9"/>
    <w:semiHidden/>
    <w:unhideWhenUsed/>
    <w:qFormat/>
    <w:rsid w:val="001212A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CA"/>
      <w14:ligatures w14:val="standardContextual"/>
    </w:rPr>
  </w:style>
  <w:style w:type="paragraph" w:styleId="Heading6">
    <w:name w:val="heading 6"/>
    <w:basedOn w:val="Normal"/>
    <w:next w:val="Normal"/>
    <w:link w:val="Heading6Char"/>
    <w:uiPriority w:val="9"/>
    <w:semiHidden/>
    <w:unhideWhenUsed/>
    <w:qFormat/>
    <w:rsid w:val="001212A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CA"/>
      <w14:ligatures w14:val="standardContextual"/>
    </w:rPr>
  </w:style>
  <w:style w:type="paragraph" w:styleId="Heading7">
    <w:name w:val="heading 7"/>
    <w:basedOn w:val="Normal"/>
    <w:next w:val="Normal"/>
    <w:link w:val="Heading7Char"/>
    <w:uiPriority w:val="9"/>
    <w:semiHidden/>
    <w:unhideWhenUsed/>
    <w:qFormat/>
    <w:rsid w:val="001212A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CA"/>
      <w14:ligatures w14:val="standardContextual"/>
    </w:rPr>
  </w:style>
  <w:style w:type="paragraph" w:styleId="Heading8">
    <w:name w:val="heading 8"/>
    <w:basedOn w:val="Normal"/>
    <w:next w:val="Normal"/>
    <w:link w:val="Heading8Char"/>
    <w:uiPriority w:val="9"/>
    <w:semiHidden/>
    <w:unhideWhenUsed/>
    <w:qFormat/>
    <w:rsid w:val="001212A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CA"/>
      <w14:ligatures w14:val="standardContextual"/>
    </w:rPr>
  </w:style>
  <w:style w:type="paragraph" w:styleId="Heading9">
    <w:name w:val="heading 9"/>
    <w:basedOn w:val="Normal"/>
    <w:next w:val="Normal"/>
    <w:link w:val="Heading9Char"/>
    <w:uiPriority w:val="9"/>
    <w:semiHidden/>
    <w:unhideWhenUsed/>
    <w:qFormat/>
    <w:rsid w:val="001212A2"/>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C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1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2A2"/>
    <w:rPr>
      <w:rFonts w:eastAsiaTheme="majorEastAsia" w:cstheme="majorBidi"/>
      <w:color w:val="272727" w:themeColor="text1" w:themeTint="D8"/>
    </w:rPr>
  </w:style>
  <w:style w:type="paragraph" w:styleId="Title">
    <w:name w:val="Title"/>
    <w:basedOn w:val="Normal"/>
    <w:next w:val="Normal"/>
    <w:link w:val="TitleChar"/>
    <w:uiPriority w:val="10"/>
    <w:qFormat/>
    <w:rsid w:val="001212A2"/>
    <w:pPr>
      <w:spacing w:after="80" w:line="240" w:lineRule="auto"/>
      <w:contextualSpacing/>
    </w:pPr>
    <w:rPr>
      <w:rFonts w:asciiTheme="majorHAnsi" w:eastAsiaTheme="majorEastAsia" w:hAnsiTheme="majorHAnsi" w:cstheme="majorBidi"/>
      <w:color w:val="auto"/>
      <w:spacing w:val="-10"/>
      <w:kern w:val="28"/>
      <w:sz w:val="56"/>
      <w:szCs w:val="56"/>
      <w:lang w:val="en-CA"/>
      <w14:ligatures w14:val="standardContextual"/>
    </w:rPr>
  </w:style>
  <w:style w:type="character" w:customStyle="1" w:styleId="TitleChar">
    <w:name w:val="Title Char"/>
    <w:basedOn w:val="DefaultParagraphFont"/>
    <w:link w:val="Title"/>
    <w:uiPriority w:val="10"/>
    <w:rsid w:val="00121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2A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CA"/>
      <w14:ligatures w14:val="standardContextual"/>
    </w:rPr>
  </w:style>
  <w:style w:type="character" w:customStyle="1" w:styleId="SubtitleChar">
    <w:name w:val="Subtitle Char"/>
    <w:basedOn w:val="DefaultParagraphFont"/>
    <w:link w:val="Subtitle"/>
    <w:uiPriority w:val="11"/>
    <w:rsid w:val="00121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2A2"/>
    <w:pPr>
      <w:spacing w:before="160" w:after="160" w:line="278" w:lineRule="auto"/>
      <w:jc w:val="center"/>
    </w:pPr>
    <w:rPr>
      <w:rFonts w:asciiTheme="minorHAnsi" w:eastAsiaTheme="minorHAnsi" w:hAnsiTheme="minorHAnsi"/>
      <w:i/>
      <w:iCs/>
      <w:color w:val="404040" w:themeColor="text1" w:themeTint="BF"/>
      <w:kern w:val="2"/>
      <w:sz w:val="24"/>
      <w:szCs w:val="24"/>
      <w:lang w:val="en-CA"/>
      <w14:ligatures w14:val="standardContextual"/>
    </w:rPr>
  </w:style>
  <w:style w:type="character" w:customStyle="1" w:styleId="QuoteChar">
    <w:name w:val="Quote Char"/>
    <w:basedOn w:val="DefaultParagraphFont"/>
    <w:link w:val="Quote"/>
    <w:uiPriority w:val="29"/>
    <w:rsid w:val="001212A2"/>
    <w:rPr>
      <w:i/>
      <w:iCs/>
      <w:color w:val="404040" w:themeColor="text1" w:themeTint="BF"/>
    </w:rPr>
  </w:style>
  <w:style w:type="paragraph" w:styleId="ListParagraph">
    <w:name w:val="List Paragraph"/>
    <w:basedOn w:val="Normal"/>
    <w:uiPriority w:val="34"/>
    <w:qFormat/>
    <w:rsid w:val="001212A2"/>
    <w:pPr>
      <w:spacing w:after="160" w:line="278" w:lineRule="auto"/>
      <w:ind w:left="720"/>
      <w:contextualSpacing/>
    </w:pPr>
    <w:rPr>
      <w:rFonts w:asciiTheme="minorHAnsi" w:eastAsiaTheme="minorHAnsi" w:hAnsiTheme="minorHAnsi"/>
      <w:color w:val="auto"/>
      <w:kern w:val="2"/>
      <w:sz w:val="24"/>
      <w:szCs w:val="24"/>
      <w:lang w:val="en-CA"/>
      <w14:ligatures w14:val="standardContextual"/>
    </w:rPr>
  </w:style>
  <w:style w:type="character" w:styleId="IntenseEmphasis">
    <w:name w:val="Intense Emphasis"/>
    <w:basedOn w:val="DefaultParagraphFont"/>
    <w:uiPriority w:val="21"/>
    <w:qFormat/>
    <w:rsid w:val="001212A2"/>
    <w:rPr>
      <w:i/>
      <w:iCs/>
      <w:color w:val="0F4761" w:themeColor="accent1" w:themeShade="BF"/>
    </w:rPr>
  </w:style>
  <w:style w:type="paragraph" w:styleId="IntenseQuote">
    <w:name w:val="Intense Quote"/>
    <w:basedOn w:val="Normal"/>
    <w:next w:val="Normal"/>
    <w:link w:val="IntenseQuoteChar"/>
    <w:uiPriority w:val="30"/>
    <w:qFormat/>
    <w:rsid w:val="001212A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CA"/>
      <w14:ligatures w14:val="standardContextual"/>
    </w:rPr>
  </w:style>
  <w:style w:type="character" w:customStyle="1" w:styleId="IntenseQuoteChar">
    <w:name w:val="Intense Quote Char"/>
    <w:basedOn w:val="DefaultParagraphFont"/>
    <w:link w:val="IntenseQuote"/>
    <w:uiPriority w:val="30"/>
    <w:rsid w:val="001212A2"/>
    <w:rPr>
      <w:i/>
      <w:iCs/>
      <w:color w:val="0F4761" w:themeColor="accent1" w:themeShade="BF"/>
    </w:rPr>
  </w:style>
  <w:style w:type="character" w:styleId="IntenseReference">
    <w:name w:val="Intense Reference"/>
    <w:basedOn w:val="DefaultParagraphFont"/>
    <w:uiPriority w:val="32"/>
    <w:qFormat/>
    <w:rsid w:val="001212A2"/>
    <w:rPr>
      <w:b/>
      <w:bCs/>
      <w:smallCaps/>
      <w:color w:val="0F4761" w:themeColor="accent1" w:themeShade="BF"/>
      <w:spacing w:val="5"/>
    </w:rPr>
  </w:style>
  <w:style w:type="paragraph" w:styleId="Footer">
    <w:name w:val="footer"/>
    <w:basedOn w:val="Normal"/>
    <w:link w:val="FooterChar"/>
    <w:uiPriority w:val="99"/>
    <w:unhideWhenUsed/>
    <w:rsid w:val="00121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2A2"/>
    <w:rPr>
      <w:rFonts w:ascii="Calibri" w:eastAsiaTheme="minorEastAsia" w:hAnsi="Calibri"/>
      <w:color w:val="1E2730"/>
      <w:kern w:val="0"/>
      <w:sz w:val="21"/>
      <w:szCs w:val="22"/>
      <w:lang w:val="en-US"/>
      <w14:ligatures w14:val="none"/>
    </w:rPr>
  </w:style>
  <w:style w:type="table" w:styleId="TableGrid">
    <w:name w:val="Table Grid"/>
    <w:basedOn w:val="TableNormal"/>
    <w:uiPriority w:val="59"/>
    <w:rsid w:val="001212A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1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2A2"/>
    <w:rPr>
      <w:rFonts w:ascii="Calibri" w:eastAsiaTheme="minorEastAsia" w:hAnsi="Calibri"/>
      <w:color w:val="1E2730"/>
      <w:kern w:val="0"/>
      <w:sz w:val="21"/>
      <w:szCs w:val="22"/>
      <w:lang w:val="en-US"/>
      <w14:ligatures w14:val="none"/>
    </w:rPr>
  </w:style>
  <w:style w:type="paragraph" w:styleId="TOCHeading">
    <w:name w:val="TOC Heading"/>
    <w:basedOn w:val="Heading1"/>
    <w:next w:val="Normal"/>
    <w:uiPriority w:val="39"/>
    <w:unhideWhenUsed/>
    <w:qFormat/>
    <w:rsid w:val="003E1E0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E1E06"/>
    <w:pPr>
      <w:spacing w:after="100"/>
    </w:pPr>
  </w:style>
  <w:style w:type="paragraph" w:styleId="TOC2">
    <w:name w:val="toc 2"/>
    <w:basedOn w:val="Normal"/>
    <w:next w:val="Normal"/>
    <w:autoRedefine/>
    <w:uiPriority w:val="39"/>
    <w:unhideWhenUsed/>
    <w:rsid w:val="003E1E06"/>
    <w:pPr>
      <w:spacing w:after="100"/>
      <w:ind w:left="210"/>
    </w:pPr>
  </w:style>
  <w:style w:type="character" w:styleId="Hyperlink">
    <w:name w:val="Hyperlink"/>
    <w:basedOn w:val="DefaultParagraphFont"/>
    <w:uiPriority w:val="99"/>
    <w:unhideWhenUsed/>
    <w:rsid w:val="003E1E06"/>
    <w:rPr>
      <w:color w:val="467886" w:themeColor="hyperlink"/>
      <w:u w:val="single"/>
    </w:rPr>
  </w:style>
  <w:style w:type="table" w:customStyle="1" w:styleId="TableGrid1">
    <w:name w:val="Table Grid1"/>
    <w:basedOn w:val="TableNormal"/>
    <w:next w:val="TableGrid"/>
    <w:uiPriority w:val="59"/>
    <w:rsid w:val="00B15419"/>
    <w:pPr>
      <w:spacing w:after="0" w:line="240" w:lineRule="auto"/>
    </w:pPr>
    <w:rPr>
      <w:rFonts w:ascii="Cambria" w:eastAsia="MS Mincho" w:hAnsi="Cambria"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B31362-2C17-4D71-84E9-5C10DC089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10</Pages>
  <Words>3120</Words>
  <Characters>17785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Ahmed Lehri</dc:creator>
  <cp:keywords/>
  <dc:description/>
  <cp:lastModifiedBy>Zain Ahmed Lehri</cp:lastModifiedBy>
  <cp:revision>1</cp:revision>
  <dcterms:created xsi:type="dcterms:W3CDTF">2026-10-13T23:00:00Z</dcterms:created>
  <dcterms:modified xsi:type="dcterms:W3CDTF">2026-10-14T00:21:00Z</dcterms:modified>
</cp:coreProperties>
</file>