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 w:after="360"/>
        <w:jc w:val="center"/>
      </w:pPr>
      <w:r>
        <w:rPr>
          <w:rFonts w:ascii="Aptos Display" w:hAnsi="Aptos Display"/>
          <w:b/>
          <w:color w:val="2F7469"/>
          <w:sz w:val="24"/>
        </w:rPr>
        <w:t>SUSPREDICT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F3A"/>
          <w:sz w:val="56"/>
        </w:rPr>
        <w:t>Briefing completo</w:t>
        <w:br/>
        <w:t>para apresentação da banca</w:t>
      </w:r>
    </w:p>
    <w:p>
      <w:pPr>
        <w:spacing w:after="680"/>
        <w:jc w:val="center"/>
      </w:pPr>
      <w:r>
        <w:rPr>
          <w:rFonts w:ascii="Aptos" w:hAnsi="Aptos"/>
          <w:color w:val="5F6B66"/>
          <w:sz w:val="26"/>
        </w:rPr>
        <w:t>O que o projeto resolve, o que já demonstra, seus limites e o roadmap realista</w:t>
      </w:r>
    </w:p>
    <w:p>
      <w:pPr>
        <w:pStyle w:val="Callout"/>
        <w:jc w:val="center"/>
      </w:pPr>
      <w:r>
        <w:rPr>
          <w:rFonts w:ascii="Aptos" w:hAnsi="Aptos"/>
          <w:b/>
          <w:color w:val="173F3A"/>
          <w:sz w:val="24"/>
        </w:rPr>
        <w:t>Mensagem central: transformar dados públicos de saúde em antecedência para decisões operacionais, com transparência sobre evidências, simulações e limitações.</w:t>
      </w:r>
    </w:p>
    <w:p>
      <w:pPr>
        <w:spacing w:before="1120"/>
        <w:jc w:val="center"/>
      </w:pPr>
      <w:r>
        <w:rPr>
          <w:rFonts w:ascii="Aptos" w:hAnsi="Aptos"/>
          <w:color w:val="5F6B66"/>
          <w:sz w:val="19"/>
        </w:rPr>
        <w:t>Material-base para um agente de IA montar slides</w:t>
        <w:br/>
        <w:t>FIAP TCC 2025/2026 | Versão consolidada em 01/09/2026</w:t>
      </w:r>
    </w:p>
    <w:p>
      <w:r>
        <w:br w:type="page"/>
      </w:r>
    </w:p>
    <w:p>
      <w:pPr>
        <w:pStyle w:val="Heading1"/>
      </w:pPr>
      <w:r>
        <w:t>Como usar este documento</w:t>
      </w:r>
    </w:p>
    <w:p>
      <w:pPr>
        <w:pStyle w:val="Lead"/>
      </w:pPr>
      <w:r>
        <w:t>Este material foi escrito para alimentar a criação de slides. Ele privilegia a narrativa de produto e separa rigorosamente capacidade implementada, demonstração, limitação e trabalho futuro.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300"/>
        <w:gridCol w:w="4360"/>
      </w:tblGrid>
      <w:tr>
        <w:trPr>
          <w:tblHeader w:val="true"/>
        </w:trPr>
        <w:tc>
          <w:tcPr>
            <w:tcW w:type="dxa" w:w="1700"/>
            <w:shd w:fill="173F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Situação</w:t>
            </w:r>
          </w:p>
        </w:tc>
        <w:tc>
          <w:tcPr>
            <w:tcW w:type="dxa" w:w="3300"/>
            <w:shd w:fill="173F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O que significa</w:t>
            </w:r>
          </w:p>
        </w:tc>
        <w:tc>
          <w:tcPr>
            <w:tcW w:type="dxa" w:w="4360"/>
            <w:shd w:fill="173F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Como apresentar</w:t>
            </w:r>
          </w:p>
        </w:tc>
      </w:tr>
      <w:tr>
        <w:tc>
          <w:tcPr>
            <w:tcW w:type="dxa" w:w="1700"/>
            <w:shd w:fill="F3F7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202925"/>
                <w:sz w:val="18"/>
              </w:rPr>
              <w:t>Implementado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925"/>
                <w:sz w:val="18"/>
              </w:rPr>
              <w:t>Existe no código atual e possui validação automatizada proporcional.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925"/>
                <w:sz w:val="18"/>
              </w:rPr>
              <w:t>Pode ser mostrado como capacidade do MVP.</w:t>
            </w:r>
          </w:p>
        </w:tc>
      </w:tr>
      <w:tr>
        <w:tc>
          <w:tcPr>
            <w:tcW w:type="dxa" w:w="1700"/>
            <w:shd w:fill="F3F7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202925"/>
                <w:sz w:val="18"/>
              </w:rPr>
              <w:t>Demo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925"/>
                <w:sz w:val="18"/>
              </w:rPr>
              <w:t>Funciona em cenário controlado; algumas premissas são fictícias e rotuladas.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925"/>
                <w:sz w:val="18"/>
              </w:rPr>
              <w:t>Apresentar como prova narrativa, não resultado operacional real.</w:t>
            </w:r>
          </w:p>
        </w:tc>
      </w:tr>
      <w:tr>
        <w:tc>
          <w:tcPr>
            <w:tcW w:type="dxa" w:w="1700"/>
            <w:shd w:fill="F3F7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202925"/>
                <w:sz w:val="18"/>
              </w:rPr>
              <w:t>WIP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925"/>
                <w:sz w:val="18"/>
              </w:rPr>
              <w:t>Existe parcialmente ou depende de dados, runtime ou integração externa.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925"/>
                <w:sz w:val="18"/>
              </w:rPr>
              <w:t>Mostrar como próximo passo e não como entrega concluída.</w:t>
            </w:r>
          </w:p>
        </w:tc>
      </w:tr>
      <w:tr>
        <w:tc>
          <w:tcPr>
            <w:tcW w:type="dxa" w:w="1700"/>
            <w:shd w:fill="F3F7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202925"/>
                <w:sz w:val="18"/>
              </w:rPr>
              <w:t>Fora de escopo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925"/>
                <w:sz w:val="18"/>
              </w:rPr>
              <w:t>Não é promessa desta versão.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925"/>
                <w:sz w:val="18"/>
              </w:rPr>
              <w:t>Usar para demonstrar maturidade e controle de escopo.</w:t>
            </w:r>
          </w:p>
        </w:tc>
      </w:tr>
    </w:tbl>
    <w:p>
      <w:pPr>
        <w:pStyle w:val="Heading1"/>
      </w:pPr>
      <w:r>
        <w:t>1. Resumo executivo</w:t>
      </w:r>
    </w:p>
    <w:p>
      <w:pPr>
        <w:pStyle w:val="Lead"/>
      </w:pPr>
      <w:r>
        <w:t>O SusPredict é uma plataforma acadêmica de apoio à decisão para gestores de saúde pública. Sua proposta é transformar dados epidemiológicos, hospitalares e sinais de aquisição em uma leitura clara de risco, prioridade e próxima ação.</w:t>
      </w:r>
    </w:p>
    <w:p>
      <w:r>
        <w:t>Em vez de apenas exibir gráficos, o produto procura responder: o que está acontecendo, por que importa, onde agir e qual evidência sustenta essa decisão? O recorte mais forte para a banca é dengue e planejamento de insumos.</w:t>
      </w:r>
    </w:p>
    <w:p>
      <w:pPr>
        <w:pStyle w:val="Callout"/>
      </w:pPr>
      <w:r>
        <w:t>Frase de posicionamento: SusPredict transforma sinais dispersos do SUS em antecedência para decisões de saúde e compras públicas.</w:t>
      </w:r>
    </w:p>
    <w:p>
      <w:pPr>
        <w:pStyle w:val="Callout"/>
      </w:pPr>
      <w:r>
        <w:t>Limite central: a solução apoia a decisão; não substitui o gestor, o profissional de saúde, a validação jurídica ou os sistemas oficiais.</w:t>
      </w:r>
    </w:p>
    <w:p>
      <w:pPr>
        <w:pStyle w:val="Heading1"/>
      </w:pPr>
      <w:r>
        <w:t>2. Problema e oportunidade</w:t>
      </w:r>
    </w:p>
    <w:p>
      <w:r>
        <w:t>Secretarias municipais precisam combinar informações que normalmente vivem separadas: notificações epidemiológicas, internações, aquisições, estoque local e prazos administrativos. Sem essa conexão, a leitura tende a ser reativa: percebe-se a pressão quando a demanda já cresceu ou quando o insumo já entrou em situação crítica.</w:t>
      </w:r>
    </w:p>
    <w:p>
      <w:r>
        <w:t>O diferencial não é “ter IA” nem “ter um dashboard”. É organizar evidências para que uma gestora não especialista compreenda rapidamente a situação, investigue a origem e inicie uma resposta documentada.</w:t>
      </w:r>
    </w:p>
    <w:p>
      <w:pPr>
        <w:pStyle w:val="Heading2"/>
      </w:pPr>
      <w:r>
        <w:t>Público principal</w:t>
      </w:r>
    </w:p>
    <w:p>
      <w:pPr>
        <w:pStyle w:val="ListBullet"/>
      </w:pPr>
      <w:r>
        <w:t>Gestores e técnicos de secretarias municipais e estaduais de saúde.</w:t>
      </w:r>
    </w:p>
    <w:p>
      <w:pPr>
        <w:pStyle w:val="ListBullet"/>
      </w:pPr>
      <w:r>
        <w:t>Epidemiologistas e equipes de vigilância.</w:t>
      </w:r>
    </w:p>
    <w:p>
      <w:pPr>
        <w:pStyle w:val="ListBullet"/>
      </w:pPr>
      <w:r>
        <w:t>Coordenadores de farmácia e profissionais envolvidos em aquisições.</w:t>
      </w:r>
    </w:p>
    <w:p>
      <w:pPr>
        <w:pStyle w:val="ListBullet"/>
      </w:pPr>
      <w:r>
        <w:t>Pesquisadores e estudantes que analisam e comunicam dados públicos de saúde.</w:t>
      </w:r>
    </w:p>
    <w:p>
      <w:pPr>
        <w:pStyle w:val="Heading1"/>
      </w:pPr>
      <w:r>
        <w:t>3. Proposta de valor</w:t>
      </w:r>
    </w:p>
    <w:p>
      <w:pPr>
        <w:pStyle w:val="ListNumber"/>
      </w:pPr>
      <w:r>
        <w:t>Observar: reunir indicadores com fonte e competência visíveis.</w:t>
      </w:r>
    </w:p>
    <w:p>
      <w:pPr>
        <w:pStyle w:val="ListNumber"/>
      </w:pPr>
      <w:r>
        <w:t>Interpretar: destacar tendência, risco e limitações em linguagem acessível.</w:t>
      </w:r>
    </w:p>
    <w:p>
      <w:pPr>
        <w:pStyle w:val="ListNumber"/>
      </w:pPr>
      <w:r>
        <w:t>Priorizar: transformar sinais em uma fila de alertas e itens que exigem atenção.</w:t>
      </w:r>
    </w:p>
    <w:p>
      <w:pPr>
        <w:pStyle w:val="ListNumber"/>
      </w:pPr>
      <w:r>
        <w:t>Agir com revisão: levar um alerta a um rascunho de ETP, sempre com confirmação humana.</w:t>
      </w:r>
    </w:p>
    <w:p>
      <w:pPr>
        <w:pStyle w:val="Heading2"/>
      </w:pPr>
      <w:r>
        <w:t>Diferenciais para enfatizar</w:t>
      </w:r>
    </w:p>
    <w:p>
      <w:pPr>
        <w:pStyle w:val="ListBullet"/>
      </w:pPr>
      <w:r>
        <w:t>Orientação à decisão, não apenas visualização.</w:t>
      </w:r>
    </w:p>
    <w:p>
      <w:pPr>
        <w:pStyle w:val="ListBullet"/>
      </w:pPr>
      <w:r>
        <w:t>Conexão entre saúde pública, abastecimento e processo administrativo.</w:t>
      </w:r>
    </w:p>
    <w:p>
      <w:pPr>
        <w:pStyle w:val="ListBullet"/>
      </w:pPr>
      <w:r>
        <w:t>Transparência entre dado real, demo, indisponibilidade e limitação.</w:t>
      </w:r>
    </w:p>
    <w:p>
      <w:pPr>
        <w:pStyle w:val="ListBullet"/>
      </w:pPr>
      <w:r>
        <w:t>Clara como interface de explicação e convergência, não como fonte mágica dos números.</w:t>
      </w:r>
    </w:p>
    <w:p>
      <w:pPr>
        <w:pStyle w:val="ListBullet"/>
      </w:pPr>
      <w:r>
        <w:t>Confirmação humana antes de ações com impacto.</w:t>
      </w:r>
    </w:p>
    <w:p>
      <w:pPr>
        <w:pStyle w:val="ListBullet"/>
      </w:pPr>
      <w:r>
        <w:t>ETP como desfecho prático da jornada, mantendo revisão obrigatória.</w:t>
      </w:r>
    </w:p>
    <w:p>
      <w:pPr>
        <w:pStyle w:val="Heading1"/>
      </w:pPr>
      <w:r>
        <w:t>4. Jornada principal demonstrável</w:t>
      </w:r>
    </w:p>
    <w:p>
      <w:pPr>
        <w:pStyle w:val="ListNumber"/>
      </w:pPr>
      <w:r>
        <w:t>Entrar no ambiente autenticado e escolher o município.</w:t>
      </w:r>
    </w:p>
    <w:p>
      <w:pPr>
        <w:pStyle w:val="ListNumber"/>
      </w:pPr>
      <w:r>
        <w:t>Ler a síntese territorial na Visão Geral, com fonte e competência.</w:t>
      </w:r>
    </w:p>
    <w:p>
      <w:pPr>
        <w:pStyle w:val="ListNumber"/>
      </w:pPr>
      <w:r>
        <w:t>Aprofundar a análise em Epidemiologia, Internações, Vacinação, Insumos ou Alertas.</w:t>
      </w:r>
    </w:p>
    <w:p>
      <w:pPr>
        <w:pStyle w:val="ListNumber"/>
      </w:pPr>
      <w:r>
        <w:t>Priorizar sinais de risco de aquisição na Central de Alertas.</w:t>
      </w:r>
    </w:p>
    <w:p>
      <w:pPr>
        <w:pStyle w:val="ListNumber"/>
      </w:pPr>
      <w:r>
        <w:t>Pedir à Clara que explique o contexto e indique a tela relacionada.</w:t>
      </w:r>
    </w:p>
    <w:p>
      <w:pPr>
        <w:pStyle w:val="ListNumber"/>
      </w:pPr>
      <w:r>
        <w:t>Confirmar explicitamente qualquer ação que altere estado.</w:t>
      </w:r>
    </w:p>
    <w:p>
      <w:pPr>
        <w:pStyle w:val="ListNumber"/>
      </w:pPr>
      <w:r>
        <w:t>Revisar dados e texto no Gerador de ETP.</w:t>
      </w:r>
    </w:p>
    <w:p>
      <w:pPr>
        <w:pStyle w:val="ListNumber"/>
      </w:pPr>
      <w:r>
        <w:t>Baixar o PDF e consultar o histórico da sessão.</w:t>
      </w:r>
    </w:p>
    <w:p>
      <w:pPr>
        <w:pStyle w:val="Heading1"/>
      </w:pPr>
      <w:r>
        <w:t>5. O que está implementado hoje</w:t>
      </w:r>
    </w:p>
    <w:p>
      <w:pPr>
        <w:pStyle w:val="Heading2"/>
      </w:pPr>
      <w:r>
        <w:t>Experiência web</w:t>
      </w:r>
    </w:p>
    <w:p>
      <w:pPr>
        <w:pStyle w:val="ListBullet"/>
      </w:pPr>
      <w:r>
        <w:t>Aplicação responsiva com login, navegação por tarefas, skeletons e mensagens honestas de indisponibilidade.</w:t>
      </w:r>
    </w:p>
    <w:p>
      <w:pPr>
        <w:pStyle w:val="ListBullet"/>
      </w:pPr>
      <w:r>
        <w:t>Seletor de município compartilhado entre telas municipais.</w:t>
      </w:r>
    </w:p>
    <w:p>
      <w:pPr>
        <w:pStyle w:val="ListBullet"/>
      </w:pPr>
      <w:r>
        <w:t>Separação visual entre ambiente real e demonstração histórica.</w:t>
      </w:r>
    </w:p>
    <w:p>
      <w:pPr>
        <w:pStyle w:val="ListBullet"/>
      </w:pPr>
      <w:r>
        <w:t>Telas de Visão Geral, Alertas, Insumos, Documentos, Epidemiologia, Internações, Vacinação, Configurações e Perfil.</w:t>
      </w:r>
    </w:p>
    <w:p>
      <w:pPr>
        <w:pStyle w:val="Heading2"/>
      </w:pPr>
      <w:r>
        <w:t>Dados e análises</w:t>
      </w:r>
    </w:p>
    <w:p>
      <w:pPr>
        <w:pStyle w:val="ListBullet"/>
      </w:pPr>
      <w:r>
        <w:t>Contratos autenticados para as principais telas operacionais.</w:t>
      </w:r>
    </w:p>
    <w:p>
      <w:pPr>
        <w:pStyle w:val="ListBullet"/>
      </w:pPr>
      <w:r>
        <w:t>Visão Geral com KPIs, série, risco agregado, evolução de casos, recorte regional, categorias e alertas.</w:t>
      </w:r>
    </w:p>
    <w:p>
      <w:pPr>
        <w:pStyle w:val="ListBullet"/>
      </w:pPr>
      <w:r>
        <w:t>Epidemiologia municipal com SINAN, perfil demográfico, sazonalidade e previsão quando a série permite.</w:t>
      </w:r>
    </w:p>
    <w:p>
      <w:pPr>
        <w:pStyle w:val="ListBullet"/>
      </w:pPr>
      <w:r>
        <w:t>Internações SIH por estabelecimento/CNES e agregado estadual, respeitando a granularidade da fonte.</w:t>
      </w:r>
    </w:p>
    <w:p>
      <w:pPr>
        <w:pStyle w:val="ListBullet"/>
      </w:pPr>
      <w:r>
        <w:t>Vacinação com ressalvas explícitas sobre série curta, recortes e ausência de causalidade.</w:t>
      </w:r>
    </w:p>
    <w:p>
      <w:pPr>
        <w:pStyle w:val="ListBullet"/>
      </w:pPr>
      <w:r>
        <w:t>Insumos e Alertas tratados como risco de aquisição quando não existe estoque local verificável.</w:t>
      </w:r>
    </w:p>
    <w:p>
      <w:pPr>
        <w:pStyle w:val="Heading2"/>
      </w:pPr>
      <w:r>
        <w:t>Clara e convergência</w:t>
      </w:r>
    </w:p>
    <w:p>
      <w:pPr>
        <w:pStyle w:val="ListBullet"/>
      </w:pPr>
      <w:r>
        <w:t>Painel conversacional com histórico, contexto de tela e referências de navegação.</w:t>
      </w:r>
    </w:p>
    <w:p>
      <w:pPr>
        <w:pStyle w:val="ListBullet"/>
      </w:pPr>
      <w:r>
        <w:t>Rotas determinísticas para perguntas operacionais de alta confiança e modelo de linguagem para formulação da resposta.</w:t>
      </w:r>
    </w:p>
    <w:p>
      <w:pPr>
        <w:pStyle w:val="ListBullet"/>
      </w:pPr>
      <w:r>
        <w:t>Ferramentas de consulta com artefatos estruturados baseados no retorno real.</w:t>
      </w:r>
    </w:p>
    <w:p>
      <w:pPr>
        <w:pStyle w:val="ListBullet"/>
      </w:pPr>
      <w:r>
        <w:t>Confirmação obrigatória antes de ferramentas que alteram estado.</w:t>
      </w:r>
    </w:p>
    <w:p>
      <w:pPr>
        <w:pStyle w:val="ListBullet"/>
      </w:pPr>
      <w:r>
        <w:t>Pareamento com Telegram e suporte a áudio com transcrição local quando a infraestrutura está configurada.</w:t>
      </w:r>
    </w:p>
    <w:p>
      <w:pPr>
        <w:pStyle w:val="Heading2"/>
      </w:pPr>
      <w:r>
        <w:t>Demo histórica e ETP</w:t>
      </w:r>
    </w:p>
    <w:p>
      <w:pPr>
        <w:pStyle w:val="ListBullet"/>
      </w:pPr>
      <w:r>
        <w:t>Replay de dengue 2024 separado do modo real.</w:t>
      </w:r>
    </w:p>
    <w:p>
      <w:pPr>
        <w:pStyle w:val="ListBullet"/>
      </w:pPr>
      <w:r>
        <w:t>Casos históricos reais; estoque, preços e economia são premissas fictícias e rotuladas.</w:t>
      </w:r>
    </w:p>
    <w:p>
      <w:pPr>
        <w:pStyle w:val="ListBullet"/>
      </w:pPr>
      <w:r>
        <w:t>Fluxo de ETP em quatro etapas, com texto editável e revisão humana obrigatória.</w:t>
      </w:r>
    </w:p>
    <w:p>
      <w:pPr>
        <w:pStyle w:val="ListBullet"/>
      </w:pPr>
      <w:r>
        <w:t>Download em PDF e histórico da sessão.</w:t>
      </w:r>
    </w:p>
    <w:p>
      <w:pPr>
        <w:pStyle w:val="Callout"/>
      </w:pPr>
      <w:r>
        <w:t>Validação automatizada em 01/09/2026: 130 testes Python aprovados e build de produção do frontend aprovado. Isso não equivale a validação clínica, jurídica, visual completa ou prontidão para produção.</w:t>
      </w:r>
    </w:p>
    <w:p>
      <w:pPr>
        <w:pStyle w:val="Heading1"/>
      </w:pPr>
      <w:r>
        <w:t>6. O que o SusPredict não faz</w:t>
      </w:r>
    </w:p>
    <w:p>
      <w:pPr>
        <w:pStyle w:val="ListBullet"/>
      </w:pPr>
      <w:r>
        <w:t>Não monitora estoque físico em tempo real sem fonte local de estoque e consumo.</w:t>
      </w:r>
    </w:p>
    <w:p>
      <w:pPr>
        <w:pStyle w:val="ListBullet"/>
      </w:pPr>
      <w:r>
        <w:t>Não transforma compras públicas em saldo, consumo real ou dias de cobertura.</w:t>
      </w:r>
    </w:p>
    <w:p>
      <w:pPr>
        <w:pStyle w:val="ListBullet"/>
      </w:pPr>
      <w:r>
        <w:t>Não mede ocupação hospitalar em tempo real.</w:t>
      </w:r>
    </w:p>
    <w:p>
      <w:pPr>
        <w:pStyle w:val="ListBullet"/>
      </w:pPr>
      <w:r>
        <w:t>Não corrige subnotificação nem garante que todo registro de origem esteja correto.</w:t>
      </w:r>
    </w:p>
    <w:p>
      <w:pPr>
        <w:pStyle w:val="ListBullet"/>
      </w:pPr>
      <w:r>
        <w:t>Não comprova causalidade entre vacinação e desfechos.</w:t>
      </w:r>
    </w:p>
    <w:p>
      <w:pPr>
        <w:pStyle w:val="ListBullet"/>
      </w:pPr>
      <w:r>
        <w:t>Não diagnostica pacientes nem prescreve condutas clínicas.</w:t>
      </w:r>
    </w:p>
    <w:p>
      <w:pPr>
        <w:pStyle w:val="ListBullet"/>
      </w:pPr>
      <w:r>
        <w:t>Não executa automaticamente compras ou licitações.</w:t>
      </w:r>
    </w:p>
    <w:p>
      <w:pPr>
        <w:pStyle w:val="ListBullet"/>
      </w:pPr>
      <w:r>
        <w:t>Não produz um ETP juridicamente aprovado; gera um rascunho para revisão.</w:t>
      </w:r>
    </w:p>
    <w:p>
      <w:pPr>
        <w:pStyle w:val="ListBullet"/>
      </w:pPr>
      <w:r>
        <w:t>Não deve apresentar dados de demo como situação operacional presente.</w:t>
      </w:r>
    </w:p>
    <w:p>
      <w:pPr>
        <w:pStyle w:val="ListBullet"/>
      </w:pPr>
      <w:r>
        <w:t>Não possui ainda maturidade multi-tenant para escala produtiva.</w:t>
      </w:r>
    </w:p>
    <w:p>
      <w:pPr>
        <w:pStyle w:val="Heading1"/>
      </w:pPr>
      <w:r>
        <w:t>7. O que ainda está WIP</w:t>
      </w:r>
    </w:p>
    <w:p>
      <w:pPr>
        <w:pStyle w:val="Heading2"/>
      </w:pPr>
      <w:r>
        <w:t>Produto e dados</w:t>
      </w:r>
    </w:p>
    <w:p>
      <w:pPr>
        <w:pStyle w:val="ListBullet"/>
      </w:pPr>
      <w:r>
        <w:t>Integração real com estoque, consumo, pedidos em trânsito e prazo de compra de uma secretaria.</w:t>
      </w:r>
    </w:p>
    <w:p>
      <w:pPr>
        <w:pStyle w:val="ListBullet"/>
      </w:pPr>
      <w:r>
        <w:t>Validação clínica e operacional da relação entre casos e consumo de cada insumo.</w:t>
      </w:r>
    </w:p>
    <w:p>
      <w:pPr>
        <w:pStyle w:val="ListBullet"/>
      </w:pPr>
      <w:r>
        <w:t>Importação CSV/XLSX com mapeamento, validação, deduplicação, prévia e desfazer.</w:t>
      </w:r>
    </w:p>
    <w:p>
      <w:pPr>
        <w:pStyle w:val="ListBullet"/>
      </w:pPr>
      <w:r>
        <w:t>Piloto com município e medição de resultados reais.</w:t>
      </w:r>
    </w:p>
    <w:p>
      <w:pPr>
        <w:pStyle w:val="Heading2"/>
      </w:pPr>
      <w:r>
        <w:t>Funcionalidades</w:t>
      </w:r>
    </w:p>
    <w:p>
      <w:pPr>
        <w:pStyle w:val="ListBullet"/>
      </w:pPr>
      <w:r>
        <w:t>Persistência completa de ETPs e rascunhos no backend.</w:t>
      </w:r>
    </w:p>
    <w:p>
      <w:pPr>
        <w:pStyle w:val="ListBullet"/>
      </w:pPr>
      <w:r>
        <w:t>Workflow de aprovação, assinatura, versionamento e auditoria documental.</w:t>
      </w:r>
    </w:p>
    <w:p>
      <w:pPr>
        <w:pStyle w:val="ListBullet"/>
      </w:pPr>
      <w:r>
        <w:t>Ocupação/superlotação apenas quando existir fonte verificável.</w:t>
      </w:r>
    </w:p>
    <w:p>
      <w:pPr>
        <w:pStyle w:val="ListBullet"/>
      </w:pPr>
      <w:r>
        <w:t>Notificações externas com operação permanente dos webhooks e canais.</w:t>
      </w:r>
    </w:p>
    <w:p>
      <w:pPr>
        <w:pStyle w:val="Heading2"/>
      </w:pPr>
      <w:r>
        <w:t>Clara, infraestrutura e produção</w:t>
      </w:r>
    </w:p>
    <w:p>
      <w:pPr>
        <w:pStyle w:val="ListBullet"/>
      </w:pPr>
      <w:r>
        <w:t>Avaliação sistemática da Clara com perguntas reais.</w:t>
      </w:r>
    </w:p>
    <w:p>
      <w:pPr>
        <w:pStyle w:val="ListBullet"/>
      </w:pPr>
      <w:r>
        <w:t>Validação ao vivo recorrente do runtime Ollama/Qwen no Ubuntu.</w:t>
      </w:r>
    </w:p>
    <w:p>
      <w:pPr>
        <w:pStyle w:val="ListBullet"/>
      </w:pPr>
      <w:r>
        <w:t>Observabilidade, retenção, monitoramento e controles de custo.</w:t>
      </w:r>
    </w:p>
    <w:p>
      <w:pPr>
        <w:pStyle w:val="ListBullet"/>
      </w:pPr>
      <w:r>
        <w:t>Isolamento multi-tenant forte, derivado da sessão e de políticas de acesso.</w:t>
      </w:r>
    </w:p>
    <w:p>
      <w:pPr>
        <w:pStyle w:val="ListBullet"/>
      </w:pPr>
      <w:r>
        <w:t>Piloto supervisionado, segurança, LGPD, acessibilidade formal e validação jurídica.</w:t>
      </w:r>
    </w:p>
    <w:p>
      <w:pPr>
        <w:pStyle w:val="Heading1"/>
      </w:pPr>
      <w:r>
        <w:t>8. Como ler corretamente os dados</w:t>
      </w:r>
    </w:p>
    <w:p>
      <w:pPr>
        <w:pStyle w:val="ListBullet"/>
      </w:pPr>
      <w:r>
        <w:t>SINAN: notificações e investigações; pode haver atraso e subnotificação.</w:t>
      </w:r>
    </w:p>
    <w:p>
      <w:pPr>
        <w:pStyle w:val="ListBullet"/>
      </w:pPr>
      <w:r>
        <w:t>SIH/SUS: autorizações de internação financiadas pelo SUS; não é ocupação em tempo real.</w:t>
      </w:r>
    </w:p>
    <w:p>
      <w:pPr>
        <w:pStyle w:val="ListBullet"/>
      </w:pPr>
      <w:r>
        <w:t>Compras públicas curadas: evidenciam aquisição e fornecedores; não equivalem a estoque atual.</w:t>
      </w:r>
    </w:p>
    <w:p>
      <w:pPr>
        <w:pStyle w:val="ListBullet"/>
      </w:pPr>
      <w:r>
        <w:t>Estoque local: permite saldo e cobertura quando atualizado e com unidades/consumo válidos.</w:t>
      </w:r>
    </w:p>
    <w:p>
      <w:pPr>
        <w:pStyle w:val="ListBullet"/>
      </w:pPr>
      <w:r>
        <w:t>Demo histórica: casos reais e premissas fictícias explicitamente rotuladas para estoque, preços e economia.</w:t>
      </w:r>
    </w:p>
    <w:p>
      <w:pPr>
        <w:pStyle w:val="Heading1"/>
      </w:pPr>
      <w:r>
        <w:t>9. Estrutura sugerida para os slides</w:t>
      </w:r>
    </w:p>
    <w:p>
      <w:pPr>
        <w:pStyle w:val="ListNumber"/>
      </w:pPr>
      <w:r>
        <w:t>Título e tese: do dado disperso à decisão antecipada.</w:t>
      </w:r>
    </w:p>
    <w:p>
      <w:pPr>
        <w:pStyle w:val="ListNumber"/>
      </w:pPr>
      <w:r>
        <w:t>Problema: dados e processos separados levam a reações tardias.</w:t>
      </w:r>
    </w:p>
    <w:p>
      <w:pPr>
        <w:pStyle w:val="ListNumber"/>
      </w:pPr>
      <w:r>
        <w:t>Público: a gestora que precisa decidir sem uma grande equipe de dados.</w:t>
      </w:r>
    </w:p>
    <w:p>
      <w:pPr>
        <w:pStyle w:val="ListNumber"/>
      </w:pPr>
      <w:r>
        <w:t>Solução: observar, interpretar, priorizar e agir.</w:t>
      </w:r>
    </w:p>
    <w:p>
      <w:pPr>
        <w:pStyle w:val="ListNumber"/>
      </w:pPr>
      <w:r>
        <w:t>Como funciona: fluxo em linguagem de negócio.</w:t>
      </w:r>
    </w:p>
    <w:p>
      <w:pPr>
        <w:pStyle w:val="ListNumber"/>
      </w:pPr>
      <w:r>
        <w:t>Demonstração: replay de dengue, do sinal ao ETP.</w:t>
      </w:r>
    </w:p>
    <w:p>
      <w:pPr>
        <w:pStyle w:val="ListNumber"/>
      </w:pPr>
      <w:r>
        <w:t>Clara: explicação e continuidade entre canais com guardrails.</w:t>
      </w:r>
    </w:p>
    <w:p>
      <w:pPr>
        <w:pStyle w:val="ListNumber"/>
      </w:pPr>
      <w:r>
        <w:t>Confiança: fontes, competência, limites e revisão humana.</w:t>
      </w:r>
    </w:p>
    <w:p>
      <w:pPr>
        <w:pStyle w:val="ListNumber"/>
      </w:pPr>
      <w:r>
        <w:t>O que já existe: produto navegável e capacidades demonstráveis.</w:t>
      </w:r>
    </w:p>
    <w:p>
      <w:pPr>
        <w:pStyle w:val="ListNumber"/>
      </w:pPr>
      <w:r>
        <w:t>Limites e WIP: dados locais, validações, piloto e escala.</w:t>
      </w:r>
    </w:p>
    <w:p>
      <w:pPr>
        <w:pStyle w:val="ListNumber"/>
      </w:pPr>
      <w:r>
        <w:t>Roadmap: do MVP acadêmico ao piloto municipal.</w:t>
      </w:r>
    </w:p>
    <w:p>
      <w:pPr>
        <w:pStyle w:val="ListNumber"/>
      </w:pPr>
      <w:r>
        <w:t>Fechamento: antecipar para planejar, em vez de reagir quando a crise chegou.</w:t>
      </w:r>
    </w:p>
    <w:p>
      <w:pPr>
        <w:pStyle w:val="Heading2"/>
      </w:pPr>
      <w:r>
        <w:t>Regras para o agente de slides</w:t>
      </w:r>
    </w:p>
    <w:p>
      <w:pPr>
        <w:pStyle w:val="ListBullet"/>
      </w:pPr>
      <w:r>
        <w:t>Uma ideia principal por slide e pouco texto.</w:t>
      </w:r>
    </w:p>
    <w:p>
      <w:pPr>
        <w:pStyle w:val="ListBullet"/>
      </w:pPr>
      <w:r>
        <w:t>Priorizar história, problema, impacto e jornada; tecnologia entra como prova de viabilidade.</w:t>
      </w:r>
    </w:p>
    <w:p>
      <w:pPr>
        <w:pStyle w:val="ListBullet"/>
      </w:pPr>
      <w:r>
        <w:t>Não abrir com stack, endpoints, banco ou nomes de modelos.</w:t>
      </w:r>
    </w:p>
    <w:p>
      <w:pPr>
        <w:pStyle w:val="ListBullet"/>
      </w:pPr>
      <w:r>
        <w:t>Não apresentar valores da demo como resultados reais.</w:t>
      </w:r>
    </w:p>
    <w:p>
      <w:pPr>
        <w:pStyle w:val="ListBullet"/>
      </w:pPr>
      <w:r>
        <w:t>Não dizer “tempo real” para DATASUS, SIH, CNES ou compras públicas.</w:t>
      </w:r>
    </w:p>
    <w:p>
      <w:pPr>
        <w:pStyle w:val="ListBullet"/>
      </w:pPr>
      <w:r>
        <w:t>Não prometer redução de custo ou previsão de ruptura real sem piloto validado.</w:t>
      </w:r>
    </w:p>
    <w:p>
      <w:pPr>
        <w:pStyle w:val="ListBullet"/>
      </w:pPr>
      <w:r>
        <w:t>Identificar sempre: implementado, demo, validação local, dependência externa ou roadmap.</w:t>
      </w:r>
    </w:p>
    <w:p>
      <w:pPr>
        <w:pStyle w:val="ListBullet"/>
      </w:pPr>
      <w:r>
        <w:t>Preferir capturas da jornada e diagramas simples a tabelas densas.</w:t>
      </w:r>
    </w:p>
    <w:p>
      <w:pPr>
        <w:pStyle w:val="Heading1"/>
      </w:pPr>
      <w:r>
        <w:t>10. Roteiro recomendado da demonstração</w:t>
      </w:r>
    </w:p>
    <w:p>
      <w:pPr>
        <w:pStyle w:val="Callout"/>
      </w:pPr>
      <w:r>
        <w:t>Frase obrigatória: Os casos de dengue são históricos reais; estoque, preços e economia são um cenário demonstrativo fictício.</w:t>
      </w:r>
    </w:p>
    <w:p>
      <w:pPr>
        <w:pStyle w:val="ListNumber"/>
      </w:pPr>
      <w:r>
        <w:t>Abrir a demo histórica em janeiro de 2024.</w:t>
      </w:r>
    </w:p>
    <w:p>
      <w:pPr>
        <w:pStyle w:val="ListNumber"/>
      </w:pPr>
      <w:r>
        <w:t>Avançar para fevereiro e mostrar a aceleração epidemiológica.</w:t>
      </w:r>
    </w:p>
    <w:p>
      <w:pPr>
        <w:pStyle w:val="ListNumber"/>
      </w:pPr>
      <w:r>
        <w:t>Avançar para março e mostrar a janela operacional diminuindo.</w:t>
      </w:r>
    </w:p>
    <w:p>
      <w:pPr>
        <w:pStyle w:val="ListNumber"/>
      </w:pPr>
      <w:r>
        <w:t>Parar em abril e destacar item crítico, ruptura estimada e ação sugerida.</w:t>
      </w:r>
    </w:p>
    <w:p>
      <w:pPr>
        <w:pStyle w:val="ListNumber"/>
      </w:pPr>
      <w:r>
        <w:t>Abrir o Gerador de ETP e mostrar origem e revisão obrigatória.</w:t>
      </w:r>
    </w:p>
    <w:p>
      <w:pPr>
        <w:pStyle w:val="ListNumber"/>
      </w:pPr>
      <w:r>
        <w:t>Gerar o documento e abrir o histórico.</w:t>
      </w:r>
    </w:p>
    <w:p>
      <w:r>
        <w:t>O objetivo não é explicar cada gráfico. É provar que o sistema liga sinal, prioridade, evidência e ação.</w:t>
      </w:r>
    </w:p>
    <w:p>
      <w:pPr>
        <w:pStyle w:val="Heading1"/>
      </w:pPr>
      <w:r>
        <w:t>11. Perguntas prováveis da banca</w:t>
      </w:r>
    </w:p>
    <w:p>
      <w:pPr>
        <w:pStyle w:val="Heading2"/>
      </w:pPr>
      <w:r>
        <w:t>De onde vem o dado?</w:t>
      </w:r>
    </w:p>
    <w:p>
      <w:r>
        <w:t>SINAN para notificações; SIH para internações financiadas pelo SUS; tabelas curadas de compras para sinais de aquisição; e dados locais quando cadastrados. Cada tela deve mostrar fonte e competência.</w:t>
      </w:r>
    </w:p>
    <w:p>
      <w:pPr>
        <w:pStyle w:val="Heading2"/>
      </w:pPr>
      <w:r>
        <w:t>A previsão garante que vai faltar medicamento?</w:t>
      </w:r>
    </w:p>
    <w:p>
      <w:r>
        <w:t>Não. Sem estoque e consumo locais atualizados, o sistema apresenta risco de aquisição, não ruptura física. A previsão é apoio à decisão e exige revisão humana.</w:t>
      </w:r>
    </w:p>
    <w:p>
      <w:pPr>
        <w:pStyle w:val="Heading2"/>
      </w:pPr>
      <w:r>
        <w:t>Qual é o papel da IA?</w:t>
      </w:r>
    </w:p>
    <w:p>
      <w:r>
        <w:t>A Clara explica, resume, navega e prepara textos. Os números devem vir das fontes e dos cálculos; a IA não executa ações sem confirmação.</w:t>
      </w:r>
    </w:p>
    <w:p>
      <w:pPr>
        <w:pStyle w:val="Heading2"/>
      </w:pPr>
      <w:r>
        <w:t>O ETP já pode ser usado oficialmente?</w:t>
      </w:r>
    </w:p>
    <w:p>
      <w:r>
        <w:t>É um rascunho contextual para acelerar o trabalho. Precisa de revisão técnica, jurídica e adequação ao processo do órgão.</w:t>
      </w:r>
    </w:p>
    <w:p>
      <w:pPr>
        <w:pStyle w:val="Heading2"/>
      </w:pPr>
      <w:r>
        <w:t>O sistema está pronto para produção?</w:t>
      </w:r>
    </w:p>
    <w:p>
      <w:r>
        <w:t>Não. É um MVP acadêmico funcional e demonstrável. Produção exige piloto, dados locais, segurança, isolamento entre clientes, governança e validações clínica e jurídica.</w:t>
      </w:r>
    </w:p>
    <w:p>
      <w:pPr>
        <w:pStyle w:val="Heading2"/>
      </w:pPr>
      <w:r>
        <w:t>Qual o principal próximo passo?</w:t>
      </w:r>
    </w:p>
    <w:p>
      <w:r>
        <w:t>Pilotar com uma secretaria que forneça estoque e consumo reais, validar os coeficientes e medir se a antecedência melhora o planejamento.</w:t>
      </w:r>
    </w:p>
    <w:p>
      <w:pPr>
        <w:pStyle w:val="Heading1"/>
      </w:pPr>
      <w:r>
        <w:t>12. Roadmap recomendado</w:t>
      </w:r>
    </w:p>
    <w:p>
      <w:pPr>
        <w:pStyle w:val="ListBullet"/>
      </w:pPr>
      <w:r>
        <w:t>Curto prazo: consolidar a demo, corrigir integrações e documentar cada fonte.</w:t>
      </w:r>
    </w:p>
    <w:p>
      <w:pPr>
        <w:pStyle w:val="ListBullet"/>
      </w:pPr>
      <w:r>
        <w:t>Piloto: integrar estoque/consumo real de um município e validar alertas com responsáveis.</w:t>
      </w:r>
    </w:p>
    <w:p>
      <w:pPr>
        <w:pStyle w:val="ListBullet"/>
      </w:pPr>
      <w:r>
        <w:t>Produto: persistir documentos e workflows, fortalecer isolamento e operação dos canais.</w:t>
      </w:r>
    </w:p>
    <w:p>
      <w:pPr>
        <w:pStyle w:val="ListBullet"/>
      </w:pPr>
      <w:r>
        <w:t>Escala: integrar sistemas municipais e expandir territórios somente depois da validação do piloto.</w:t>
      </w:r>
    </w:p>
    <w:p>
      <w:pPr>
        <w:pStyle w:val="Heading1"/>
      </w:pPr>
      <w:r>
        <w:t>13. Fontes</w:t>
      </w:r>
    </w:p>
    <w:p>
      <w:pPr>
        <w:pStyle w:val="Lead"/>
      </w:pPr>
      <w:r>
        <w:t>Fontes oficiais externas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5000"/>
        <w:gridCol w:w="4360"/>
      </w:tblGrid>
      <w:tr>
        <w:trPr>
          <w:tblHeader w:val="true"/>
        </w:trPr>
        <w:tc>
          <w:tcPr>
            <w:tcW w:type="dxa" w:w="5000"/>
            <w:shd w:fill="173F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Fonte</w:t>
            </w:r>
          </w:p>
        </w:tc>
        <w:tc>
          <w:tcPr>
            <w:tcW w:type="dxa" w:w="4360"/>
            <w:shd w:fill="173F3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Uso no projeto / na apresentação</w:t>
            </w:r>
          </w:p>
        </w:tc>
      </w:tr>
      <w:tr>
        <w:tc>
          <w:tcPr>
            <w:tcW w:type="dxa" w:w="5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925"/>
                <w:sz w:val="17"/>
              </w:rPr>
              <w:t>DATASUS - Informações de Saúde (TABNET)</w:t>
              <w:br/>
              <w:t>https://datasus.saude.gov.br/informacoes-de-saude-tabnet/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925"/>
                <w:sz w:val="17"/>
              </w:rPr>
              <w:t>Disponibilidade oficial de informações epidemiológicas e assistenciais, incluindo SINAN e SIH/SUS.</w:t>
            </w:r>
          </w:p>
        </w:tc>
      </w:tr>
      <w:tr>
        <w:tc>
          <w:tcPr>
            <w:tcW w:type="dxa" w:w="5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925"/>
                <w:sz w:val="17"/>
              </w:rPr>
              <w:t>Portal de Dados Abertos do SUS - SINAN/Dengue</w:t>
              <w:br/>
              <w:t>https://dadosabertos.saude.gov.br/dataset/arboviroses-dengue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925"/>
                <w:sz w:val="17"/>
              </w:rPr>
              <w:t>Origem oficial dos arquivos abertos de dengue e descrição da finalidade do SINAN.</w:t>
            </w:r>
          </w:p>
        </w:tc>
      </w:tr>
      <w:tr>
        <w:tc>
          <w:tcPr>
            <w:tcW w:type="dxa" w:w="5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925"/>
                <w:sz w:val="17"/>
              </w:rPr>
              <w:t>Portal SINAN</w:t>
              <w:br/>
              <w:t>https://www.portalsinan.saude.gov.br/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925"/>
                <w:sz w:val="17"/>
              </w:rPr>
              <w:t>Descrição institucional do sistema de notificação e investigação de agravos.</w:t>
            </w:r>
          </w:p>
        </w:tc>
      </w:tr>
      <w:tr>
        <w:tc>
          <w:tcPr>
            <w:tcW w:type="dxa" w:w="5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925"/>
                <w:sz w:val="17"/>
              </w:rPr>
              <w:t>DATASUS - SIH/SUS</w:t>
              <w:br/>
              <w:t>https://siab.datasus.gov.br/DATASUS/index.php?area=060502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925"/>
                <w:sz w:val="17"/>
              </w:rPr>
              <w:t>Finalidade da AIH e do registro de internações financiadas pelo SUS.</w:t>
            </w:r>
          </w:p>
        </w:tc>
      </w:tr>
      <w:tr>
        <w:tc>
          <w:tcPr>
            <w:tcW w:type="dxa" w:w="5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925"/>
                <w:sz w:val="17"/>
              </w:rPr>
              <w:t>Ministério da Saúde - Transparência SIH/SIA</w:t>
              <w:br/>
              <w:t>https://www.gov.br/saude/pt-br/acesso-a-informacao/sic/dados-em-transparencia-ativa/saes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925"/>
                <w:sz w:val="17"/>
              </w:rPr>
              <w:t>Confirma a consulta pública dos dados de produção hospitalar e ambulatorial.</w:t>
            </w:r>
          </w:p>
        </w:tc>
      </w:tr>
      <w:tr>
        <w:tc>
          <w:tcPr>
            <w:tcW w:type="dxa" w:w="5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925"/>
                <w:sz w:val="17"/>
              </w:rPr>
              <w:t>Lei 14.133/2021</w:t>
              <w:br/>
              <w:t>https://www.planalto.gov.br/ccivil_03/_ato2019-2022/2021/lei/l14133.htm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925"/>
                <w:sz w:val="17"/>
              </w:rPr>
              <w:t>Base legal da fase preparatória e do estudo técnico preliminar; não substitui parecer jurídico.</w:t>
            </w:r>
          </w:p>
        </w:tc>
      </w:tr>
      <w:tr>
        <w:tc>
          <w:tcPr>
            <w:tcW w:type="dxa" w:w="5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925"/>
                <w:sz w:val="17"/>
              </w:rPr>
              <w:t>Observatório de Arboviroses - Ministério da Saúde</w:t>
              <w:br/>
              <w:t>https://www.gov.br/saude/pt-br/composicao/svsa/cnie/observatorio-de-arboviroses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925"/>
                <w:sz w:val="17"/>
              </w:rPr>
              <w:t>Contexto oficial sobre detecção precoce, tendências e apoio à decisão em arboviroses.</w:t>
            </w:r>
          </w:p>
        </w:tc>
      </w:tr>
    </w:tbl>
    <w:p>
      <w:pPr>
        <w:pStyle w:val="Heading2"/>
      </w:pPr>
      <w:r>
        <w:t>Fontes internas do projeto</w:t>
      </w:r>
    </w:p>
    <w:p>
      <w:pPr>
        <w:pStyle w:val="ListBullet"/>
      </w:pPr>
      <w:r>
        <w:t>PRODUCT.md - propósito, usuários e princípios do produto.</w:t>
      </w:r>
    </w:p>
    <w:p>
      <w:pPr>
        <w:pStyle w:val="ListBullet"/>
      </w:pPr>
      <w:r>
        <w:t>docs/01-visao-geral.md e docs/02-produto.md - problema, persona, proposta e roadmap original.</w:t>
      </w:r>
    </w:p>
    <w:p>
      <w:pPr>
        <w:pStyle w:val="ListBullet"/>
      </w:pPr>
      <w:r>
        <w:t>docs/04-qualidade-dados.md - limites e tratamentos das bases.</w:t>
      </w:r>
    </w:p>
    <w:p>
      <w:pPr>
        <w:pStyle w:val="ListBullet"/>
      </w:pPr>
      <w:r>
        <w:t>.md/AUDITORIA_PRODUTO_UX.md - auditoria de escopo, confiança, acessibilidade e lacunas.</w:t>
      </w:r>
    </w:p>
    <w:p>
      <w:pPr>
        <w:pStyle w:val="ListBullet"/>
      </w:pPr>
      <w:r>
        <w:t>docs/06-agente-clara.md e docs/documentacao/API_TELEGRAM.md - Clara, ferramentas, confirmação e canais.</w:t>
      </w:r>
    </w:p>
    <w:p>
      <w:pPr>
        <w:pStyle w:val="ListBullet"/>
      </w:pPr>
      <w:r>
        <w:t>docs/superpowers/demo-roteiro-2min-crise-historica-dengue.md - roteiro da demo.</w:t>
      </w:r>
    </w:p>
    <w:p>
      <w:pPr>
        <w:pStyle w:val="ListBullet"/>
      </w:pPr>
      <w:r>
        <w:t>Código atual em api/ e frontend/src/ - fonte de verdade do que está implementado nesta versão.</w:t>
      </w:r>
    </w:p>
    <w:sectPr w:rsidR="00FC693F" w:rsidRPr="0006063C" w:rsidSect="00034616">
      <w:footerReference w:type="default" r:id="rId9"/>
      <w:pgSz w:w="12240" w:h="15840"/>
      <w:pgMar w:top="1181" w:right="1325" w:bottom="1123" w:left="1325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F6B66"/>
        <w:sz w:val="17"/>
      </w:rPr>
      <w:t xml:space="preserve">SusPredict | Briefing para banca  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tos" w:hAnsi="Aptos"/>
      <w:color w:val="20292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F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46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F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720" w:hanging="360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ind w:left="720" w:hanging="360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240" w:line="276" w:lineRule="auto"/>
    </w:pPr>
    <w:rPr>
      <w:rFonts w:ascii="Aptos" w:hAnsi="Aptos"/>
      <w:color w:val="173F3A"/>
      <w:sz w:val="25"/>
    </w:rPr>
  </w:style>
  <w:style w:type="paragraph" w:customStyle="1" w:styleId="Callout">
    <w:name w:val="Callout"/>
    <w:pPr>
      <w:spacing w:before="160" w:after="200" w:line="264" w:lineRule="auto"/>
      <w:ind w:left="259" w:right="259"/>
      <w:shd w:fill="DDEDE8"/>
    </w:pPr>
    <w:rPr>
      <w:rFonts w:ascii="Aptos" w:hAnsi="Aptos"/>
      <w:color w:val="173F3A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SusPredict - Briefing completo para apresentação da banca</dc:title>
  <dc:subject>Produto, escopo, limites, WIP e orientação para criação de slides</dc:subject>
  <dc:creator>Equipe SusPredict</dc:creator>
  <cp:keywords>SusPredict, FIAP, banca, DATASUS, dengue, Clara, ETP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