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Briefing de Marca e Experiência do SaaS Jurídico</w:t>
      </w:r>
    </w:p>
    <w:p>
      <w:pPr>
        <w:pStyle w:val="Subtitle"/>
      </w:pPr>
      <w:r>
        <w:t>Direção visual, identidade, interface, responsividade e motion design</w:t>
      </w:r>
    </w:p>
    <w:p>
      <w:r>
        <w:t>Versão 1.0 | Setembro de 2026</w:t>
      </w:r>
    </w:p>
    <w:p>
      <w:r>
        <w:t>Produto: plataforma de gestão para escritórios de advocacia e portal do cliente</w:t>
      </w:r>
    </w:p>
    <w:p>
      <w:r>
        <w:t>Nome definitivo: a validar</w:t>
      </w:r>
    </w:p>
    <w:p>
      <w:pPr>
        <w:pStyle w:val="Heading1"/>
      </w:pPr>
      <w:r>
        <w:t>Direção recomendada</w:t>
      </w:r>
    </w:p>
    <w:p>
      <w:r>
        <w:t>A marca deve transmitir controle, clareza e confiança sem parecer antiquada. A experiência combina uma base azul petróleo e grafite, superfícies limpas, detalhes em verde azulado e tipografia humana. O resultado deve lembrar um produto B2B maduro, não um template genérico de legaltech nem uma interface produzida automaticamente.</w:t>
      </w:r>
    </w:p>
    <w:p>
      <w:r>
        <w:t>O conceito visual recomendado é Jurídico Contemporâneo. Ele evita balanças, martelos, colunas gregas, dourado excessivo, gradientes roxos, ilustrações 3D genéricas e excesso de cards. A personalidade aparece na composição, no texto, na hierarquia e nos pequenos detalhes de interação.</w:t>
      </w:r>
    </w:p>
    <w:p>
      <w:r>
        <w:br w:type="page"/>
      </w:r>
    </w:p>
    <w:p>
      <w:pPr>
        <w:pStyle w:val="Heading1"/>
      </w:pPr>
      <w:r>
        <w:t>1 Objetivo do briefing</w:t>
      </w:r>
    </w:p>
    <w:p>
      <w:r>
        <w:t>Este documento traduz o plano de negócio em diretrizes de marca e produto para orientar naming, design do site público, aplicativo web, portal do cliente e futuras peças de comunicação. Deve servir como referência para UI Design, UX, front-end, marketing e validação do protótipo.</w:t>
      </w:r>
    </w:p>
    <w:p>
      <w:pPr>
        <w:pStyle w:val="Heading2"/>
      </w:pPr>
      <w:r>
        <w:t>1.1 Princípios da experiência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944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Princípio</w:t>
            </w:r>
          </w:p>
        </w:tc>
        <w:tc>
          <w:tcPr>
            <w:tcW w:type="dxa" w:w="7704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Como aparece na interface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Clareza</w:t>
            </w:r>
          </w:p>
        </w:tc>
        <w:tc>
          <w:tcPr>
            <w:tcW w:type="dxa" w:w="77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Status explicados, textos diretos, hierarquia forte e próximos passos visíveis.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Controle</w:t>
            </w:r>
          </w:p>
        </w:tc>
        <w:tc>
          <w:tcPr>
            <w:tcW w:type="dxa" w:w="77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Prazos, responsáveis, permissões, histórico e ações críticas com confirmação.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Confiança</w:t>
            </w:r>
          </w:p>
        </w:tc>
        <w:tc>
          <w:tcPr>
            <w:tcW w:type="dxa" w:w="77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Visual sóbrio, estados completos, dados bem organizados e segurança perceptível.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Humanidade</w:t>
            </w:r>
          </w:p>
        </w:tc>
        <w:tc>
          <w:tcPr>
            <w:tcW w:type="dxa" w:w="77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Linguagem acessível, espaços naturais, fotografia real e movimento discreto.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Eficiência</w:t>
            </w:r>
          </w:p>
        </w:tc>
        <w:tc>
          <w:tcPr>
            <w:tcW w:type="dxa" w:w="77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Atalhos, filtros úteis, formulários objetivos e densidade adequada ao trabalho jurídico.</w:t>
            </w:r>
          </w:p>
        </w:tc>
      </w:tr>
    </w:tbl>
    <w:p>
      <w:pPr>
        <w:spacing w:after="20"/>
      </w:pPr>
    </w:p>
    <w:p>
      <w:pPr>
        <w:pStyle w:val="Heading2"/>
      </w:pPr>
      <w:r>
        <w:t>1.2 Público e contexto</w:t>
      </w:r>
    </w:p>
    <w:p>
      <w:pPr>
        <w:pStyle w:val="ListBullet"/>
        <w:spacing w:after="40"/>
      </w:pPr>
      <w:r>
        <w:t>Sócios e gestores que precisam enxergar riscos, carga da equipe e saúde da carteira.</w:t>
      </w:r>
    </w:p>
    <w:p>
      <w:pPr>
        <w:pStyle w:val="ListBullet"/>
        <w:spacing w:after="40"/>
      </w:pPr>
      <w:r>
        <w:t>Advogados e assistentes que passam grande parte do dia em listas, documentos, prazos e casos.</w:t>
      </w:r>
    </w:p>
    <w:p>
      <w:pPr>
        <w:pStyle w:val="ListBullet"/>
        <w:spacing w:after="40"/>
      </w:pPr>
      <w:r>
        <w:t>Clientes que precisam entender o andamento sem dominar linguagem jurídica.</w:t>
      </w:r>
    </w:p>
    <w:p>
      <w:pPr>
        <w:pStyle w:val="ListBullet"/>
        <w:spacing w:after="40"/>
      </w:pPr>
      <w:r>
        <w:t>Uso recorrente em desktop no escritório, com consultas e aprovações rápidas no celular e tablet.</w:t>
      </w:r>
    </w:p>
    <w:p>
      <w:pPr>
        <w:pStyle w:val="Heading1"/>
      </w:pPr>
      <w:r>
        <w:t>2 Possíveis nomes</w:t>
      </w:r>
    </w:p>
    <w:p>
      <w:r>
        <w:t>Os nomes abaixo são direções criativas. Antes da escolha final, é indispensável validar disponibilidade de marca no INPI, domínio, redes sociais e eventuais conflitos com softwares jurídicos ou escritórios existentes.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656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3096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Ideia</w:t>
            </w:r>
          </w:p>
        </w:tc>
        <w:tc>
          <w:tcPr>
            <w:tcW w:type="dxa" w:w="1944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Tom</w:t>
            </w:r>
          </w:p>
        </w:tc>
        <w:tc>
          <w:tcPr>
            <w:tcW w:type="dxa" w:w="2952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JurisVia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 caminho organizado de cada caso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Profissional e acessível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Melhor equilíbrio entre produto jurídico e jornada.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CasoClaro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Clareza para escritório e cliente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Humano e direto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Excelente para o diferencial do portal do cliente.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Nexo Legal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Conecta equipe, cliente e informação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Corporativo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Boa extensão para integrações e ecossistema.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Lume Jurídico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Ilumina o próximo passo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Elegante e humano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Forte para comunicação, menos técnico.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Pauta Legal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Organização da rotina jurídica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Prático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Aproxima o produto do trabalho diário.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JurisFlow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Fluxo operacional do escritório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Tecnológico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Entendimento rápido, porém mais genérico.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Forvia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Fórum mais via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Premium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Curto e proprietário, exige construção de significado.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Veritae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Referência à verdade e confiança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Institucional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Mais sofisticado, pronúncia precisa ser testada.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Lexora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Universo legal contemporâneo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Premium digital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Sonoridade moderna; verificar associações existentes.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Trama Legal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Relações e eventos conectados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Editorial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Diferente e memorável, menos tradicional.</w:t>
            </w:r>
          </w:p>
        </w:tc>
      </w:tr>
    </w:tbl>
    <w:p>
      <w:pPr>
        <w:spacing w:after="20"/>
      </w:pPr>
    </w:p>
    <w:p>
      <w:pPr>
        <w:pStyle w:val="Heading2"/>
      </w:pPr>
      <w:r>
        <w:t>2.1 Recomendação de shortlist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224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1944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6408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Quando escolher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JurisVia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 a marca quiser equilibrar seriedade, clareza e possibilidade de expansão.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CasoClaro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Se a experiência do cliente for o principal argumento comercial.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Nexo Legal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 o posicionamento priorizar integração, operação e escritórios estruturados.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 Conceito de marca</w:t>
      </w:r>
    </w:p>
    <w:p>
      <w:pPr>
        <w:pStyle w:val="Heading2"/>
      </w:pPr>
      <w:r>
        <w:t>3.1 Personalidade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824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 marca é</w:t>
            </w:r>
          </w:p>
        </w:tc>
        <w:tc>
          <w:tcPr>
            <w:tcW w:type="dxa" w:w="4824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 marca não é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Clara, firme, organizada e discreta</w:t>
            </w:r>
          </w:p>
        </w:tc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Fria, burocrática ou distante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Contemporânea e tecnológica</w:t>
            </w:r>
          </w:p>
        </w:tc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Futurista, neon ou carregada de efeitos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Séria sem ser antiquada</w:t>
            </w:r>
          </w:p>
        </w:tc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Cheia de símbolos jurídicos óbvios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Humana e objetiva</w:t>
            </w:r>
          </w:p>
        </w:tc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Casual demais ou repleta de slogans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Premium pela qualidade</w:t>
            </w:r>
          </w:p>
        </w:tc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Luxuosa pelo dourado e ornamento</w:t>
            </w:r>
          </w:p>
        </w:tc>
      </w:tr>
    </w:tbl>
    <w:p>
      <w:pPr>
        <w:spacing w:after="20"/>
      </w:pPr>
    </w:p>
    <w:p>
      <w:pPr>
        <w:pStyle w:val="Heading2"/>
      </w:pPr>
      <w:r>
        <w:t>3.2 Voz da marca</w:t>
      </w:r>
    </w:p>
    <w:p>
      <w:pPr>
        <w:pStyle w:val="ListBullet"/>
        <w:spacing w:after="40"/>
      </w:pPr>
      <w:r>
        <w:t>Frases curtas, verbos de ação e termos conhecidos pelo usuário.</w:t>
      </w:r>
    </w:p>
    <w:p>
      <w:pPr>
        <w:pStyle w:val="ListBullet"/>
        <w:spacing w:after="40"/>
      </w:pPr>
      <w:r>
        <w:t>No painel interno, precisão profissional. No portal do cliente, tradução clara sem simplificação enganosa.</w:t>
      </w:r>
    </w:p>
    <w:p>
      <w:pPr>
        <w:pStyle w:val="ListBullet"/>
        <w:spacing w:after="40"/>
      </w:pPr>
      <w:r>
        <w:t>Evitar promessas absolutas como nunca perca um prazo ou garantia de resultado.</w:t>
      </w:r>
    </w:p>
    <w:p>
      <w:pPr>
        <w:pStyle w:val="ListBullet"/>
        <w:spacing w:after="40"/>
      </w:pPr>
      <w:r>
        <w:t>Evitar texto promocional genérico como revolucione sua advocacia com inteligência.</w:t>
      </w:r>
    </w:p>
    <w:p>
      <w:pPr>
        <w:pStyle w:val="ListBullet"/>
        <w:spacing w:after="40"/>
      </w:pPr>
      <w:r>
        <w:t>Usar exemplos reais de tarefa: Solicitar comprovante, Revisar procuração, Publicar atualização.</w:t>
      </w:r>
    </w:p>
    <w:p>
      <w:pPr>
        <w:pStyle w:val="Heading2"/>
      </w:pPr>
      <w:r>
        <w:t>3.3 Direção do símbolo</w:t>
      </w:r>
    </w:p>
    <w:p>
      <w:r>
        <w:t>O símbolo pode partir de uma rota, ligação ou marca de progresso construída com geometria simples. Para JurisVia, a proposta mais coerente é unir as letras J e V em duas linhas que formam um caminho e um ponto de chegada. O ícone deve funcionar em 16 px, sem balança, martelo, coluna, escudo ou monograma excessivamente decorativo.</w:t>
      </w:r>
    </w:p>
    <w:p>
      <w:pPr>
        <w:pStyle w:val="Heading1"/>
      </w:pPr>
      <w:r>
        <w:t>4 Sistema de cores</w:t>
      </w:r>
    </w:p>
    <w:p>
      <w:r>
        <w:t>A paleta recomendada usa azul petróleo como base de confiança e verde azulado como sinal de progresso. O azul de ação é reservado a elementos interativos. Âmbar e vermelho aparecem apenas em estados de atenção e erro.</w:t>
      </w:r>
    </w:p>
    <w:p>
      <w:pPr>
        <w:pStyle w:val="Heading2"/>
      </w:pPr>
      <w:r>
        <w:t>4.1 Paleta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08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Cor</w:t>
            </w:r>
          </w:p>
        </w:tc>
        <w:tc>
          <w:tcPr>
            <w:tcW w:type="dxa" w:w="1037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Amostra</w:t>
            </w:r>
          </w:p>
        </w:tc>
        <w:tc>
          <w:tcPr>
            <w:tcW w:type="dxa" w:w="165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type="dxa" w:w="482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Aplicação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Ink</w:t>
            </w:r>
          </w:p>
        </w:tc>
        <w:tc>
          <w:tcPr>
            <w:tcW w:type="dxa" w:w="1037"/>
            <w:shd w:fill="102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#102A43</w:t>
            </w:r>
          </w:p>
        </w:tc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Marca, títulos e navegação principal</w:t>
            </w:r>
          </w:p>
        </w:tc>
      </w:tr>
      <w:tr>
        <w:trPr>
          <w:cantSplit/>
        </w:trPr>
        <w:tc>
          <w:tcPr>
            <w:tcW w:type="dxa" w:w="2088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Action Blue</w:t>
            </w:r>
          </w:p>
        </w:tc>
        <w:tc>
          <w:tcPr>
            <w:tcW w:type="dxa" w:w="1037"/>
            <w:shd w:fill="2563E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#2563EB</w:t>
            </w:r>
          </w:p>
        </w:tc>
        <w:tc>
          <w:tcPr>
            <w:tcW w:type="dxa" w:w="4824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Botões, links, foco e seleção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Teal</w:t>
            </w:r>
          </w:p>
        </w:tc>
        <w:tc>
          <w:tcPr>
            <w:tcW w:type="dxa" w:w="1037"/>
            <w:shd w:fill="0F8B8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#0F8B8D</w:t>
            </w:r>
          </w:p>
        </w:tc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Progresso, sucesso moderado e diferenciais</w:t>
            </w:r>
          </w:p>
        </w:tc>
      </w:tr>
      <w:tr>
        <w:trPr>
          <w:cantSplit/>
        </w:trPr>
        <w:tc>
          <w:tcPr>
            <w:tcW w:type="dxa" w:w="2088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Canvas</w:t>
            </w:r>
          </w:p>
        </w:tc>
        <w:tc>
          <w:tcPr>
            <w:tcW w:type="dxa" w:w="1037"/>
            <w:shd w:fill="F5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#F5F7FA</w:t>
            </w:r>
          </w:p>
        </w:tc>
        <w:tc>
          <w:tcPr>
            <w:tcW w:type="dxa" w:w="4824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Fundo principal do modo claro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Paper</w:t>
            </w:r>
          </w:p>
        </w:tc>
        <w:tc>
          <w:tcPr>
            <w:tcW w:type="dxa" w:w="1037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#FFFFFF</w:t>
            </w:r>
          </w:p>
        </w:tc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Superfícies e conteúdo</w:t>
            </w:r>
          </w:p>
        </w:tc>
      </w:tr>
      <w:tr>
        <w:trPr>
          <w:cantSplit/>
        </w:trPr>
        <w:tc>
          <w:tcPr>
            <w:tcW w:type="dxa" w:w="2088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Graphite</w:t>
            </w:r>
          </w:p>
        </w:tc>
        <w:tc>
          <w:tcPr>
            <w:tcW w:type="dxa" w:w="1037"/>
            <w:shd w:fill="334E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#334E68</w:t>
            </w:r>
          </w:p>
        </w:tc>
        <w:tc>
          <w:tcPr>
            <w:tcW w:type="dxa" w:w="4824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secundário e ícones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Amber</w:t>
            </w:r>
          </w:p>
        </w:tc>
        <w:tc>
          <w:tcPr>
            <w:tcW w:type="dxa" w:w="1037"/>
            <w:shd w:fill="D9770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#D97706</w:t>
            </w:r>
          </w:p>
        </w:tc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Atenção e pendência</w:t>
            </w:r>
          </w:p>
        </w:tc>
      </w:tr>
      <w:tr>
        <w:trPr>
          <w:cantSplit/>
        </w:trPr>
        <w:tc>
          <w:tcPr>
            <w:tcW w:type="dxa" w:w="2088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Danger</w:t>
            </w:r>
          </w:p>
        </w:tc>
        <w:tc>
          <w:tcPr>
            <w:tcW w:type="dxa" w:w="1037"/>
            <w:shd w:fill="C2413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#C2413A</w:t>
            </w:r>
          </w:p>
        </w:tc>
        <w:tc>
          <w:tcPr>
            <w:tcW w:type="dxa" w:w="4824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Erro, prazo vencido e ação destrutiva</w:t>
            </w:r>
          </w:p>
        </w:tc>
      </w:tr>
    </w:tbl>
    <w:p>
      <w:pPr>
        <w:spacing w:after="20"/>
      </w:pPr>
    </w:p>
    <w:p>
      <w:pPr>
        <w:pStyle w:val="Heading2"/>
      </w:pPr>
      <w:r>
        <w:t>4.2 Modo claro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08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Cor</w:t>
            </w:r>
          </w:p>
        </w:tc>
        <w:tc>
          <w:tcPr>
            <w:tcW w:type="dxa" w:w="1037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Amostra</w:t>
            </w:r>
          </w:p>
        </w:tc>
        <w:tc>
          <w:tcPr>
            <w:tcW w:type="dxa" w:w="165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type="dxa" w:w="482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Aplicação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Background</w:t>
            </w:r>
          </w:p>
        </w:tc>
        <w:tc>
          <w:tcPr>
            <w:tcW w:type="dxa" w:w="1037"/>
            <w:shd w:fill="F5F7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#F5F7FA</w:t>
            </w:r>
          </w:p>
        </w:tc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Base das telas</w:t>
            </w:r>
          </w:p>
        </w:tc>
      </w:tr>
      <w:tr>
        <w:trPr>
          <w:cantSplit/>
        </w:trPr>
        <w:tc>
          <w:tcPr>
            <w:tcW w:type="dxa" w:w="2088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Surface</w:t>
            </w:r>
          </w:p>
        </w:tc>
        <w:tc>
          <w:tcPr>
            <w:tcW w:type="dxa" w:w="1037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#FFFFFF</w:t>
            </w:r>
          </w:p>
        </w:tc>
        <w:tc>
          <w:tcPr>
            <w:tcW w:type="dxa" w:w="4824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Painéis, modais e tabelas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Surface subtle</w:t>
            </w:r>
          </w:p>
        </w:tc>
        <w:tc>
          <w:tcPr>
            <w:tcW w:type="dxa" w:w="1037"/>
            <w:shd w:fill="EDF2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#EDF2F7</w:t>
            </w:r>
          </w:p>
        </w:tc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Filtros, agrupamentos e hover leve</w:t>
            </w:r>
          </w:p>
        </w:tc>
      </w:tr>
      <w:tr>
        <w:trPr>
          <w:cantSplit/>
        </w:trPr>
        <w:tc>
          <w:tcPr>
            <w:tcW w:type="dxa" w:w="2088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Border</w:t>
            </w:r>
          </w:p>
        </w:tc>
        <w:tc>
          <w:tcPr>
            <w:tcW w:type="dxa" w:w="1037"/>
            <w:shd w:fill="D8E1E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#D8E1EA</w:t>
            </w:r>
          </w:p>
        </w:tc>
        <w:tc>
          <w:tcPr>
            <w:tcW w:type="dxa" w:w="4824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Divisores e contornos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Text primary</w:t>
            </w:r>
          </w:p>
        </w:tc>
        <w:tc>
          <w:tcPr>
            <w:tcW w:type="dxa" w:w="1037"/>
            <w:shd w:fill="102A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#102A43</w:t>
            </w:r>
          </w:p>
        </w:tc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Conteúdo principal</w:t>
            </w:r>
          </w:p>
        </w:tc>
      </w:tr>
      <w:tr>
        <w:trPr>
          <w:cantSplit/>
        </w:trPr>
        <w:tc>
          <w:tcPr>
            <w:tcW w:type="dxa" w:w="2088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Text muted</w:t>
            </w:r>
          </w:p>
        </w:tc>
        <w:tc>
          <w:tcPr>
            <w:tcW w:type="dxa" w:w="1037"/>
            <w:shd w:fill="627D9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#627D98</w:t>
            </w:r>
          </w:p>
        </w:tc>
        <w:tc>
          <w:tcPr>
            <w:tcW w:type="dxa" w:w="4824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Metadados e ajuda</w:t>
            </w:r>
          </w:p>
        </w:tc>
      </w:tr>
    </w:tbl>
    <w:p>
      <w:pPr>
        <w:spacing w:after="20"/>
      </w:pPr>
    </w:p>
    <w:p>
      <w:pPr>
        <w:pStyle w:val="Heading2"/>
      </w:pPr>
      <w:r>
        <w:t>4.3 Modo escuro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08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Cor</w:t>
            </w:r>
          </w:p>
        </w:tc>
        <w:tc>
          <w:tcPr>
            <w:tcW w:type="dxa" w:w="1037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Amostra</w:t>
            </w:r>
          </w:p>
        </w:tc>
        <w:tc>
          <w:tcPr>
            <w:tcW w:type="dxa" w:w="165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type="dxa" w:w="482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Aplicação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Background</w:t>
            </w:r>
          </w:p>
        </w:tc>
        <w:tc>
          <w:tcPr>
            <w:tcW w:type="dxa" w:w="1037"/>
            <w:shd w:fill="09131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#09131F</w:t>
            </w:r>
          </w:p>
        </w:tc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Base das telas</w:t>
            </w:r>
          </w:p>
        </w:tc>
      </w:tr>
      <w:tr>
        <w:trPr>
          <w:cantSplit/>
        </w:trPr>
        <w:tc>
          <w:tcPr>
            <w:tcW w:type="dxa" w:w="2088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Surface</w:t>
            </w:r>
          </w:p>
        </w:tc>
        <w:tc>
          <w:tcPr>
            <w:tcW w:type="dxa" w:w="1037"/>
            <w:shd w:fill="1021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#102131</w:t>
            </w:r>
          </w:p>
        </w:tc>
        <w:tc>
          <w:tcPr>
            <w:tcW w:type="dxa" w:w="4824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Painéis e modais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Surface raised</w:t>
            </w:r>
          </w:p>
        </w:tc>
        <w:tc>
          <w:tcPr>
            <w:tcW w:type="dxa" w:w="1037"/>
            <w:shd w:fill="172B3E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#172B3E</w:t>
            </w:r>
          </w:p>
        </w:tc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Menus, dropdowns e elevação</w:t>
            </w:r>
          </w:p>
        </w:tc>
      </w:tr>
      <w:tr>
        <w:trPr>
          <w:cantSplit/>
        </w:trPr>
        <w:tc>
          <w:tcPr>
            <w:tcW w:type="dxa" w:w="2088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Border</w:t>
            </w:r>
          </w:p>
        </w:tc>
        <w:tc>
          <w:tcPr>
            <w:tcW w:type="dxa" w:w="1037"/>
            <w:shd w:fill="2A41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#2A4155</w:t>
            </w:r>
          </w:p>
        </w:tc>
        <w:tc>
          <w:tcPr>
            <w:tcW w:type="dxa" w:w="4824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Divisores e contornos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Text primary</w:t>
            </w:r>
          </w:p>
        </w:tc>
        <w:tc>
          <w:tcPr>
            <w:tcW w:type="dxa" w:w="1037"/>
            <w:shd w:fill="EAF1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#EAF1F7</w:t>
            </w:r>
          </w:p>
        </w:tc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Conteúdo principal</w:t>
            </w:r>
          </w:p>
        </w:tc>
      </w:tr>
      <w:tr>
        <w:trPr>
          <w:cantSplit/>
        </w:trPr>
        <w:tc>
          <w:tcPr>
            <w:tcW w:type="dxa" w:w="2088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Text muted</w:t>
            </w:r>
          </w:p>
        </w:tc>
        <w:tc>
          <w:tcPr>
            <w:tcW w:type="dxa" w:w="1037"/>
            <w:shd w:fill="9FB3C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#9FB3C5</w:t>
            </w:r>
          </w:p>
        </w:tc>
        <w:tc>
          <w:tcPr>
            <w:tcW w:type="dxa" w:w="4824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Metadados e ajuda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Action</w:t>
            </w:r>
          </w:p>
        </w:tc>
        <w:tc>
          <w:tcPr>
            <w:tcW w:type="dxa" w:w="1037"/>
            <w:shd w:fill="6EA8FE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#6EA8FE</w:t>
            </w:r>
          </w:p>
        </w:tc>
        <w:tc>
          <w:tcPr>
            <w:tcW w:type="dxa" w:w="48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Ações e links com contraste</w:t>
            </w:r>
          </w:p>
        </w:tc>
      </w:tr>
      <w:tr>
        <w:trPr>
          <w:cantSplit/>
        </w:trPr>
        <w:tc>
          <w:tcPr>
            <w:tcW w:type="dxa" w:w="2088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Teal</w:t>
            </w:r>
          </w:p>
        </w:tc>
        <w:tc>
          <w:tcPr>
            <w:tcW w:type="dxa" w:w="1037"/>
            <w:shd w:fill="43C6C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 </w:t>
            </w:r>
          </w:p>
        </w:tc>
        <w:tc>
          <w:tcPr>
            <w:tcW w:type="dxa" w:w="1656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#43C6C8</w:t>
            </w:r>
          </w:p>
        </w:tc>
        <w:tc>
          <w:tcPr>
            <w:tcW w:type="dxa" w:w="4824"/>
            <w:shd w:fill="F3F6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Progresso e destaque moderado</w:t>
            </w:r>
          </w:p>
        </w:tc>
      </w:tr>
    </w:tbl>
    <w:p>
      <w:pPr>
        <w:spacing w:after="20"/>
      </w:pPr>
    </w:p>
    <w:p>
      <w:r>
        <w:t>O modo escuro não deve ser preto puro. Superfícies têm diferenças discretas de luminosidade e bordas visíveis. Não usar brilho neon nem sombras azuis intensas.</w:t>
      </w:r>
    </w:p>
    <w:p>
      <w:r>
        <w:br w:type="page"/>
      </w:r>
    </w:p>
    <w:p>
      <w:pPr>
        <w:pStyle w:val="Heading1"/>
      </w:pPr>
      <w:r>
        <w:t>5 Tipografia e iconografia</w:t>
      </w:r>
    </w:p>
    <w:p>
      <w:pPr>
        <w:pStyle w:val="Heading2"/>
      </w:pPr>
      <w:r>
        <w:t>5.1 Tipografia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232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2376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Família</w:t>
            </w:r>
          </w:p>
        </w:tc>
        <w:tc>
          <w:tcPr>
            <w:tcW w:type="dxa" w:w="5040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Especificação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Produto e interface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DM Sans</w:t>
            </w:r>
          </w:p>
        </w:tc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Pesos 400, 500, 600 e 700. Boa leitura em telas densas.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Texto editorial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Source Serif 4</w:t>
            </w:r>
          </w:p>
        </w:tc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Uso pontual em títulos da landing page, depoimentos e conteúdo.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Fallback</w:t>
            </w:r>
          </w:p>
        </w:tc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Inter, Arial, sans-serif</w:t>
            </w:r>
          </w:p>
        </w:tc>
        <w:tc>
          <w:tcPr>
            <w:tcW w:type="dxa" w:w="50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Aplicado quando a fonte principal não estiver disponível.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512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1800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Desktop</w:t>
            </w:r>
          </w:p>
        </w:tc>
        <w:tc>
          <w:tcPr>
            <w:tcW w:type="dxa" w:w="1800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Mobile</w:t>
            </w:r>
          </w:p>
        </w:tc>
        <w:tc>
          <w:tcPr>
            <w:tcW w:type="dxa" w:w="4536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Display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48 px / 56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36 px / 42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 principal da página pública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H1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32 px / 40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28 px / 36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Título de tela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H2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24 px / 32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22 px / 30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Seções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H3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18 px / 26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18 px / 26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Blocos e painéis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Body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15 px / 22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16 px / 24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e formulários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Small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13 px / 18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14 px / 20</w:t>
            </w:r>
          </w:p>
        </w:tc>
        <w:tc>
          <w:tcPr>
            <w:tcW w:type="dxa" w:w="45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Metadados e apoio</w:t>
            </w:r>
          </w:p>
        </w:tc>
      </w:tr>
    </w:tbl>
    <w:p>
      <w:pPr>
        <w:spacing w:after="20"/>
      </w:pPr>
    </w:p>
    <w:p>
      <w:pPr>
        <w:pStyle w:val="Heading2"/>
      </w:pPr>
      <w:r>
        <w:t>5.2 Ícones</w:t>
      </w:r>
    </w:p>
    <w:p>
      <w:pPr>
        <w:pStyle w:val="ListBullet"/>
        <w:spacing w:after="40"/>
      </w:pPr>
      <w:r>
        <w:t>Traço de 1,75 a 2 px, cantos suavizados e linguagem consistente.</w:t>
      </w:r>
    </w:p>
    <w:p>
      <w:pPr>
        <w:pStyle w:val="ListBullet"/>
        <w:spacing w:after="40"/>
      </w:pPr>
      <w:r>
        <w:t>Usar Lucide como base e criar poucos ícones proprietários quando necessário.</w:t>
      </w:r>
    </w:p>
    <w:p>
      <w:pPr>
        <w:pStyle w:val="ListBullet"/>
        <w:spacing w:after="40"/>
      </w:pPr>
      <w:r>
        <w:t>Todo ícone de ação deve ter rótulo ou tooltip; evitar ícone sozinho quando houver ambiguidade.</w:t>
      </w:r>
    </w:p>
    <w:p>
      <w:pPr>
        <w:pStyle w:val="ListBullet"/>
        <w:spacing w:after="40"/>
      </w:pPr>
      <w:r>
        <w:t>Status não pode depender apenas de cor: combinar ícone, texto e contraste.</w:t>
      </w:r>
    </w:p>
    <w:p>
      <w:pPr>
        <w:pStyle w:val="Heading1"/>
      </w:pPr>
      <w:r>
        <w:t>6 Estrutura visual do produto</w:t>
      </w:r>
    </w:p>
    <w:p>
      <w:pPr>
        <w:pStyle w:val="Heading2"/>
      </w:pPr>
      <w:r>
        <w:t>6.1 Desktop</w:t>
      </w:r>
    </w:p>
    <w:p>
      <w:pPr>
        <w:pStyle w:val="ListBullet"/>
        <w:spacing w:after="40"/>
      </w:pPr>
      <w:r>
        <w:t>Barra lateral de 248 px, recolhível para 72 px, com no máximo dois níveis visíveis.</w:t>
      </w:r>
    </w:p>
    <w:p>
      <w:pPr>
        <w:pStyle w:val="ListBullet"/>
        <w:spacing w:after="40"/>
      </w:pPr>
      <w:r>
        <w:t>Cabeçalho da tela entre 64 e 72 px com título, contexto e ações principais.</w:t>
      </w:r>
    </w:p>
    <w:p>
      <w:pPr>
        <w:pStyle w:val="ListBullet"/>
        <w:spacing w:after="40"/>
      </w:pPr>
      <w:r>
        <w:t>Conteúdo em grade de 12 colunas, largura fluida e limite aproximado de 1600 px.</w:t>
      </w:r>
    </w:p>
    <w:p>
      <w:pPr>
        <w:pStyle w:val="ListBullet"/>
        <w:spacing w:after="40"/>
      </w:pPr>
      <w:r>
        <w:t>Listas e tabelas são a base operacional; cards são usados apenas para resumo, não para tudo.</w:t>
      </w:r>
    </w:p>
    <w:p>
      <w:pPr>
        <w:pStyle w:val="ListBullet"/>
        <w:spacing w:after="40"/>
      </w:pPr>
      <w:r>
        <w:t>Painel lateral para consulta rápida preserva o contexto da lista sempre que possível.</w:t>
      </w:r>
    </w:p>
    <w:p>
      <w:pPr>
        <w:pStyle w:val="Heading2"/>
      </w:pPr>
      <w:r>
        <w:t>6.2 Tablet</w:t>
      </w:r>
    </w:p>
    <w:p>
      <w:pPr>
        <w:pStyle w:val="ListBullet"/>
        <w:spacing w:after="40"/>
      </w:pPr>
      <w:r>
        <w:t>Entre 768 e 1199 px, barra lateral vira rail de 72 px ou drawer acionado pelo menu.</w:t>
      </w:r>
    </w:p>
    <w:p>
      <w:pPr>
        <w:pStyle w:val="ListBullet"/>
        <w:spacing w:after="40"/>
      </w:pPr>
      <w:r>
        <w:t>Grades de 12 colunas passam a 8; blocos de três colunas tornam-se dois ou um.</w:t>
      </w:r>
    </w:p>
    <w:p>
      <w:pPr>
        <w:pStyle w:val="ListBullet"/>
        <w:spacing w:after="40"/>
      </w:pPr>
      <w:r>
        <w:t>Tabelas priorizam colunas essenciais e oferecem detalhes em linha expansível ou painel lateral.</w:t>
      </w:r>
    </w:p>
    <w:p>
      <w:pPr>
        <w:pStyle w:val="ListBullet"/>
        <w:spacing w:after="40"/>
      </w:pPr>
      <w:r>
        <w:t>Ações críticas permanecem visíveis e botões respeitam área mínima de toque de 44 px.</w:t>
      </w:r>
    </w:p>
    <w:p>
      <w:pPr>
        <w:pStyle w:val="Heading2"/>
      </w:pPr>
      <w:r>
        <w:t>6.3 Mobile</w:t>
      </w:r>
    </w:p>
    <w:p>
      <w:pPr>
        <w:pStyle w:val="ListBullet"/>
        <w:spacing w:after="40"/>
      </w:pPr>
      <w:r>
        <w:t>De 360 a 767 px, navegação principal por barra inferior com quatro destinos e menu Mais.</w:t>
      </w:r>
    </w:p>
    <w:p>
      <w:pPr>
        <w:pStyle w:val="ListBullet"/>
        <w:spacing w:after="40"/>
      </w:pPr>
      <w:r>
        <w:t>Listas viram linhas empilhadas, não uma coleção de cards grandes e repetitivos.</w:t>
      </w:r>
    </w:p>
    <w:p>
      <w:pPr>
        <w:pStyle w:val="ListBullet"/>
        <w:spacing w:after="40"/>
      </w:pPr>
      <w:r>
        <w:t>Filtros abrem em bottom sheet; detalhes ocupam tela inteira; ações principais podem ser fixas no rodapé.</w:t>
      </w:r>
    </w:p>
    <w:p>
      <w:pPr>
        <w:pStyle w:val="ListBullet"/>
        <w:spacing w:after="40"/>
      </w:pPr>
      <w:r>
        <w:t>Formulários usam uma coluna, teclado adequado ao campo, preenchimento automático e progresso em etapas quando extensos.</w:t>
      </w:r>
    </w:p>
    <w:p>
      <w:pPr>
        <w:pStyle w:val="ListBullet"/>
        <w:spacing w:after="40"/>
      </w:pPr>
      <w:r>
        <w:t>Gestos não substituem ações visíveis. Swipe pode ser atalho, nunca o único caminho.</w:t>
      </w:r>
    </w:p>
    <w:p>
      <w:pPr>
        <w:pStyle w:val="Heading2"/>
      </w:pPr>
      <w:r>
        <w:t>6.4 Breakpoints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88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Faixa</w:t>
            </w:r>
          </w:p>
        </w:tc>
        <w:tc>
          <w:tcPr>
            <w:tcW w:type="dxa" w:w="2088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Largura</w:t>
            </w:r>
          </w:p>
        </w:tc>
        <w:tc>
          <w:tcPr>
            <w:tcW w:type="dxa" w:w="5472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Comportamento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Mobile pequeno</w:t>
            </w:r>
          </w:p>
        </w:tc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360 a 479 px</w:t>
            </w:r>
          </w:p>
        </w:tc>
        <w:tc>
          <w:tcPr>
            <w:tcW w:type="dxa" w:w="54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Uma coluna, navegação inferior e margens de 16 px.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Mobile amplo</w:t>
            </w:r>
          </w:p>
        </w:tc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480 a 767 px</w:t>
            </w:r>
          </w:p>
        </w:tc>
        <w:tc>
          <w:tcPr>
            <w:tcW w:type="dxa" w:w="54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Uma coluna ampla e painéis em tela cheia.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Tablet</w:t>
            </w:r>
          </w:p>
        </w:tc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768 a 1199 px</w:t>
            </w:r>
          </w:p>
        </w:tc>
        <w:tc>
          <w:tcPr>
            <w:tcW w:type="dxa" w:w="54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Grade de 8 colunas, rail ou drawer.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Desktop</w:t>
            </w:r>
          </w:p>
        </w:tc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1200 a 1599 px</w:t>
            </w:r>
          </w:p>
        </w:tc>
        <w:tc>
          <w:tcPr>
            <w:tcW w:type="dxa" w:w="54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Grade de 12 colunas e sidebar completa.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Desktop amplo</w:t>
            </w:r>
          </w:p>
        </w:tc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1600 px ou mais</w:t>
            </w:r>
          </w:p>
        </w:tc>
        <w:tc>
          <w:tcPr>
            <w:tcW w:type="dxa" w:w="54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Conteúdo limitado para preservar leitura e densidade.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 Componentes e interações</w:t>
      </w:r>
    </w:p>
    <w:p>
      <w:pPr>
        <w:pStyle w:val="Heading2"/>
      </w:pPr>
      <w:r>
        <w:t>7.1 Botões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00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Aparência</w:t>
            </w:r>
          </w:p>
        </w:tc>
        <w:tc>
          <w:tcPr>
            <w:tcW w:type="dxa" w:w="4248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Hover e clique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Primário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Action Blue, texto branco, raio de 8 px</w:t>
            </w:r>
          </w:p>
        </w:tc>
        <w:tc>
          <w:tcPr>
            <w:tcW w:type="dxa" w:w="42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Hover escurece 6 por cento e sobe 1 px; clique volta ao eixo e comprime para 0,98.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Secundário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Fundo transparente, borda neutra</w:t>
            </w:r>
          </w:p>
        </w:tc>
        <w:tc>
          <w:tcPr>
            <w:tcW w:type="dxa" w:w="42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Hover recebe superfície sutil e borda mais definida.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Tonal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Fundo azul ou teal suave</w:t>
            </w:r>
          </w:p>
        </w:tc>
        <w:tc>
          <w:tcPr>
            <w:tcW w:type="dxa" w:w="42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Hover aumenta discretamente a saturação, sem sombra forte.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Ghost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Sem fundo e sem borda</w:t>
            </w:r>
          </w:p>
        </w:tc>
        <w:tc>
          <w:tcPr>
            <w:tcW w:type="dxa" w:w="42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Hover cria fundo sutil; ideal para ações recorrentes.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Destrutivo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Vermelho contido</w:t>
            </w:r>
          </w:p>
        </w:tc>
        <w:tc>
          <w:tcPr>
            <w:tcW w:type="dxa" w:w="42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Exige linguagem explícita e confirmação quando irreversível.</w:t>
            </w:r>
          </w:p>
        </w:tc>
      </w:tr>
    </w:tbl>
    <w:p>
      <w:pPr>
        <w:spacing w:after="20"/>
      </w:pPr>
    </w:p>
    <w:p>
      <w:r>
        <w:t>Alturas: 36 px compacto, 40 px padrão e 48 px em mobile ou destaque. O foco por teclado usa anel externo de 2 px com contraste. Botões desabilitados mantêm legibilidade e explicam o motivo por tooltip ou texto próximo.</w:t>
      </w:r>
    </w:p>
    <w:p>
      <w:pPr>
        <w:pStyle w:val="Heading2"/>
      </w:pPr>
      <w:r>
        <w:t>7.2 Estados obrigatórios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160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488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Estados mínimos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Botão</w:t>
            </w:r>
          </w:p>
        </w:tc>
        <w:tc>
          <w:tcPr>
            <w:tcW w:type="dxa" w:w="74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Default, hover, active, focus, loading, disabled e success quando aplicável.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Campo</w:t>
            </w:r>
          </w:p>
        </w:tc>
        <w:tc>
          <w:tcPr>
            <w:tcW w:type="dxa" w:w="74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Default, hover, focus, preenchido, erro, sucesso, disabled e read only.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Documento</w:t>
            </w:r>
          </w:p>
        </w:tc>
        <w:tc>
          <w:tcPr>
            <w:tcW w:type="dxa" w:w="74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Solicitado, enviado, em análise, aprovado, recusado, substituído e dispensado.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Caso</w:t>
            </w:r>
          </w:p>
        </w:tc>
        <w:tc>
          <w:tcPr>
            <w:tcW w:type="dxa" w:w="74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Normal, aguardando cliente, aguardando terceiro, atenção e encerrado.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Tela</w:t>
            </w:r>
          </w:p>
        </w:tc>
        <w:tc>
          <w:tcPr>
            <w:tcW w:type="dxa" w:w="74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Carregando, vazia, erro, sem permissão, offline parcial e conteúdo disponível.</w:t>
            </w:r>
          </w:p>
        </w:tc>
      </w:tr>
    </w:tbl>
    <w:p>
      <w:pPr>
        <w:spacing w:after="20"/>
      </w:pPr>
    </w:p>
    <w:p>
      <w:pPr>
        <w:pStyle w:val="Heading2"/>
      </w:pPr>
      <w:r>
        <w:t>7.3 Cards tabelas e listas</w:t>
      </w:r>
    </w:p>
    <w:p>
      <w:pPr>
        <w:pStyle w:val="ListBullet"/>
        <w:spacing w:after="40"/>
      </w:pPr>
      <w:r>
        <w:t>Cards têm raio de 10 px, borda de 1 px e sombra quase imperceptível apenas quando elevados.</w:t>
      </w:r>
    </w:p>
    <w:p>
      <w:pPr>
        <w:pStyle w:val="ListBullet"/>
        <w:spacing w:after="40"/>
      </w:pPr>
      <w:r>
        <w:t>Tabelas usam cabeçalho fixo, seleção clara, densidade confortável e ações contextuais no fim da linha.</w:t>
      </w:r>
    </w:p>
    <w:p>
      <w:pPr>
        <w:pStyle w:val="ListBullet"/>
        <w:spacing w:after="40"/>
      </w:pPr>
      <w:r>
        <w:t>Hover de linha altera apenas o fundo e revela ações secundárias sem mover o conteúdo.</w:t>
      </w:r>
    </w:p>
    <w:p>
      <w:pPr>
        <w:pStyle w:val="ListBullet"/>
        <w:spacing w:after="40"/>
      </w:pPr>
      <w:r>
        <w:t>Badges usam fundos suaves e texto escuro; não usar cápsulas em toda palavra ou metadado.</w:t>
      </w:r>
    </w:p>
    <w:p>
      <w:pPr>
        <w:pStyle w:val="ListBullet"/>
        <w:spacing w:after="40"/>
      </w:pPr>
      <w:r>
        <w:t>Divisores e alinhamento fazem mais trabalho visual do que sombras e caixas.</w:t>
      </w:r>
    </w:p>
    <w:p>
      <w:pPr>
        <w:pStyle w:val="Heading2"/>
      </w:pPr>
      <w:r>
        <w:t>7.4 Formulários</w:t>
      </w:r>
    </w:p>
    <w:p>
      <w:pPr>
        <w:pStyle w:val="ListBullet"/>
        <w:spacing w:after="40"/>
      </w:pPr>
      <w:r>
        <w:t>Rótulos sempre visíveis acima do campo; placeholder apenas como exemplo.</w:t>
      </w:r>
    </w:p>
    <w:p>
      <w:pPr>
        <w:pStyle w:val="ListBullet"/>
        <w:spacing w:after="40"/>
      </w:pPr>
      <w:r>
        <w:t>Validação acontece após interação e no envio, sem mostrar erro antes de o usuário digitar.</w:t>
      </w:r>
    </w:p>
    <w:p>
      <w:pPr>
        <w:pStyle w:val="ListBullet"/>
        <w:spacing w:after="40"/>
      </w:pPr>
      <w:r>
        <w:t>Mensagens descrevem como corrigir o problema: Informe um CPF com 11 dígitos.</w:t>
      </w:r>
    </w:p>
    <w:p>
      <w:pPr>
        <w:pStyle w:val="ListBullet"/>
        <w:spacing w:after="40"/>
      </w:pPr>
      <w:r>
        <w:t>Alterações não salvas geram aviso ao sair. Salvamento automático deve indicar o estado com discrição.</w:t>
      </w:r>
    </w:p>
    <w:p>
      <w:pPr>
        <w:pStyle w:val="Heading1"/>
      </w:pPr>
      <w:r>
        <w:t>8 Motion design e transições</w:t>
      </w:r>
    </w:p>
    <w:p>
      <w:r>
        <w:t>O movimento deve explicar mudança de estado e preservar orientação. Nada deve flutuar, pulsar ou surgir apenas para parecer moderno.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088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Interação</w:t>
            </w:r>
          </w:p>
        </w:tc>
        <w:tc>
          <w:tcPr>
            <w:tcW w:type="dxa" w:w="1800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Duração</w:t>
            </w:r>
          </w:p>
        </w:tc>
        <w:tc>
          <w:tcPr>
            <w:tcW w:type="dxa" w:w="2088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Curva</w:t>
            </w:r>
          </w:p>
        </w:tc>
        <w:tc>
          <w:tcPr>
            <w:tcW w:type="dxa" w:w="3672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Comportamento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Hover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120 a 160 ms</w:t>
            </w:r>
          </w:p>
        </w:tc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ease out</w:t>
            </w:r>
          </w:p>
        </w:tc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Cor e elevação discretas.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Botão active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80 a 100 ms</w:t>
            </w:r>
          </w:p>
        </w:tc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ease out</w:t>
            </w:r>
          </w:p>
        </w:tc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Escala 0,98 sem salto visual.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Dropdown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140 a 180 ms</w:t>
            </w:r>
          </w:p>
        </w:tc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ease out</w:t>
            </w:r>
          </w:p>
        </w:tc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Fade e deslocamento vertical de 4 px.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Modal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180 a 240 ms</w:t>
            </w:r>
          </w:p>
        </w:tc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cubic bezier suave</w:t>
            </w:r>
          </w:p>
        </w:tc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Backdrop em fade e conteúdo com escala 0,98 para 1.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Painel lateral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220 a 280 ms</w:t>
            </w:r>
          </w:p>
        </w:tc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ease in out</w:t>
            </w:r>
          </w:p>
        </w:tc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Desliza 16 a 24 px e ganha opacidade.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Troca de rota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160 a 220 ms</w:t>
            </w:r>
          </w:p>
        </w:tc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ease out</w:t>
            </w:r>
          </w:p>
        </w:tc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Conteúdo em fade; navegação permanece estável.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Feedback de sucesso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200 a 320 ms</w:t>
            </w:r>
          </w:p>
        </w:tc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ease out</w:t>
            </w:r>
          </w:p>
        </w:tc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Check simples; não usar confete em tarefas comuns.</w:t>
            </w:r>
          </w:p>
        </w:tc>
      </w:tr>
    </w:tbl>
    <w:p>
      <w:pPr>
        <w:spacing w:after="20"/>
      </w:pPr>
    </w:p>
    <w:p>
      <w:pPr>
        <w:pStyle w:val="Heading2"/>
      </w:pPr>
      <w:r>
        <w:t>8.1 Regras de movimento</w:t>
      </w:r>
    </w:p>
    <w:p>
      <w:pPr>
        <w:pStyle w:val="ListBullet"/>
        <w:spacing w:after="40"/>
      </w:pPr>
      <w:r>
        <w:t>Respeitar prefers reduced motion e remover deslocamentos não essenciais.</w:t>
      </w:r>
    </w:p>
    <w:p>
      <w:pPr>
        <w:pStyle w:val="ListBullet"/>
        <w:spacing w:after="40"/>
      </w:pPr>
      <w:r>
        <w:t>Nunca atrasar a resposta real para completar animação.</w:t>
      </w:r>
    </w:p>
    <w:p>
      <w:pPr>
        <w:pStyle w:val="ListBullet"/>
        <w:spacing w:after="40"/>
      </w:pPr>
      <w:r>
        <w:t>Skeleton apenas quando o carregamento esperado superar aproximadamente 300 ms.</w:t>
      </w:r>
    </w:p>
    <w:p>
      <w:pPr>
        <w:pStyle w:val="ListBullet"/>
        <w:spacing w:after="40"/>
      </w:pPr>
      <w:r>
        <w:t>Evitar shimmer contínuo agressivo; usar variação sutil de luminosidade.</w:t>
      </w:r>
    </w:p>
    <w:p>
      <w:pPr>
        <w:pStyle w:val="ListBullet"/>
        <w:spacing w:after="40"/>
      </w:pPr>
      <w:r>
        <w:t>Toast entra pela borda compatível com o dispositivo e não bloqueia o conteúdo principal.</w:t>
      </w:r>
    </w:p>
    <w:p>
      <w:r>
        <w:br w:type="page"/>
      </w:r>
    </w:p>
    <w:p>
      <w:pPr>
        <w:pStyle w:val="Heading1"/>
      </w:pPr>
      <w:r>
        <w:t>9 Direção do site público</w:t>
      </w:r>
    </w:p>
    <w:p>
      <w:pPr>
        <w:pStyle w:val="Heading2"/>
      </w:pPr>
      <w:r>
        <w:t>9.1 Estrutura da página inicial</w:t>
      </w:r>
    </w:p>
    <w:p>
      <w:pPr>
        <w:spacing w:after="40"/>
        <w:ind w:left="403" w:hanging="403"/>
      </w:pPr>
      <w:r>
        <w:rPr>
          <w:b/>
        </w:rPr>
        <w:t xml:space="preserve">1. </w:t>
      </w:r>
      <w:r>
        <w:t>Topo com mensagem específica, demonstração do produto e ação para testar ou solicitar apresentação.</w:t>
      </w:r>
    </w:p>
    <w:p>
      <w:pPr>
        <w:spacing w:after="40"/>
        <w:ind w:left="403" w:hanging="403"/>
      </w:pPr>
      <w:r>
        <w:rPr>
          <w:b/>
        </w:rPr>
        <w:t xml:space="preserve">2. </w:t>
      </w:r>
      <w:r>
        <w:t>Problemas reais do escritório apresentados com situações reconhecíveis, sem ícones genéricos em três cards.</w:t>
      </w:r>
    </w:p>
    <w:p>
      <w:pPr>
        <w:spacing w:after="40"/>
        <w:ind w:left="403" w:hanging="403"/>
      </w:pPr>
      <w:r>
        <w:rPr>
          <w:b/>
        </w:rPr>
        <w:t xml:space="preserve">3. </w:t>
      </w:r>
      <w:r>
        <w:t>Visão do produto com uma captura ampla e detalhes ampliados de status, documentos e próximo passo.</w:t>
      </w:r>
    </w:p>
    <w:p>
      <w:pPr>
        <w:spacing w:after="40"/>
        <w:ind w:left="403" w:hanging="403"/>
      </w:pPr>
      <w:r>
        <w:rPr>
          <w:b/>
        </w:rPr>
        <w:t xml:space="preserve">4. </w:t>
      </w:r>
      <w:r>
        <w:t>Bloco do Painel de Clareza Jurídica mostrando a diferença entre visão interna e visão do cliente.</w:t>
      </w:r>
    </w:p>
    <w:p>
      <w:pPr>
        <w:spacing w:after="40"/>
        <w:ind w:left="403" w:hanging="403"/>
      </w:pPr>
      <w:r>
        <w:rPr>
          <w:b/>
        </w:rPr>
        <w:t xml:space="preserve">5. </w:t>
      </w:r>
      <w:r>
        <w:t>Fluxo curto da entrada do caso até a atualização do cliente.</w:t>
      </w:r>
    </w:p>
    <w:p>
      <w:pPr>
        <w:spacing w:after="40"/>
        <w:ind w:left="403" w:hanging="403"/>
      </w:pPr>
      <w:r>
        <w:rPr>
          <w:b/>
        </w:rPr>
        <w:t xml:space="preserve">6. </w:t>
      </w:r>
      <w:r>
        <w:t>Segurança e privacidade com controles concretos, sem selos inventados.</w:t>
      </w:r>
    </w:p>
    <w:p>
      <w:pPr>
        <w:spacing w:after="40"/>
        <w:ind w:left="403" w:hanging="403"/>
      </w:pPr>
      <w:r>
        <w:rPr>
          <w:b/>
        </w:rPr>
        <w:t xml:space="preserve">7. </w:t>
      </w:r>
      <w:r>
        <w:t>Planos, perguntas frequentes e chamada final.</w:t>
      </w:r>
    </w:p>
    <w:p>
      <w:pPr>
        <w:pStyle w:val="Heading2"/>
      </w:pPr>
      <w:r>
        <w:t>9.2 Hero sugerido</w:t>
      </w:r>
    </w:p>
    <w:p>
      <w:r>
        <w:t>Título: Controle o escritório e deixe cada próximo passo claro.</w:t>
      </w:r>
    </w:p>
    <w:p>
      <w:r>
        <w:t>Subtítulo: Organize casos, prazos, documentos e equipe em um só lugar. Dê ao cliente uma visão simples do que aconteceu, do que falta e do que vem depois.</w:t>
      </w:r>
    </w:p>
    <w:p>
      <w:r>
        <w:t>Ações: Conhecer a plataforma e Ver demonstração. Evitar Comece agora se ainda não houver onboarding self service real.</w:t>
      </w:r>
    </w:p>
    <w:p>
      <w:pPr>
        <w:pStyle w:val="Heading2"/>
      </w:pPr>
      <w:r>
        <w:t>9.3 Fotografia e ilustração</w:t>
      </w:r>
    </w:p>
    <w:p>
      <w:pPr>
        <w:pStyle w:val="ListBullet"/>
        <w:spacing w:after="40"/>
      </w:pPr>
      <w:r>
        <w:t>Preferir fotografia documental de escritórios brasileiros, pessoas reais e ambientes plausíveis.</w:t>
      </w:r>
    </w:p>
    <w:p>
      <w:pPr>
        <w:pStyle w:val="ListBullet"/>
        <w:spacing w:after="40"/>
      </w:pPr>
      <w:r>
        <w:t>Mostrar diversidade com naturalidade, sem banco de imagens excessivamente posado.</w:t>
      </w:r>
    </w:p>
    <w:p>
      <w:pPr>
        <w:pStyle w:val="ListBullet"/>
        <w:spacing w:after="40"/>
      </w:pPr>
      <w:r>
        <w:t>Capturas do produto devem ser verdadeiras ou protótipos fiéis, com dados fictícios consistentes.</w:t>
      </w:r>
    </w:p>
    <w:p>
      <w:pPr>
        <w:pStyle w:val="ListBullet"/>
        <w:spacing w:after="40"/>
      </w:pPr>
      <w:r>
        <w:t>Ilustrações, se usadas, devem ser lineares e editoriais, nunca personagens 3D genéricos.</w:t>
      </w:r>
    </w:p>
    <w:p>
      <w:pPr>
        <w:pStyle w:val="Heading2"/>
      </w:pPr>
      <w:r>
        <w:t>9.4 Como evitar aparência de IA</w:t>
      </w:r>
    </w:p>
    <w:p>
      <w:pPr>
        <w:pStyle w:val="ListBullet"/>
        <w:spacing w:after="40"/>
      </w:pPr>
      <w:r>
        <w:t>Não repetir o padrão título centralizado, subtítulo e três cards em todas as seções.</w:t>
      </w:r>
    </w:p>
    <w:p>
      <w:pPr>
        <w:pStyle w:val="ListBullet"/>
        <w:spacing w:after="40"/>
      </w:pPr>
      <w:r>
        <w:t>Não usar gradiente roxo, brilho neon, esferas abstratas, glassmorphism exagerado ou palavras flutuantes.</w:t>
      </w:r>
    </w:p>
    <w:p>
      <w:pPr>
        <w:pStyle w:val="ListBullet"/>
        <w:spacing w:after="40"/>
      </w:pPr>
      <w:r>
        <w:t>Variar a composição com ritmo editorial, capturas reais, tabelas, timelines e conteúdo específico.</w:t>
      </w:r>
    </w:p>
    <w:p>
      <w:pPr>
        <w:pStyle w:val="ListBullet"/>
        <w:spacing w:after="40"/>
      </w:pPr>
      <w:r>
        <w:t>Escrever textos que citem tarefas reais do escritório, não benefícios vazios.</w:t>
      </w:r>
    </w:p>
    <w:p>
      <w:pPr>
        <w:pStyle w:val="ListBullet"/>
        <w:spacing w:after="40"/>
      </w:pPr>
      <w:r>
        <w:t>Usar poucos efeitos e criar detalhes próprios: divisor de timeline, indicador de prontidão e linguagem de status.</w:t>
      </w:r>
    </w:p>
    <w:p>
      <w:pPr>
        <w:pStyle w:val="ListBullet"/>
        <w:spacing w:after="40"/>
      </w:pPr>
      <w:r>
        <w:t>Manter pequenas imperfeições humanas na fotografia e evitar rostos ou mãos gerados artificialmente.</w:t>
      </w:r>
    </w:p>
    <w:p>
      <w:pPr>
        <w:pStyle w:val="Heading1"/>
      </w:pPr>
      <w:r>
        <w:t>10 Telas principais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160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Tela</w:t>
            </w:r>
          </w:p>
        </w:tc>
        <w:tc>
          <w:tcPr>
            <w:tcW w:type="dxa" w:w="4320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Prioridade visual</w:t>
            </w:r>
          </w:p>
        </w:tc>
        <w:tc>
          <w:tcPr>
            <w:tcW w:type="dxa" w:w="3168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Comportamento responsivo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Dashboard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Prazos, pendências, casos em atenção e carga da equipe.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 mobile, resumo curto e listas priorizadas.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Casos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Tabela com filtros persistentes, responsável, fase e próximo passo.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Vira lista densa com detalhe em tela cheia.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Detalhe do caso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Cabeçalho, status, abas e timeline central.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Abas roláveis e ação principal fixa.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Documentos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Checklist, estados, versão e responsável.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Upload direto da câmera ou arquivos.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Prazos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Calendário e lista com origem e criticidade.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Priorizar agenda diária e semanal.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Equipe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Carga, permissões, equipes e atividade.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Resumo e edição em etapas.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Portal do cliente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Status explicado, próximo passo e documentos faltantes.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Experiência mobile first.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Configurações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Agrupamento por conta, segurança, equipe e integrações.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Navegação hierárquica simples.</w:t>
            </w:r>
          </w:p>
        </w:tc>
      </w:tr>
    </w:tbl>
    <w:p>
      <w:pPr>
        <w:spacing w:after="20"/>
      </w:pPr>
    </w:p>
    <w:p>
      <w:pPr>
        <w:pStyle w:val="Heading1"/>
      </w:pPr>
      <w:r>
        <w:t>11 Acessibilidade e confiança</w:t>
      </w:r>
    </w:p>
    <w:p>
      <w:pPr>
        <w:pStyle w:val="ListBullet"/>
        <w:spacing w:after="40"/>
      </w:pPr>
      <w:r>
        <w:t>Contraste mínimo compatível com WCAG AA para texto e controles.</w:t>
      </w:r>
    </w:p>
    <w:p>
      <w:pPr>
        <w:pStyle w:val="ListBullet"/>
        <w:spacing w:after="40"/>
      </w:pPr>
      <w:r>
        <w:t>Navegação completa por teclado, foco visível e ordem lógica.</w:t>
      </w:r>
    </w:p>
    <w:p>
      <w:pPr>
        <w:pStyle w:val="ListBullet"/>
        <w:spacing w:after="40"/>
      </w:pPr>
      <w:r>
        <w:t>Área de toque mínima de 44 por 44 px em dispositivos móveis.</w:t>
      </w:r>
    </w:p>
    <w:p>
      <w:pPr>
        <w:pStyle w:val="ListBullet"/>
        <w:spacing w:after="40"/>
      </w:pPr>
      <w:r>
        <w:t>Textos de erro associados aos campos e anunciados por tecnologia assistiva.</w:t>
      </w:r>
    </w:p>
    <w:p>
      <w:pPr>
        <w:pStyle w:val="ListBullet"/>
        <w:spacing w:after="40"/>
      </w:pPr>
      <w:r>
        <w:t>Status nunca comunicado apenas por cor.</w:t>
      </w:r>
    </w:p>
    <w:p>
      <w:pPr>
        <w:pStyle w:val="ListBullet"/>
        <w:spacing w:after="40"/>
      </w:pPr>
      <w:r>
        <w:t>Modo claro, escuro e preferência do sistema, com escolha persistida por usuário.</w:t>
      </w:r>
    </w:p>
    <w:p>
      <w:pPr>
        <w:pStyle w:val="ListBullet"/>
        <w:spacing w:after="40"/>
      </w:pPr>
      <w:r>
        <w:t>Datas no padrão brasileiro e fuso explicitado quando houver risco de ambiguidade.</w:t>
      </w:r>
    </w:p>
    <w:p>
      <w:pPr>
        <w:pStyle w:val="ListBullet"/>
        <w:spacing w:after="40"/>
      </w:pPr>
      <w:r>
        <w:t>Ações sensíveis mostram impacto, objeto afetado e possibilidade de recuperação.</w:t>
      </w:r>
    </w:p>
    <w:p>
      <w:pPr>
        <w:pStyle w:val="Heading1"/>
      </w:pPr>
      <w:r>
        <w:t>12 Tokens e especificações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16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7632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Tokens iniciais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Espaçamento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4, 8, 12, 16, 24, 32, 48 e 64 px.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Raios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6 px campos, 8 px botões, 10 px cards, 14 px modais.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Sombras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Nível 1 muito sutil; nível 2 para dropdown; nível 3 apenas modal.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Bordas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1 px neutra; 2 px para foco e seleção importante.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Conteúdo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Margens de 16 px mobile, 24 px tablet e 32 px desktop.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Z index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Base 0, sticky 10, dropdown 30, overlay 50, modal 60, toast 80.</w:t>
            </w:r>
          </w:p>
        </w:tc>
      </w:tr>
    </w:tbl>
    <w:p>
      <w:pPr>
        <w:spacing w:after="20"/>
      </w:pPr>
    </w:p>
    <w:p>
      <w:pPr>
        <w:pStyle w:val="Heading1"/>
      </w:pPr>
      <w:r>
        <w:t>13 Regras de implementação visual</w:t>
      </w:r>
    </w:p>
    <w:p>
      <w:pPr>
        <w:spacing w:after="40"/>
        <w:ind w:left="403" w:hanging="403"/>
      </w:pPr>
      <w:r>
        <w:rPr>
          <w:b/>
        </w:rPr>
        <w:t xml:space="preserve">1. </w:t>
      </w:r>
      <w:r>
        <w:t>Criar tokens semânticos, não usar cores hex diretamente nos componentes.</w:t>
      </w:r>
    </w:p>
    <w:p>
      <w:pPr>
        <w:spacing w:after="40"/>
        <w:ind w:left="403" w:hanging="403"/>
      </w:pPr>
      <w:r>
        <w:rPr>
          <w:b/>
        </w:rPr>
        <w:t xml:space="preserve">2. </w:t>
      </w:r>
      <w:r>
        <w:t>Construir primeiro os estados de campo, botão, tabela, modal, toast e navegação.</w:t>
      </w:r>
    </w:p>
    <w:p>
      <w:pPr>
        <w:spacing w:after="40"/>
        <w:ind w:left="403" w:hanging="403"/>
      </w:pPr>
      <w:r>
        <w:rPr>
          <w:b/>
        </w:rPr>
        <w:t xml:space="preserve">3. </w:t>
      </w:r>
      <w:r>
        <w:t>Testar cada tela em 360, 768, 1024, 1440 e 1920 px.</w:t>
      </w:r>
    </w:p>
    <w:p>
      <w:pPr>
        <w:spacing w:after="40"/>
        <w:ind w:left="403" w:hanging="403"/>
      </w:pPr>
      <w:r>
        <w:rPr>
          <w:b/>
        </w:rPr>
        <w:t xml:space="preserve">4. </w:t>
      </w:r>
      <w:r>
        <w:t>Validar modo claro e escuro em toda entrega, incluindo gráficos e estados de erro.</w:t>
      </w:r>
    </w:p>
    <w:p>
      <w:pPr>
        <w:spacing w:after="40"/>
        <w:ind w:left="403" w:hanging="403"/>
      </w:pPr>
      <w:r>
        <w:rPr>
          <w:b/>
        </w:rPr>
        <w:t xml:space="preserve">5. </w:t>
      </w:r>
      <w:r>
        <w:t>Adicionar reduced motion desde o início, não como correção posterior.</w:t>
      </w:r>
    </w:p>
    <w:p>
      <w:pPr>
        <w:spacing w:after="40"/>
        <w:ind w:left="403" w:hanging="403"/>
      </w:pPr>
      <w:r>
        <w:rPr>
          <w:b/>
        </w:rPr>
        <w:t xml:space="preserve">6. </w:t>
      </w:r>
      <w:r>
        <w:t>Usar dados fictícios consistentes e brasileiros nos protótipos.</w:t>
      </w:r>
    </w:p>
    <w:p>
      <w:pPr>
        <w:spacing w:after="40"/>
        <w:ind w:left="403" w:hanging="403"/>
      </w:pPr>
      <w:r>
        <w:rPr>
          <w:b/>
        </w:rPr>
        <w:t xml:space="preserve">7. </w:t>
      </w:r>
      <w:r>
        <w:t>Evitar bibliotecas visuais com estilo aparente sem customização dos tokens.</w:t>
      </w:r>
    </w:p>
    <w:p>
      <w:pPr>
        <w:spacing w:after="40"/>
        <w:ind w:left="403" w:hanging="403"/>
      </w:pPr>
      <w:r>
        <w:rPr>
          <w:b/>
        </w:rPr>
        <w:t xml:space="preserve">8. </w:t>
      </w:r>
      <w:r>
        <w:t>Registrar decisões no design system e manter paridade entre Figma e código.</w:t>
      </w:r>
    </w:p>
    <w:p>
      <w:pPr>
        <w:pStyle w:val="Heading1"/>
      </w:pPr>
      <w:r>
        <w:t>14 Ordem recomendada de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448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7200"/>
            <w:shd w:fill="17324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Entrega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 Marca provisória</w:t>
            </w:r>
          </w:p>
        </w:tc>
        <w:tc>
          <w:tcPr>
            <w:tcW w:type="dxa" w:w="7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Escolha da shortlist, wordmark e símbolo funcional.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2 Foundations</w:t>
            </w:r>
          </w:p>
        </w:tc>
        <w:tc>
          <w:tcPr>
            <w:tcW w:type="dxa" w:w="7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Cores, tipografia, grid, espaçamento, iconografia e motion.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 Componentes</w:t>
            </w:r>
          </w:p>
        </w:tc>
        <w:tc>
          <w:tcPr>
            <w:tcW w:type="dxa" w:w="7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Botões, campos, tabelas, filtros, modais, navegação e estados.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4 Fluxo principal</w:t>
            </w:r>
          </w:p>
        </w:tc>
        <w:tc>
          <w:tcPr>
            <w:tcW w:type="dxa" w:w="7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Login, dashboard, casos, documentos, prazos e portal do cliente.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 Responsividade</w:t>
            </w:r>
          </w:p>
        </w:tc>
        <w:tc>
          <w:tcPr>
            <w:tcW w:type="dxa" w:w="7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Adaptação real de desktop para tablet e mobile.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6 Site público</w:t>
            </w:r>
          </w:p>
        </w:tc>
        <w:tc>
          <w:tcPr>
            <w:tcW w:type="dxa" w:w="7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3F6F8"/>
          </w:tcPr>
          <w:p>
            <w:pPr>
              <w:spacing w:after="0"/>
            </w:pPr>
            <w:r>
              <w:rPr>
                <w:sz w:val="17"/>
              </w:rPr>
              <w:t>Landing page com capturas do produto e conteúdo final.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 Validação</w:t>
            </w:r>
          </w:p>
        </w:tc>
        <w:tc>
          <w:tcPr>
            <w:tcW w:type="dxa" w:w="7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Teste com advogados, equipe administrativa e clientes.</w:t>
            </w:r>
          </w:p>
        </w:tc>
      </w:tr>
    </w:tbl>
    <w:p>
      <w:pPr>
        <w:spacing w:after="20"/>
      </w:pPr>
    </w:p>
    <w:p>
      <w:pPr>
        <w:pStyle w:val="Heading1"/>
      </w:pPr>
      <w:r>
        <w:t>15 Decisões propostas para aprovação</w:t>
      </w:r>
    </w:p>
    <w:p>
      <w:pPr>
        <w:pStyle w:val="ListBullet"/>
        <w:spacing w:after="40"/>
      </w:pPr>
      <w:r>
        <w:t>Direção visual: Jurídico Contemporâneo.</w:t>
      </w:r>
    </w:p>
    <w:p>
      <w:pPr>
        <w:pStyle w:val="ListBullet"/>
        <w:spacing w:after="40"/>
      </w:pPr>
      <w:r>
        <w:t>Nome preferencial para exploração: JurisVia.</w:t>
      </w:r>
    </w:p>
    <w:p>
      <w:pPr>
        <w:pStyle w:val="ListBullet"/>
        <w:spacing w:after="40"/>
      </w:pPr>
      <w:r>
        <w:t>Alternativas: CasoClaro e Nexo Legal.</w:t>
      </w:r>
    </w:p>
    <w:p>
      <w:pPr>
        <w:pStyle w:val="ListBullet"/>
        <w:spacing w:after="40"/>
      </w:pPr>
      <w:r>
        <w:t>Paleta: azul petróleo, azul de ação, verde azulado e neutros frios.</w:t>
      </w:r>
    </w:p>
    <w:p>
      <w:pPr>
        <w:pStyle w:val="ListBullet"/>
        <w:spacing w:after="40"/>
      </w:pPr>
      <w:r>
        <w:t>Tipografia: DM Sans no produto e Source Serif 4 em pontos editoriais.</w:t>
      </w:r>
    </w:p>
    <w:p>
      <w:pPr>
        <w:pStyle w:val="ListBullet"/>
        <w:spacing w:after="40"/>
      </w:pPr>
      <w:r>
        <w:t>Interface: tabelas e listas como base, cards apenas para síntese.</w:t>
      </w:r>
    </w:p>
    <w:p>
      <w:pPr>
        <w:pStyle w:val="ListBullet"/>
        <w:spacing w:after="40"/>
      </w:pPr>
      <w:r>
        <w:t>Motion: funcional, entre 120 e 280 ms, com reduced motion.</w:t>
      </w:r>
    </w:p>
    <w:p>
      <w:pPr>
        <w:pStyle w:val="ListBullet"/>
        <w:spacing w:after="40"/>
      </w:pPr>
      <w:r>
        <w:t>Estratégia responsiva: desktop para operação interna e mobile first para o portal do cliente.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6"/>
      </w:rPr>
      <w:t>Briefing de Marca e Experiência do SaaS Jurídico  |  Versão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Aptos" w:hAnsi="Apto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de Marca e Experiência do SaaS Jurídico</dc:title>
  <dc:subject>Naming, identidade visual, UX, responsividade e motion design</dc:subject>
  <dc:creator>Gabriel Marques Andrade da Silva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