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Plano de Negócio do SaaS Jurídico</w:t>
      </w:r>
    </w:p>
    <w:p>
      <w:pPr>
        <w:pStyle w:val="Subtitle"/>
        <w:jc w:val="left"/>
      </w:pPr>
      <w:r>
        <w:t>Plataforma para gestão de escritórios, processos, clientes, documentos e atendimento</w:t>
      </w:r>
    </w:p>
    <w:p>
      <w:r>
        <w:t>Versão 1.0 | Setembro de 2026</w:t>
      </w:r>
    </w:p>
    <w:p>
      <w:r>
        <w:t>Mercado inicial: escritórios de advocacia brasileiros de pequeno e médio porte</w:t>
      </w:r>
    </w:p>
    <w:p>
      <w:r>
        <w:t>Nome do produto: a definir</w:t>
      </w:r>
    </w:p>
    <w:p>
      <w:r>
        <w:t>Documento de referência para validação comercial, definição do MVP e planejamento do produto.</w:t>
      </w:r>
    </w:p>
    <w:p>
      <w:pPr>
        <w:pStyle w:val="Heading1"/>
      </w:pPr>
      <w:r>
        <w:t>Decisão recomendada</w:t>
      </w:r>
    </w:p>
    <w:p>
      <w:r>
        <w:t>O produto deve nascer como uma plataforma multiempresa que organiza o trabalho interno do escritório e, ao mesmo tempo, melhora a experiência do cliente. O diferencial recomendado é o Painel de Clareza Jurídica: uma visão segura e simplificada do caso, com status explicado em linguagem acessível, próximos passos, documentos pendentes, responsáveis e histórico de comunicações aprovadas pelo advogado.</w:t>
      </w:r>
    </w:p>
    <w:p>
      <w:r>
        <w:t>O MVP não deve tentar substituir os grandes sistemas jurídicos em todas as áreas. Deve resolver muito bem quatro problemas: centralização de casos, controle documental, comunicação com o cliente e responsabilização da equipe. Integrações processuais automáticas, inteligência artificial e financeiro avançado entram após a validação dessa base.</w:t>
      </w:r>
    </w:p>
    <w:p>
      <w:r>
        <w:br w:type="page"/>
      </w:r>
    </w:p>
    <w:p>
      <w:pPr>
        <w:pStyle w:val="Heading1"/>
      </w:pPr>
      <w:r>
        <w:t>1 Visão geral do negócio</w:t>
      </w:r>
    </w:p>
    <w:p>
      <w:pPr>
        <w:pStyle w:val="Heading2"/>
      </w:pPr>
      <w:r>
        <w:t>1.1 Problema</w:t>
      </w:r>
    </w:p>
    <w:p>
      <w:r>
        <w:t>Escritórios pequenos e médios costumam dividir informações entre planilhas, e-mail, aplicativos de mensagem, pastas em nuvem e sistemas processuais. Isso aumenta o risco de prazo perdido, documento esquecido, atendimento sem histórico, acesso indevido e retrabalho. Para o cliente, a falta de atualização gera ansiedade e contatos repetitivos, mesmo quando o processo está seguindo normalmente.</w:t>
      </w:r>
    </w:p>
    <w:p>
      <w:pPr>
        <w:pStyle w:val="Heading2"/>
      </w:pPr>
      <w:r>
        <w:t>1.2 Solução</w:t>
      </w:r>
    </w:p>
    <w:p>
      <w:r>
        <w:t>Uma plataforma web por assinatura, com ambiente próprio para cada escritório, que reúne clientes, casos, processos, tarefas, prazos, documentos, equipe, permissões, comunicações e indicadores. O cliente acessa um portal separado para acompanhar informações liberadas pelo escritório, enviar documentos e entender o próximo passo.</w:t>
      </w:r>
    </w:p>
    <w:p>
      <w:pPr>
        <w:pStyle w:val="Heading2"/>
      </w:pPr>
      <w:r>
        <w:t>1.3 Proposta de valor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7488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Valor entregue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Sócios e gestores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Visão da operação, riscos, produtividade, carteira, pendências e histórico auditável.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Advogados</w:t>
            </w:r>
          </w:p>
        </w:tc>
        <w:tc>
          <w:tcPr>
            <w:tcW w:type="dxa" w:w="74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Casos organizados, prazos, documentos, tarefas, comunicações e informações em um único lugar.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Assistentes e administrativo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Fluxos padronizados, checklists, responsáveis definidos e menos cobrança manual.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Clientes</w:t>
            </w:r>
          </w:p>
        </w:tc>
        <w:tc>
          <w:tcPr>
            <w:tcW w:type="dxa" w:w="74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Acompanhamento simples e seguro, com clareza sobre status, pendências e próximos passos.</w:t>
            </w:r>
          </w:p>
        </w:tc>
      </w:tr>
    </w:tbl>
    <w:p>
      <w:pPr>
        <w:spacing w:after="20"/>
      </w:pPr>
    </w:p>
    <w:p>
      <w:pPr>
        <w:pStyle w:val="Heading2"/>
      </w:pPr>
      <w:r>
        <w:t>1.4 Público alvo inicial</w:t>
      </w:r>
    </w:p>
    <w:p>
      <w:pPr>
        <w:pStyle w:val="ListBullet"/>
        <w:spacing w:after="40"/>
      </w:pPr>
      <w:r>
        <w:t>Escritórios com 2 a 50 usuários, atendendo pessoas físicas ou pequenas empresas.</w:t>
      </w:r>
    </w:p>
    <w:p>
      <w:pPr>
        <w:pStyle w:val="ListBullet"/>
        <w:spacing w:after="40"/>
      </w:pPr>
      <w:r>
        <w:t>Áreas com alta recorrência de documentos e dúvidas de clientes, como trabalhista, previdenciário, consumidor, família, imobiliário e cível.</w:t>
      </w:r>
    </w:p>
    <w:p>
      <w:pPr>
        <w:pStyle w:val="ListBullet"/>
        <w:spacing w:after="40"/>
      </w:pPr>
      <w:r>
        <w:t>Escritórios que ainda operam com planilhas, WhatsApp e pastas dispersas ou que consideram os sistemas atuais complexos para sua rotina.</w:t>
      </w:r>
    </w:p>
    <w:p>
      <w:pPr>
        <w:pStyle w:val="Heading2"/>
      </w:pPr>
      <w:r>
        <w:t>1.5 Posicionamento</w:t>
      </w:r>
    </w:p>
    <w:p>
      <w:r>
        <w:t>Gestão jurídica com foco em clareza, relacionamento e controle documental. A plataforma não promete resultado judicial, não presta aconselhamento jurídico ao cliente e não substitui a responsabilidade profissional do advogado.</w:t>
      </w:r>
    </w:p>
    <w:p>
      <w:pPr>
        <w:pStyle w:val="Heading1"/>
      </w:pPr>
      <w:r>
        <w:t>2 Modelo de negócio</w:t>
      </w:r>
    </w:p>
    <w:p>
      <w:pPr>
        <w:pStyle w:val="Heading2"/>
      </w:pPr>
      <w:r>
        <w:t>2.1 Receita</w:t>
      </w:r>
    </w:p>
    <w:p>
      <w:pPr>
        <w:pStyle w:val="ListBullet"/>
        <w:spacing w:after="40"/>
      </w:pPr>
      <w:r>
        <w:t>Assinatura mensal ou anual por escritório, com franquia de usuários e armazenamento.</w:t>
      </w:r>
    </w:p>
    <w:p>
      <w:pPr>
        <w:pStyle w:val="ListBullet"/>
        <w:spacing w:after="40"/>
      </w:pPr>
      <w:r>
        <w:t>Usuários adicionais, armazenamento adicional e módulos avançados cobrados separadamente.</w:t>
      </w:r>
    </w:p>
    <w:p>
      <w:pPr>
        <w:pStyle w:val="ListBullet"/>
        <w:spacing w:after="40"/>
      </w:pPr>
      <w:r>
        <w:t>Implantação assistida, migração de dados e treinamento como serviços opcionais.</w:t>
      </w:r>
    </w:p>
    <w:p>
      <w:pPr>
        <w:pStyle w:val="ListBullet"/>
        <w:spacing w:after="40"/>
      </w:pPr>
      <w:r>
        <w:t>Plano anual com desconto para reduzir cancelamento e melhorar previsibilidade de receita.</w:t>
      </w:r>
    </w:p>
    <w:p>
      <w:pPr>
        <w:pStyle w:val="Heading2"/>
      </w:pPr>
      <w:r>
        <w:t>2.2 Sugestão inicial de planos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Plano</w:t>
            </w:r>
          </w:p>
        </w:tc>
        <w:tc>
          <w:tcPr>
            <w:tcW w:type="dxa" w:w="252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5328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Inclui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Essencial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Autônomos e equipes pequenas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Até 3 usuários, clientes, casos, documentos, tarefas e portal do cliente.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Profissional</w:t>
            </w:r>
          </w:p>
        </w:tc>
        <w:tc>
          <w:tcPr>
            <w:tcW w:type="dxa" w:w="25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Escritórios em crescimento</w:t>
            </w:r>
          </w:p>
        </w:tc>
        <w:tc>
          <w:tcPr>
            <w:tcW w:type="dxa" w:w="53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Até 10 usuários, automações, relatórios, modelos, integrações e permissões avançadas.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Escritório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Operações estruturadas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Até 30 usuários, múltiplas equipes, auditoria ampliada, SLA, API e personalização visual.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Sob medida</w:t>
            </w:r>
          </w:p>
        </w:tc>
        <w:tc>
          <w:tcPr>
            <w:tcW w:type="dxa" w:w="25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Operações maiores</w:t>
            </w:r>
          </w:p>
        </w:tc>
        <w:tc>
          <w:tcPr>
            <w:tcW w:type="dxa" w:w="53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Limites negociados, implantação, migração, suporte e requisitos específicos.</w:t>
            </w:r>
          </w:p>
        </w:tc>
      </w:tr>
    </w:tbl>
    <w:p>
      <w:pPr>
        <w:spacing w:after="20"/>
      </w:pPr>
    </w:p>
    <w:p>
      <w:r>
        <w:t>Os preços devem ser definidos após entrevistas com pelo menos 15 escritórios e comparação da disposição a pagar. O plano não deve restringir segurança, exportação dos próprios dados ou acesso a informações essenciais.</w:t>
      </w:r>
    </w:p>
    <w:p>
      <w:pPr>
        <w:pStyle w:val="Heading2"/>
      </w:pPr>
      <w:r>
        <w:t>2.3 Indicadores de negócio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768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MRR e ARR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Medir receita recorrente mensal e anual.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CAC</w:t>
            </w:r>
          </w:p>
        </w:tc>
        <w:tc>
          <w:tcPr>
            <w:tcW w:type="dxa" w:w="67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Medir custo total para adquirir um escritório.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LTV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Estimar o valor gerado por cliente durante o relacionamento.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Churn</w:t>
            </w:r>
          </w:p>
        </w:tc>
        <w:tc>
          <w:tcPr>
            <w:tcW w:type="dxa" w:w="67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Acompanhar cancelamentos de contas e perda de receita.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Ativação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Escritório cadastra equipe, importa clientes e cria o primeiro caso.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Adoção do portal</w:t>
            </w:r>
          </w:p>
        </w:tc>
        <w:tc>
          <w:tcPr>
            <w:tcW w:type="dxa" w:w="67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Percentual de clientes convidados que acessam e concluem pendências.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Tempo para valor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Tempo entre cadastro e primeira rotina concluída na plataforma.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 Estrutura funcional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12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Escopo principal</w:t>
            </w:r>
          </w:p>
        </w:tc>
        <w:tc>
          <w:tcPr>
            <w:tcW w:type="dxa" w:w="1368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Autenticação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Login, recuperação, MFA, sessões e políticas de senha.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Escritórios</w:t>
            </w:r>
          </w:p>
        </w:tc>
        <w:tc>
          <w:tcPr>
            <w:tcW w:type="dxa" w:w="61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Conta, marca, configurações, unidades e plano contratado.</w:t>
            </w:r>
          </w:p>
        </w:tc>
        <w:tc>
          <w:tcPr>
            <w:tcW w:type="dxa" w:w="13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Equipe e permissões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Usuários, cargos, equipes, acesso por caso e auditoria.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Clientes</w:t>
            </w:r>
          </w:p>
        </w:tc>
        <w:tc>
          <w:tcPr>
            <w:tcW w:type="dxa" w:w="61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Cadastro, contatos, consentimentos, conflitos e histórico.</w:t>
            </w:r>
          </w:p>
        </w:tc>
        <w:tc>
          <w:tcPr>
            <w:tcW w:type="dxa" w:w="13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Casos e processos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Caso interno, número CNJ opcional, partes, área, fase, status e responsáveis.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Documentos</w:t>
            </w:r>
          </w:p>
        </w:tc>
        <w:tc>
          <w:tcPr>
            <w:tcW w:type="dxa" w:w="61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Upload, categorias, versões, pendências, aprovação e acesso.</w:t>
            </w:r>
          </w:p>
        </w:tc>
        <w:tc>
          <w:tcPr>
            <w:tcW w:type="dxa" w:w="13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Tarefas e prazos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Agenda, alertas, responsáveis, prioridade e conclusão.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Portal do cliente</w:t>
            </w:r>
          </w:p>
        </w:tc>
        <w:tc>
          <w:tcPr>
            <w:tcW w:type="dxa" w:w="61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liberado, timeline, pendências, arquivos e mensagens.</w:t>
            </w:r>
          </w:p>
        </w:tc>
        <w:tc>
          <w:tcPr>
            <w:tcW w:type="dxa" w:w="13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Modelos e automações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Checklists por tipo de caso, lembretes e geração de tarefas.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Fase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Integração processual</w:t>
            </w:r>
          </w:p>
        </w:tc>
        <w:tc>
          <w:tcPr>
            <w:tcW w:type="dxa" w:w="61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 de metadados públicos e captura autorizada de movimentações.</w:t>
            </w:r>
          </w:p>
        </w:tc>
        <w:tc>
          <w:tcPr>
            <w:tcW w:type="dxa" w:w="13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Fase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Honorários, contratos, parcelas, despesas e inadimplência.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Fase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IA assistiva</w:t>
            </w:r>
          </w:p>
        </w:tc>
        <w:tc>
          <w:tcPr>
            <w:tcW w:type="dxa" w:w="61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Resumo, classificação, busca e rascunhos com revisão humana obrigatória.</w:t>
            </w:r>
          </w:p>
        </w:tc>
        <w:tc>
          <w:tcPr>
            <w:tcW w:type="dxa" w:w="13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Fase 3</w:t>
            </w:r>
          </w:p>
        </w:tc>
      </w:tr>
    </w:tbl>
    <w:p>
      <w:pPr>
        <w:spacing w:after="20"/>
      </w:pPr>
    </w:p>
    <w:p>
      <w:pPr>
        <w:pStyle w:val="Heading2"/>
      </w:pPr>
      <w:r>
        <w:t>3.1 Conceitos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7416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Escritório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Organização contratante e limite principal de isolamento dos dados.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type="dxa" w:w="74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Pessoa física ou jurídica atendida pelo escritório.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Caso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Unidade interna de trabalho, judicial ou extrajudicial.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Processo</w:t>
            </w:r>
          </w:p>
        </w:tc>
        <w:tc>
          <w:tcPr>
            <w:tcW w:type="dxa" w:w="74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judicial associado a um caso; um caso pode ter nenhum, um ou vários processos.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Pendência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Item que exige ação ou documento de alguém, com responsável, prazo e estado.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</w:t>
            </w:r>
          </w:p>
        </w:tc>
        <w:tc>
          <w:tcPr>
            <w:tcW w:type="dxa" w:w="74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cronológico de movimentação, atualização, comunicação ou ação interna.</w:t>
            </w:r>
          </w:p>
        </w:tc>
      </w:tr>
    </w:tbl>
    <w:p>
      <w:pPr>
        <w:spacing w:after="20"/>
      </w:pPr>
    </w:p>
    <w:p>
      <w:pPr>
        <w:pStyle w:val="Heading1"/>
      </w:pPr>
      <w:r>
        <w:t>4 Usuários e permissões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7056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Acesso recomendado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Proprietário da conta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Plano, cobrança, configurações, usuários e acesso total ao escritório.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Sócio ou administrador</w:t>
            </w:r>
          </w:p>
        </w:tc>
        <w:tc>
          <w:tcPr>
            <w:tcW w:type="dxa" w:w="70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Gestão completa, relatórios, equipes e auditoria; sem transferência da propriedade por padrão.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Advogado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Casos atribuídos ou da equipe, documentos, tarefas, prazos e comunicações autorizadas.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Paralegal ou assistente</w:t>
            </w:r>
          </w:p>
        </w:tc>
        <w:tc>
          <w:tcPr>
            <w:tcW w:type="dxa" w:w="70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Rotinas operacionais conforme escopo, sem decisões exclusivas do advogado.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Contratos e dados financeiros autorizados, sem conteúdo jurídico sensível por padrão.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Recepção</w:t>
            </w:r>
          </w:p>
        </w:tc>
        <w:tc>
          <w:tcPr>
            <w:tcW w:type="dxa" w:w="70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 e agenda, com acesso mínimo aos detalhes dos casos.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 somente leitura a áreas definidas e logs, com prazo de validade.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type="dxa" w:w="70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os próprios casos e conteúdos expressamente publicados no portal.</w:t>
            </w:r>
          </w:p>
        </w:tc>
      </w:tr>
    </w:tbl>
    <w:p>
      <w:pPr>
        <w:spacing w:after="20"/>
      </w:pPr>
    </w:p>
    <w:p>
      <w:pPr>
        <w:pStyle w:val="Heading2"/>
      </w:pPr>
      <w:r>
        <w:t>4.1 Modelo de autorização</w:t>
      </w:r>
    </w:p>
    <w:p>
      <w:r>
        <w:t>O sistema deve combinar controle por função com controle por escopo. O perfil define capacidades gerais; a equipe, unidade e participação no caso definem quais registros o usuário pode acessar. Permissões sensíveis, como exportar dados, excluir documentos, convidar clientes, acessar financeiro ou administrar usuários, devem ser concedidas separadamente.</w:t>
      </w:r>
    </w:p>
    <w:p>
      <w:pPr>
        <w:pStyle w:val="Heading1"/>
      </w:pPr>
      <w:r>
        <w:t>5 Diferencial competitivo recomendado</w:t>
      </w:r>
    </w:p>
    <w:p>
      <w:pPr>
        <w:pStyle w:val="Heading2"/>
      </w:pPr>
      <w:r>
        <w:t>5.1 Painel de Clareza Jurídica</w:t>
      </w:r>
    </w:p>
    <w:p>
      <w:r>
        <w:t>Cada caso terá duas visões: a visão técnica interna e a visão do cliente. O advogado escolhe quais eventos serão publicados e pode incluir uma explicação simples, impacto, ação necessária, responsável e expectativa de próxima atualização. O cliente não verá notas internas, estratégia, documentos restritos ou dados de terceiros.</w:t>
      </w:r>
    </w:p>
    <w:p>
      <w:pPr>
        <w:pStyle w:val="ListBullet"/>
        <w:spacing w:after="40"/>
      </w:pPr>
      <w:r>
        <w:t>Semáforo de atenção do caso: em andamento normal, aguardando cliente, aguardando terceiro ou exige atenção do escritório.</w:t>
      </w:r>
    </w:p>
    <w:p>
      <w:pPr>
        <w:pStyle w:val="ListBullet"/>
        <w:spacing w:after="40"/>
      </w:pPr>
      <w:r>
        <w:t>Próximo passo explicado: o que acontecerá, quem deve agir e até quando.</w:t>
      </w:r>
    </w:p>
    <w:p>
      <w:pPr>
        <w:pStyle w:val="ListBullet"/>
        <w:spacing w:after="40"/>
      </w:pPr>
      <w:r>
        <w:t>Central de pendências documentais com checklist inteligente por tipo de serviço.</w:t>
      </w:r>
    </w:p>
    <w:p>
      <w:pPr>
        <w:pStyle w:val="ListBullet"/>
        <w:spacing w:after="40"/>
      </w:pPr>
      <w:r>
        <w:t>Comprovante de envio e trilha de aprovação dos documentos.</w:t>
      </w:r>
    </w:p>
    <w:p>
      <w:pPr>
        <w:pStyle w:val="ListBullet"/>
        <w:spacing w:after="40"/>
      </w:pPr>
      <w:r>
        <w:t>Resumo periódico aprovado pelo advogado, reduzindo mensagens repetitivas.</w:t>
      </w:r>
    </w:p>
    <w:p>
      <w:pPr>
        <w:pStyle w:val="Heading2"/>
      </w:pPr>
      <w:r>
        <w:t>5.2 Índice de Prontidão do Caso</w:t>
      </w:r>
    </w:p>
    <w:p>
      <w:r>
        <w:t>Indicador operacional interno calculado a partir de documentação, dados obrigatórios, tarefas críticas e aprovações. Ele não estima chance de vitória e não deve usar linguagem probabilística sobre resultado jurídico. Sua função é mostrar se o caso está preparado para a próxima etapa.</w:t>
      </w:r>
    </w:p>
    <w:p>
      <w:pPr>
        <w:pStyle w:val="Heading2"/>
      </w:pPr>
      <w:r>
        <w:t>5.3 Cofre de documentos com coleta guiada</w:t>
      </w:r>
    </w:p>
    <w:p>
      <w:r>
        <w:t>Em vez de pedir genericamente “envie seus documentos”, o escritório monta uma lista contextual. Cada item informa formato aceito, exemplo, validade, titular, obrigatoriedade e motivo da solicitação. O sistema detecta arquivo ausente, vencido, duplicado ou aguardando validação, sem afirmar autenticidade jurídica automaticamente.</w:t>
      </w:r>
    </w:p>
    <w:p>
      <w:pPr>
        <w:pStyle w:val="Heading2"/>
      </w:pPr>
      <w:r>
        <w:t>5.4 Automações por playbook</w:t>
      </w:r>
    </w:p>
    <w:p>
      <w:r>
        <w:t>O escritório cria modelos por área e tipo de caso. Ao iniciar um caso, o sistema gera fases, checklist documental, tarefas, responsáveis e mensagens sugeridas. Isso transforma conhecimento informal em processo replicável.</w:t>
      </w:r>
    </w:p>
    <w:p>
      <w:pPr>
        <w:pStyle w:val="Heading2"/>
      </w:pPr>
      <w:r>
        <w:t>5.5 IA com supervisão</w:t>
      </w:r>
    </w:p>
    <w:p>
      <w:r>
        <w:t>Recursos futuros de inteligência artificial devem atuar como assistência: resumir documentos, sugerir categorias, localizar informações e preparar rascunhos. Conteúdo gerado não será enviado ao cliente, protocolado ou tratado como orientação jurídica sem validação humana explícita. A origem dos dados, a versão do conteúdo e a aprovação devem permanecer auditáveis.</w:t>
      </w:r>
    </w:p>
    <w:p>
      <w:r>
        <w:br w:type="page"/>
      </w:r>
    </w:p>
    <w:p>
      <w:pPr>
        <w:pStyle w:val="Heading1"/>
      </w:pPr>
      <w:r>
        <w:t>6 Regras de negócio</w:t>
      </w:r>
    </w:p>
    <w:p>
      <w:r>
        <w:t>As regras abaixo formam a base funcional do produto. Elas devem ser convertidas em critérios de aceitação e testes antes do desenvolvimento de cada módulo.</w:t>
      </w:r>
    </w:p>
    <w:p>
      <w:pPr>
        <w:pStyle w:val="RuleID"/>
      </w:pPr>
      <w:r>
        <w:t>RN 001  Isolamento por escritório</w:t>
      </w:r>
    </w:p>
    <w:p>
      <w:pPr>
        <w:spacing w:after="80"/>
        <w:ind w:left="259"/>
      </w:pPr>
      <w:r>
        <w:t>Todo registro deve pertencer a um único escritório. Usuários de um escritório não podem consultar, pesquisar, exportar ou inferir dados de outro, inclusive por URL, API, relatório ou notificação.</w:t>
      </w:r>
    </w:p>
    <w:p>
      <w:pPr>
        <w:pStyle w:val="RuleID"/>
      </w:pPr>
      <w:r>
        <w:t>RN 002  Propriedade da conta</w:t>
      </w:r>
    </w:p>
    <w:p>
      <w:pPr>
        <w:spacing w:after="80"/>
        <w:ind w:left="259"/>
      </w:pPr>
      <w:r>
        <w:t>Cada escritório deve possuir ao menos um proprietário ativo. A transferência de propriedade exige reautenticação, confirmação do novo proprietário e registro de auditoria.</w:t>
      </w:r>
    </w:p>
    <w:p>
      <w:pPr>
        <w:pStyle w:val="RuleID"/>
      </w:pPr>
      <w:r>
        <w:t>RN 003  Convite de usuário</w:t>
      </w:r>
    </w:p>
    <w:p>
      <w:pPr>
        <w:spacing w:after="80"/>
        <w:ind w:left="259"/>
      </w:pPr>
      <w:r>
        <w:t>Somente usuários autorizados podem convidar membros. Convites devem expirar, ser de uso único e já conter perfil e escopo inicial definidos.</w:t>
      </w:r>
    </w:p>
    <w:p>
      <w:pPr>
        <w:pStyle w:val="RuleID"/>
      </w:pPr>
      <w:r>
        <w:t>RN 004  Privilégio mínimo</w:t>
      </w:r>
    </w:p>
    <w:p>
      <w:pPr>
        <w:spacing w:after="80"/>
        <w:ind w:left="259"/>
      </w:pPr>
      <w:r>
        <w:t>Novos usuários recebem apenas os acessos necessários. Permissões administrativas, financeiras, de exportação e exclusão não devem ser presumidas.</w:t>
      </w:r>
    </w:p>
    <w:p>
      <w:pPr>
        <w:pStyle w:val="RuleID"/>
      </w:pPr>
      <w:r>
        <w:t>RN 005  Autenticação reforçada</w:t>
      </w:r>
    </w:p>
    <w:p>
      <w:pPr>
        <w:spacing w:after="80"/>
        <w:ind w:left="259"/>
      </w:pPr>
      <w:r>
        <w:t>Ações sensíveis exigem sessão válida e podem exigir nova autenticação. MFA deve ser obrigatório para administradores e recomendado para os demais perfis.</w:t>
      </w:r>
    </w:p>
    <w:p>
      <w:pPr>
        <w:pStyle w:val="RuleID"/>
      </w:pPr>
      <w:r>
        <w:t>RN 006  Cliente único com múltiplos casos</w:t>
      </w:r>
    </w:p>
    <w:p>
      <w:pPr>
        <w:spacing w:after="80"/>
        <w:ind w:left="259"/>
      </w:pPr>
      <w:r>
        <w:t>Um cliente pode possuir vários casos. A identificação duplicada deve gerar alerta, mas a fusão de cadastros exige confirmação e preservação do histórico.</w:t>
      </w:r>
    </w:p>
    <w:p>
      <w:pPr>
        <w:pStyle w:val="RuleID"/>
      </w:pPr>
      <w:r>
        <w:t>RN 007  Verificação de conflito</w:t>
      </w:r>
    </w:p>
    <w:p>
      <w:pPr>
        <w:spacing w:after="80"/>
        <w:ind w:left="259"/>
      </w:pPr>
      <w:r>
        <w:t>Antes de confirmar novo cliente ou parte, o sistema deve pesquisar nomes, documentos e organizações relacionados na base do próprio escritório e registrar a decisão do usuário autorizado.</w:t>
      </w:r>
    </w:p>
    <w:p>
      <w:pPr>
        <w:pStyle w:val="RuleID"/>
      </w:pPr>
      <w:r>
        <w:t>RN 008  Caso judicial ou extrajudicial</w:t>
      </w:r>
    </w:p>
    <w:p>
      <w:pPr>
        <w:spacing w:after="80"/>
        <w:ind w:left="259"/>
      </w:pPr>
      <w:r>
        <w:t>O número processual não é obrigatório para criar um caso. Quando informado, deve seguir validação estrutural aplicável e permitir associação a mais de um processo relacionado.</w:t>
      </w:r>
    </w:p>
    <w:p>
      <w:pPr>
        <w:pStyle w:val="RuleID"/>
      </w:pPr>
      <w:r>
        <w:t>RN 009  Responsabilidade do caso</w:t>
      </w:r>
    </w:p>
    <w:p>
      <w:pPr>
        <w:spacing w:after="80"/>
        <w:ind w:left="259"/>
      </w:pPr>
      <w:r>
        <w:t>Todo caso ativo deve ter ao menos um responsável interno. A remoção do último responsável exige substituição ou encerramento do caso.</w:t>
      </w:r>
    </w:p>
    <w:p>
      <w:pPr>
        <w:pStyle w:val="RuleID"/>
      </w:pPr>
      <w:r>
        <w:t>RN 010  Status interno e status público</w:t>
      </w:r>
    </w:p>
    <w:p>
      <w:pPr>
        <w:spacing w:after="80"/>
        <w:ind w:left="259"/>
      </w:pPr>
      <w:r>
        <w:t>O status interno é separado do status exibido ao cliente. Alterar um não publica automaticamente o outro.</w:t>
      </w:r>
    </w:p>
    <w:p>
      <w:pPr>
        <w:pStyle w:val="RuleID"/>
      </w:pPr>
      <w:r>
        <w:t>RN 011  Publicação controlada</w:t>
      </w:r>
    </w:p>
    <w:p>
      <w:pPr>
        <w:spacing w:after="80"/>
        <w:ind w:left="259"/>
      </w:pPr>
      <w:r>
        <w:t>Somente usuários autorizados podem publicar atualizações no portal. A publicação deve indicar autor, data, conteúdo e versão; correções posteriores preservam o histórico.</w:t>
      </w:r>
    </w:p>
    <w:p>
      <w:pPr>
        <w:pStyle w:val="RuleID"/>
      </w:pPr>
      <w:r>
        <w:t>RN 012  Segredo e restrição</w:t>
      </w:r>
    </w:p>
    <w:p>
      <w:pPr>
        <w:spacing w:after="80"/>
        <w:ind w:left="259"/>
      </w:pPr>
      <w:r>
        <w:t>Casos e documentos marcados como sigilosos possuem lista explícita de acesso. Nenhum resumo, busca global, relatório ou notificação pode revelar conteúdo a usuários não autorizados.</w:t>
      </w:r>
    </w:p>
    <w:p>
      <w:pPr>
        <w:pStyle w:val="RuleID"/>
      </w:pPr>
      <w:r>
        <w:t>RN 013  Checklist documental</w:t>
      </w:r>
    </w:p>
    <w:p>
      <w:pPr>
        <w:spacing w:after="80"/>
        <w:ind w:left="259"/>
      </w:pPr>
      <w:r>
        <w:t>Cada pendência documental deve indicar solicitante, destinatário, obrigatoriedade, prazo, estado e critérios de aceite.</w:t>
      </w:r>
    </w:p>
    <w:p>
      <w:pPr>
        <w:pStyle w:val="RuleID"/>
      </w:pPr>
      <w:r>
        <w:t>RN 014  Estados do documento</w:t>
      </w:r>
    </w:p>
    <w:p>
      <w:pPr>
        <w:spacing w:after="80"/>
        <w:ind w:left="259"/>
      </w:pPr>
      <w:r>
        <w:t>O fluxo mínimo é solicitado, enviado, em análise, aprovado, recusado, substituído e dispensado. Recusa e dispensa exigem justificativa.</w:t>
      </w:r>
    </w:p>
    <w:p>
      <w:pPr>
        <w:pStyle w:val="RuleID"/>
      </w:pPr>
      <w:r>
        <w:t>RN 015  Versionamento</w:t>
      </w:r>
    </w:p>
    <w:p>
      <w:pPr>
        <w:spacing w:after="80"/>
        <w:ind w:left="259"/>
      </w:pPr>
      <w:r>
        <w:t>Substituir um arquivo cria nova versão. Versões anteriores permanecem preservadas conforme política de retenção e só podem ser vistas por usuários autorizados.</w:t>
      </w:r>
    </w:p>
    <w:p>
      <w:pPr>
        <w:pStyle w:val="RuleID"/>
      </w:pPr>
      <w:r>
        <w:t>RN 016  Disponibilização ao cliente</w:t>
      </w:r>
    </w:p>
    <w:p>
      <w:pPr>
        <w:spacing w:after="80"/>
        <w:ind w:left="259"/>
      </w:pPr>
      <w:r>
        <w:t>Nenhum documento interno fica visível ao cliente por padrão. A liberação é explícita e pode ser revogada sem apagar o registro histórico.</w:t>
      </w:r>
    </w:p>
    <w:p>
      <w:pPr>
        <w:pStyle w:val="RuleID"/>
      </w:pPr>
      <w:r>
        <w:t>RN 017  Arquivo potencialmente inseguro</w:t>
      </w:r>
    </w:p>
    <w:p>
      <w:pPr>
        <w:spacing w:after="80"/>
        <w:ind w:left="259"/>
      </w:pPr>
      <w:r>
        <w:t>Uploads devem respeitar tamanho e formatos permitidos, passar por verificação de segurança e permanecer indisponíveis até a conclusão da análise técnica.</w:t>
      </w:r>
    </w:p>
    <w:p>
      <w:pPr>
        <w:pStyle w:val="RuleID"/>
      </w:pPr>
      <w:r>
        <w:t>RN 018  Prazo e fuso horário</w:t>
      </w:r>
    </w:p>
    <w:p>
      <w:pPr>
        <w:spacing w:after="80"/>
        <w:ind w:left="259"/>
      </w:pPr>
      <w:r>
        <w:t>Prazos devem armazenar data, hora, fuso, origem e responsável. Alterações relevantes geram histórico e notificação.</w:t>
      </w:r>
    </w:p>
    <w:p>
      <w:pPr>
        <w:pStyle w:val="RuleID"/>
      </w:pPr>
      <w:r>
        <w:t>RN 019  Prazo crítico</w:t>
      </w:r>
    </w:p>
    <w:p>
      <w:pPr>
        <w:spacing w:after="80"/>
        <w:ind w:left="259"/>
      </w:pPr>
      <w:r>
        <w:t>Prazos marcados como críticos exigem confirmação de responsável e alertas escalonados. O sistema auxilia o controle, mas não garante o cálculo jurídico do prazo.</w:t>
      </w:r>
    </w:p>
    <w:p>
      <w:pPr>
        <w:pStyle w:val="RuleID"/>
      </w:pPr>
      <w:r>
        <w:t>RN 020  Conclusão de tarefa</w:t>
      </w:r>
    </w:p>
    <w:p>
      <w:pPr>
        <w:spacing w:after="80"/>
        <w:ind w:left="259"/>
      </w:pPr>
      <w:r>
        <w:t>A conclusão registra usuário, data e evidência opcional. Tarefas obrigatórias de uma fase podem bloquear o avanço conforme configuração do playbook.</w:t>
      </w:r>
    </w:p>
    <w:p>
      <w:pPr>
        <w:pStyle w:val="RuleID"/>
      </w:pPr>
      <w:r>
        <w:t>RN 021  Notificações</w:t>
      </w:r>
    </w:p>
    <w:p>
      <w:pPr>
        <w:spacing w:after="80"/>
        <w:ind w:left="259"/>
      </w:pPr>
      <w:r>
        <w:t>Usuários controlam canais não críticos. Alertas essenciais de segurança, cobrança, prazo crítico e mudança de acesso não podem ser desativados integralmente.</w:t>
      </w:r>
    </w:p>
    <w:p>
      <w:pPr>
        <w:pStyle w:val="RuleID"/>
      </w:pPr>
      <w:r>
        <w:t>RN 022  Comunicação com cliente</w:t>
      </w:r>
    </w:p>
    <w:p>
      <w:pPr>
        <w:spacing w:after="80"/>
        <w:ind w:left="259"/>
      </w:pPr>
      <w:r>
        <w:t>Mensagens devem ficar associadas ao cliente e, quando aplicável, ao caso. Conteúdo interno nunca deve ser encaminhado automaticamente.</w:t>
      </w:r>
    </w:p>
    <w:p>
      <w:pPr>
        <w:pStyle w:val="RuleID"/>
      </w:pPr>
      <w:r>
        <w:t>RN 023  Identidade do cliente</w:t>
      </w:r>
    </w:p>
    <w:p>
      <w:pPr>
        <w:spacing w:after="80"/>
        <w:ind w:left="259"/>
      </w:pPr>
      <w:r>
        <w:t>O primeiro acesso do cliente exige convite válido e verificação do canal definido pelo escritório. Alterações de e-mail ou telefone exigem confirmação reforçada.</w:t>
      </w:r>
    </w:p>
    <w:p>
      <w:pPr>
        <w:pStyle w:val="RuleID"/>
      </w:pPr>
      <w:r>
        <w:t>RN 024  Acesso do cliente</w:t>
      </w:r>
    </w:p>
    <w:p>
      <w:pPr>
        <w:spacing w:after="80"/>
        <w:ind w:left="259"/>
      </w:pPr>
      <w:r>
        <w:t>O cliente acessa somente registros vinculados à sua identidade e liberados pelo escritório. Casos compartilhados com mais de um cliente devem respeitar restrições individuais.</w:t>
      </w:r>
    </w:p>
    <w:p>
      <w:pPr>
        <w:pStyle w:val="RuleID"/>
      </w:pPr>
      <w:r>
        <w:t>RN 025  Solicitação do titular</w:t>
      </w:r>
    </w:p>
    <w:p>
      <w:pPr>
        <w:spacing w:after="80"/>
        <w:ind w:left="259"/>
      </w:pPr>
      <w:r>
        <w:t>O escritório deve conseguir localizar, exportar, corrigir, restringir ou eliminar dados quando juridicamente aplicável, preservando exceções legais e registros necessários.</w:t>
      </w:r>
    </w:p>
    <w:p>
      <w:pPr>
        <w:pStyle w:val="RuleID"/>
      </w:pPr>
      <w:r>
        <w:t>RN 026  Retenção</w:t>
      </w:r>
    </w:p>
    <w:p>
      <w:pPr>
        <w:spacing w:after="80"/>
        <w:ind w:left="259"/>
      </w:pPr>
      <w:r>
        <w:t>A retenção varia por categoria de dado e obrigação do escritório. Expiração deve gerar revisão, não exclusão automática indiscriminada.</w:t>
      </w:r>
    </w:p>
    <w:p>
      <w:pPr>
        <w:pStyle w:val="RuleID"/>
      </w:pPr>
      <w:r>
        <w:t>RN 027  Auditoria</w:t>
      </w:r>
    </w:p>
    <w:p>
      <w:pPr>
        <w:spacing w:after="80"/>
        <w:ind w:left="259"/>
      </w:pPr>
      <w:r>
        <w:t>Login, falhas de acesso, visualização de itens sensíveis, download, compartilhamento, exportação, mudança de permissão, publicação e exclusão devem gerar logs protegidos contra alteração comum.</w:t>
      </w:r>
    </w:p>
    <w:p>
      <w:pPr>
        <w:pStyle w:val="RuleID"/>
      </w:pPr>
      <w:r>
        <w:t>RN 028  Exclusão lógica</w:t>
      </w:r>
    </w:p>
    <w:p>
      <w:pPr>
        <w:spacing w:after="80"/>
        <w:ind w:left="259"/>
      </w:pPr>
      <w:r>
        <w:t>Registros essenciais são desativados ou enviados à lixeira antes da remoção definitiva. Exclusão definitiva exige permissão especial, prazo de recuperação e verificação de dependências.</w:t>
      </w:r>
    </w:p>
    <w:p>
      <w:pPr>
        <w:pStyle w:val="RuleID"/>
      </w:pPr>
      <w:r>
        <w:t>RN 029  Exportação</w:t>
      </w:r>
    </w:p>
    <w:p>
      <w:pPr>
        <w:spacing w:after="80"/>
        <w:ind w:left="259"/>
      </w:pPr>
      <w:r>
        <w:t>O escritório pode exportar seus dados em formato utilizável. Exportações sensíveis exigem autorização, ficam disponíveis por tempo limitado e são auditadas.</w:t>
      </w:r>
    </w:p>
    <w:p>
      <w:pPr>
        <w:pStyle w:val="RuleID"/>
      </w:pPr>
      <w:r>
        <w:t>RN 030  Cancelamento</w:t>
      </w:r>
    </w:p>
    <w:p>
      <w:pPr>
        <w:spacing w:after="80"/>
        <w:ind w:left="259"/>
      </w:pPr>
      <w:r>
        <w:t>Após cancelamento, o escritório mantém acesso em modo de exportação por período contratual definido. Encerrado o prazo, aplica-se a política de retenção e eliminação comunicada previamente.</w:t>
      </w:r>
    </w:p>
    <w:p>
      <w:pPr>
        <w:pStyle w:val="RuleID"/>
      </w:pPr>
      <w:r>
        <w:t>RN 031  Integração com fontes públicas</w:t>
      </w:r>
    </w:p>
    <w:p>
      <w:pPr>
        <w:spacing w:after="80"/>
        <w:ind w:left="259"/>
      </w:pPr>
      <w:r>
        <w:t>Dados externos devem registrar fonte e data de consulta. A plataforma não deve apresentar metadados públicos como certidão, conteúdo integral ou garantia de atualização.</w:t>
      </w:r>
    </w:p>
    <w:p>
      <w:pPr>
        <w:pStyle w:val="RuleID"/>
      </w:pPr>
      <w:r>
        <w:t>RN 032  IA assistiva</w:t>
      </w:r>
    </w:p>
    <w:p>
      <w:pPr>
        <w:spacing w:after="80"/>
        <w:ind w:left="259"/>
      </w:pPr>
      <w:r>
        <w:t>Toda saída de IA deve ser identificada como sugestão, permitir revisão e registrar aprovação antes de qualquer uso externo. Dados de um escritório não podem treinar modelos para outro sem base e autorização específicas.</w:t>
      </w:r>
    </w:p>
    <w:p>
      <w:pPr>
        <w:pStyle w:val="RuleID"/>
      </w:pPr>
      <w:r>
        <w:t>RN 033  Publicidade do escritório</w:t>
      </w:r>
    </w:p>
    <w:p>
      <w:pPr>
        <w:spacing w:after="80"/>
        <w:ind w:left="259"/>
      </w:pPr>
      <w:r>
        <w:t>Páginas públicas e recursos de marketing devem permitir conteúdo informativo, sem promessas de resultado, captação indevida ou divulgação incompatível com as regras profissionais aplicáveis.</w:t>
      </w:r>
    </w:p>
    <w:p>
      <w:pPr>
        <w:pStyle w:val="RuleID"/>
      </w:pPr>
      <w:r>
        <w:t>RN 034  Inadimplência</w:t>
      </w:r>
    </w:p>
    <w:p>
      <w:pPr>
        <w:spacing w:after="80"/>
        <w:ind w:left="259"/>
      </w:pPr>
      <w:r>
        <w:t>A inadimplência pode limitar criação de novos registros após aviso e carência, mas não deve bloquear imediatamente o acesso aos dados, prazos ativos ou exportação essencial.</w:t>
      </w:r>
    </w:p>
    <w:p>
      <w:pPr>
        <w:pStyle w:val="RuleID"/>
      </w:pPr>
      <w:r>
        <w:t>RN 035  Disponibilidade e incidentes</w:t>
      </w:r>
    </w:p>
    <w:p>
      <w:pPr>
        <w:spacing w:after="80"/>
        <w:ind w:left="259"/>
      </w:pPr>
      <w:r>
        <w:t>O fornecedor deve manter backups, recuperação testada, monitoramento e procedimento de resposta a incidentes, com comunicação aos escritórios conforme impacto e obrigações aplicáveis.</w:t>
      </w:r>
    </w:p>
    <w:p>
      <w:r>
        <w:br w:type="page"/>
      </w:r>
    </w:p>
    <w:p>
      <w:pPr>
        <w:pStyle w:val="Heading1"/>
      </w:pPr>
      <w:r>
        <w:t>7 Jornada principal</w:t>
      </w:r>
    </w:p>
    <w:p>
      <w:pPr>
        <w:pStyle w:val="Heading2"/>
      </w:pPr>
      <w:r>
        <w:t>7.1 Onboarding do escritório</w:t>
      </w:r>
    </w:p>
    <w:p>
      <w:pPr>
        <w:pStyle w:val="ListNumber"/>
        <w:spacing w:after="40"/>
      </w:pPr>
      <w:r>
        <w:t>Criar a conta e verificar o responsável.</w:t>
      </w:r>
    </w:p>
    <w:p>
      <w:pPr>
        <w:pStyle w:val="ListNumber"/>
        <w:spacing w:after="40"/>
      </w:pPr>
      <w:r>
        <w:t>Cadastrar dados do escritório, política de privacidade e identidade visual.</w:t>
      </w:r>
    </w:p>
    <w:p>
      <w:pPr>
        <w:pStyle w:val="ListNumber"/>
        <w:spacing w:after="40"/>
      </w:pPr>
      <w:r>
        <w:t>Convidar equipe e configurar perfis e equipes.</w:t>
      </w:r>
    </w:p>
    <w:p>
      <w:pPr>
        <w:pStyle w:val="ListNumber"/>
        <w:spacing w:after="40"/>
      </w:pPr>
      <w:r>
        <w:t>Importar clientes ou iniciar cadastros manualmente.</w:t>
      </w:r>
    </w:p>
    <w:p>
      <w:pPr>
        <w:pStyle w:val="ListNumber"/>
        <w:spacing w:after="40"/>
      </w:pPr>
      <w:r>
        <w:t>Selecionar um playbook ou criar o primeiro caso.</w:t>
      </w:r>
    </w:p>
    <w:p>
      <w:pPr>
        <w:pStyle w:val="ListNumber"/>
        <w:spacing w:after="40"/>
      </w:pPr>
      <w:r>
        <w:t>Convidar o cliente para o portal e solicitar documentos.</w:t>
      </w:r>
    </w:p>
    <w:p>
      <w:pPr>
        <w:pStyle w:val="ListNumber"/>
        <w:spacing w:after="40"/>
      </w:pPr>
      <w:r>
        <w:t>Acompanhar o painel de ativação até concluir os itens essenciais.</w:t>
      </w:r>
    </w:p>
    <w:p>
      <w:pPr>
        <w:pStyle w:val="Heading2"/>
      </w:pPr>
      <w:r>
        <w:t>7.2 Jornada do cliente</w:t>
      </w:r>
    </w:p>
    <w:p>
      <w:pPr>
        <w:pStyle w:val="ListNumber"/>
        <w:spacing w:after="40"/>
      </w:pPr>
      <w:r>
        <w:t>Receber convite seguro e validar a identidade.</w:t>
      </w:r>
    </w:p>
    <w:p>
      <w:pPr>
        <w:pStyle w:val="ListNumber"/>
        <w:spacing w:after="40"/>
      </w:pPr>
      <w:r>
        <w:t>Aceitar termos e visualizar somente os casos liberados.</w:t>
      </w:r>
    </w:p>
    <w:p>
      <w:pPr>
        <w:pStyle w:val="ListNumber"/>
        <w:spacing w:after="40"/>
      </w:pPr>
      <w:r>
        <w:t>Consultar status explicado e próximo passo.</w:t>
      </w:r>
    </w:p>
    <w:p>
      <w:pPr>
        <w:pStyle w:val="ListNumber"/>
        <w:spacing w:after="40"/>
      </w:pPr>
      <w:r>
        <w:t>Enviar documentos solicitados e acompanhar a análise.</w:t>
      </w:r>
    </w:p>
    <w:p>
      <w:pPr>
        <w:pStyle w:val="ListNumber"/>
        <w:spacing w:after="40"/>
      </w:pPr>
      <w:r>
        <w:t>Receber avisos de novas pendências ou atualizações.</w:t>
      </w:r>
    </w:p>
    <w:p>
      <w:pPr>
        <w:pStyle w:val="ListNumber"/>
        <w:spacing w:after="40"/>
      </w:pPr>
      <w:r>
        <w:t>Manter um histórico pesquisável de arquivos e comunicações.</w:t>
      </w:r>
    </w:p>
    <w:p>
      <w:pPr>
        <w:pStyle w:val="Heading1"/>
      </w:pPr>
      <w:r>
        <w:t>8 Página pública do produto</w:t>
      </w:r>
    </w:p>
    <w:p>
      <w:r>
        <w:t>A página pública deve vender a plataforma para escritórios, não serviços jurídicos ao consumidor. Sua mensagem precisa ser informativa, demonstrável e sem promessas absolutas.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756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Topo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Proposta de valor clara, demonstração e teste gratuito ou conversa comercial.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Problemas</w:t>
            </w:r>
          </w:p>
        </w:tc>
        <w:tc>
          <w:tcPr>
            <w:tcW w:type="dxa" w:w="75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dispersas, documentos faltantes, clientes sem retorno e equipe sem controle.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Produto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Visões do escritório e do portal, com capturas reais ou protótipo fiel.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Diferenciais</w:t>
            </w:r>
          </w:p>
        </w:tc>
        <w:tc>
          <w:tcPr>
            <w:tcW w:type="dxa" w:w="75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Clareza para o cliente, prontidão do caso, coleta guiada e playbooks.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Segurança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MFA, criptografia, auditoria, backups, isolamento e compromissos de privacidade.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Planos</w:t>
            </w:r>
          </w:p>
        </w:tc>
        <w:tc>
          <w:tcPr>
            <w:tcW w:type="dxa" w:w="75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Limites compreensíveis e comparação sem esconder recursos essenciais.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Materiais educativos para gestão de escritório e adoção de tecnologia.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Rodapé</w:t>
            </w:r>
          </w:p>
        </w:tc>
        <w:tc>
          <w:tcPr>
            <w:tcW w:type="dxa" w:w="756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Termos, privacidade, contato, status do serviço e informações empresariais.</w:t>
            </w:r>
          </w:p>
        </w:tc>
      </w:tr>
    </w:tbl>
    <w:p>
      <w:pPr>
        <w:spacing w:after="20"/>
      </w:pPr>
    </w:p>
    <w:p>
      <w:pPr>
        <w:pStyle w:val="Heading1"/>
      </w:pPr>
      <w:r>
        <w:t>9 Segurança privacidade e conformidade</w:t>
      </w:r>
    </w:p>
    <w:p>
      <w:r>
        <w:t>A plataforma tratará documentos, dados pessoais e informações potencialmente sensíveis. Segurança e privacidade são requisitos de produto e de confiança comercial, não apenas tarefas técnicas.</w:t>
      </w:r>
    </w:p>
    <w:p>
      <w:pPr>
        <w:pStyle w:val="ListBullet"/>
        <w:spacing w:after="40"/>
      </w:pPr>
      <w:r>
        <w:t>Criptografia em trânsito e, quando aplicável, em repouso; gestão segura de chaves e segredos.</w:t>
      </w:r>
    </w:p>
    <w:p>
      <w:pPr>
        <w:pStyle w:val="ListBullet"/>
        <w:spacing w:after="40"/>
      </w:pPr>
      <w:r>
        <w:t>MFA, proteção contra tentativas automatizadas, gestão de sessões e reautenticação para ações críticas.</w:t>
      </w:r>
    </w:p>
    <w:p>
      <w:pPr>
        <w:pStyle w:val="ListBullet"/>
        <w:spacing w:after="40"/>
      </w:pPr>
      <w:r>
        <w:t>RBAC com escopo por caso e equipe, além de revisões periódicas de acesso.</w:t>
      </w:r>
    </w:p>
    <w:p>
      <w:pPr>
        <w:pStyle w:val="ListBullet"/>
        <w:spacing w:after="40"/>
      </w:pPr>
      <w:r>
        <w:t>Logs de auditoria, monitoramento, alertas, backups e testes de restauração.</w:t>
      </w:r>
    </w:p>
    <w:p>
      <w:pPr>
        <w:pStyle w:val="ListBullet"/>
        <w:spacing w:after="40"/>
      </w:pPr>
      <w:r>
        <w:t>Ambientes separados, menor privilégio operacional e processo formal de incidentes.</w:t>
      </w:r>
    </w:p>
    <w:p>
      <w:pPr>
        <w:pStyle w:val="ListBullet"/>
        <w:spacing w:after="40"/>
      </w:pPr>
      <w:r>
        <w:t>Contrato definindo os papéis de controlador e operador conforme cada tratamento.</w:t>
      </w:r>
    </w:p>
    <w:p>
      <w:pPr>
        <w:pStyle w:val="ListBullet"/>
        <w:spacing w:after="40"/>
      </w:pPr>
      <w:r>
        <w:t>Inventário de dados, registro das operações, bases legais, retenção e canal para titulares.</w:t>
      </w:r>
    </w:p>
    <w:p>
      <w:pPr>
        <w:pStyle w:val="ListBullet"/>
        <w:spacing w:after="40"/>
      </w:pPr>
      <w:r>
        <w:t>Avaliação de fornecedores, localização dos dados e transferências internacionais quando existirem.</w:t>
      </w:r>
    </w:p>
    <w:p>
      <w:r>
        <w:t>A LGPD exige avaliação jurídica específica do modelo, contratos e fluxos. Este plano não substitui parecer jurídico, revisão de segurança ou adequação conduzida por profissionais responsáveis.</w:t>
      </w:r>
    </w:p>
    <w:p>
      <w:pPr>
        <w:pStyle w:val="Heading1"/>
      </w:pPr>
      <w:r>
        <w:t>10 Integrações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Integração</w:t>
            </w:r>
          </w:p>
        </w:tc>
        <w:tc>
          <w:tcPr>
            <w:tcW w:type="dxa" w:w="2952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4608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Cuidados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DataJud e fontes públicas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Metadados e movimentações públicas.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Respeitar limites, sigilo, cobertura, atualização e termos da fonte.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 e calendário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Convites, alertas e agenda.</w:t>
            </w:r>
          </w:p>
        </w:tc>
        <w:tc>
          <w:tcPr>
            <w:tcW w:type="dxa" w:w="460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Consentimento, escopos mínimos e prevenção de duplicidade.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Armazenamento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Documentos e versões.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Criptografia, isolamento, retenção e antivírus.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Assinatura eletrônica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Contratos e documentos.</w:t>
            </w:r>
          </w:p>
        </w:tc>
        <w:tc>
          <w:tcPr>
            <w:tcW w:type="dxa" w:w="460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Provedor confiável, evidências e validade conforme contexto.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Mensageria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Avisos e relacionamento.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Opt-in, templates, histórico e proteção contra vazamento.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Cobrança e conciliação.</w:t>
            </w:r>
          </w:p>
        </w:tc>
        <w:tc>
          <w:tcPr>
            <w:tcW w:type="dxa" w:w="460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Segregação de acesso e minimização de dados financeiros.</w:t>
            </w:r>
          </w:p>
        </w:tc>
      </w:tr>
    </w:tbl>
    <w:p>
      <w:pPr>
        <w:spacing w:after="20"/>
      </w:pPr>
    </w:p>
    <w:p>
      <w:pPr>
        <w:pStyle w:val="Heading1"/>
      </w:pPr>
      <w:r>
        <w:t>11 Escopo do MVP</w:t>
      </w:r>
    </w:p>
    <w:p>
      <w:pPr>
        <w:pStyle w:val="Heading2"/>
      </w:pPr>
      <w:r>
        <w:t>11.1 Incluído</w:t>
      </w:r>
    </w:p>
    <w:p>
      <w:pPr>
        <w:pStyle w:val="ListBullet"/>
        <w:spacing w:after="40"/>
      </w:pPr>
      <w:r>
        <w:t>Cadastro e login do escritório, equipe e clientes; recuperação de acesso e MFA administrativo.</w:t>
      </w:r>
    </w:p>
    <w:p>
      <w:pPr>
        <w:pStyle w:val="ListBullet"/>
        <w:spacing w:after="40"/>
      </w:pPr>
      <w:r>
        <w:t>Multiempresa, perfis, permissões e equipes.</w:t>
      </w:r>
    </w:p>
    <w:p>
      <w:pPr>
        <w:pStyle w:val="ListBullet"/>
        <w:spacing w:after="40"/>
      </w:pPr>
      <w:r>
        <w:t>Clientes, casos, processos relacionados, responsáveis, partes e timeline interna.</w:t>
      </w:r>
    </w:p>
    <w:p>
      <w:pPr>
        <w:pStyle w:val="ListBullet"/>
        <w:spacing w:after="40"/>
      </w:pPr>
      <w:r>
        <w:t>Documentos, versões, checklist, pendências e aprovação.</w:t>
      </w:r>
    </w:p>
    <w:p>
      <w:pPr>
        <w:pStyle w:val="ListBullet"/>
        <w:spacing w:after="40"/>
      </w:pPr>
      <w:r>
        <w:t>Tarefas, prazos, alertas e painel operacional.</w:t>
      </w:r>
    </w:p>
    <w:p>
      <w:pPr>
        <w:pStyle w:val="ListBullet"/>
        <w:spacing w:after="40"/>
      </w:pPr>
      <w:r>
        <w:t>Portal do cliente com status publicado, próximo passo, pendências e upload.</w:t>
      </w:r>
    </w:p>
    <w:p>
      <w:pPr>
        <w:pStyle w:val="ListBullet"/>
        <w:spacing w:after="40"/>
      </w:pPr>
      <w:r>
        <w:t>Auditoria mínima, exportação básica, lixeira e política de retenção inicial.</w:t>
      </w:r>
    </w:p>
    <w:p>
      <w:pPr>
        <w:pStyle w:val="ListBullet"/>
        <w:spacing w:after="40"/>
      </w:pPr>
      <w:r>
        <w:t>Página pública do SaaS, planos, contato, termos e privacidade.</w:t>
      </w:r>
    </w:p>
    <w:p>
      <w:pPr>
        <w:pStyle w:val="Heading2"/>
      </w:pPr>
      <w:r>
        <w:t>11.2 Fora do MVP</w:t>
      </w:r>
    </w:p>
    <w:p>
      <w:pPr>
        <w:pStyle w:val="ListBullet"/>
        <w:spacing w:after="40"/>
      </w:pPr>
      <w:r>
        <w:t>Peticionamento eletrônico e cálculo jurídico automático de prazos.</w:t>
      </w:r>
    </w:p>
    <w:p>
      <w:pPr>
        <w:pStyle w:val="ListBullet"/>
        <w:spacing w:after="40"/>
      </w:pPr>
      <w:r>
        <w:t>Captura universal de todos os tribunais e sistemas.</w:t>
      </w:r>
    </w:p>
    <w:p>
      <w:pPr>
        <w:pStyle w:val="ListBullet"/>
        <w:spacing w:after="40"/>
      </w:pPr>
      <w:r>
        <w:t>Contabilidade completa do escritório.</w:t>
      </w:r>
    </w:p>
    <w:p>
      <w:pPr>
        <w:pStyle w:val="ListBullet"/>
        <w:spacing w:after="40"/>
      </w:pPr>
      <w:r>
        <w:t>Assinatura eletrônica própria; usar integração futura.</w:t>
      </w:r>
    </w:p>
    <w:p>
      <w:pPr>
        <w:pStyle w:val="ListBullet"/>
        <w:spacing w:after="40"/>
      </w:pPr>
      <w:r>
        <w:t>IA que decide estratégia, prevê resultado ou envia conteúdo sem aprovação.</w:t>
      </w:r>
    </w:p>
    <w:p>
      <w:pPr>
        <w:pStyle w:val="ListBullet"/>
        <w:spacing w:after="40"/>
      </w:pPr>
      <w:r>
        <w:t>Aplicativo móvel nativo; começar com web responsiva e considerar PWA.</w:t>
      </w:r>
    </w:p>
    <w:p>
      <w:pPr>
        <w:pStyle w:val="Heading1"/>
      </w:pPr>
      <w:r>
        <w:t>12 Roadmap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736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400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Entregas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Descoberta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Validar dor e segmento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 a 25 entrevistas, protótipo, teste de preço e mapa de riscos.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7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Entregar valor central</w:t>
            </w:r>
          </w:p>
        </w:tc>
        <w:tc>
          <w:tcPr>
            <w:tcW w:type="dxa" w:w="54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Gestão básica, documentos, tarefas, permissões e portal do cliente.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Piloto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Validar operação real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 a 5 escritórios, migração assistida, métricas e correções.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Fase 2</w:t>
            </w:r>
          </w:p>
        </w:tc>
        <w:tc>
          <w:tcPr>
            <w:tcW w:type="dxa" w:w="27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Automatizar e integrar</w:t>
            </w:r>
          </w:p>
        </w:tc>
        <w:tc>
          <w:tcPr>
            <w:tcW w:type="dxa" w:w="54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Playbooks, DataJud, calendários, mensageria e financeiro básico.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Fase 3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 inteligência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Busca semântica, resumos e rascunhos supervisionados.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Escala</w:t>
            </w:r>
          </w:p>
        </w:tc>
        <w:tc>
          <w:tcPr>
            <w:tcW w:type="dxa" w:w="27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Melhorar aquisição e retenção</w:t>
            </w:r>
          </w:p>
        </w:tc>
        <w:tc>
          <w:tcPr>
            <w:tcW w:type="dxa" w:w="54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API, parceiros, onboarding self-service, SLA e controles avançados.</w:t>
            </w:r>
          </w:p>
        </w:tc>
      </w:tr>
    </w:tbl>
    <w:p>
      <w:pPr>
        <w:spacing w:after="20"/>
      </w:pPr>
    </w:p>
    <w:p>
      <w:pPr>
        <w:pStyle w:val="Heading1"/>
      </w:pPr>
      <w:r>
        <w:t>13 Critérios de sucesso do MVP</w:t>
      </w:r>
    </w:p>
    <w:p>
      <w:pPr>
        <w:pStyle w:val="ListBullet"/>
        <w:spacing w:after="40"/>
      </w:pPr>
      <w:r>
        <w:t>Pelo menos 60% dos escritórios pilotos concluem o onboarding sem intervenção técnica pesada.</w:t>
      </w:r>
    </w:p>
    <w:p>
      <w:pPr>
        <w:pStyle w:val="ListBullet"/>
        <w:spacing w:after="40"/>
      </w:pPr>
      <w:r>
        <w:t>Pelo menos 70% dos casos ativos possuem responsável, próximo passo e documentação controlada.</w:t>
      </w:r>
    </w:p>
    <w:p>
      <w:pPr>
        <w:pStyle w:val="ListBullet"/>
        <w:spacing w:after="40"/>
      </w:pPr>
      <w:r>
        <w:t>Redução percebida de contatos repetitivos de clientes após adoção do portal.</w:t>
      </w:r>
    </w:p>
    <w:p>
      <w:pPr>
        <w:pStyle w:val="ListBullet"/>
        <w:spacing w:after="40"/>
      </w:pPr>
      <w:r>
        <w:t>Clientes convidados conseguem enviar documentos sem suporte na maioria das tentativas.</w:t>
      </w:r>
    </w:p>
    <w:p>
      <w:pPr>
        <w:pStyle w:val="ListBullet"/>
        <w:spacing w:after="40"/>
      </w:pPr>
      <w:r>
        <w:t>Nenhum incidente de isolamento entre escritórios ou exposição indevida durante o piloto.</w:t>
      </w:r>
    </w:p>
    <w:p>
      <w:pPr>
        <w:pStyle w:val="ListBullet"/>
        <w:spacing w:after="40"/>
      </w:pPr>
      <w:r>
        <w:t>Ao menos três escritórios pilotos demonstram disposição real de pagar após o teste.</w:t>
      </w:r>
    </w:p>
    <w:p>
      <w:pPr>
        <w:pStyle w:val="Heading1"/>
      </w:pPr>
      <w:r>
        <w:t>14 Riscos e respostas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96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6552"/>
            <w:shd w:fill="1E3A5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Resposta recomendada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Escopo grande demais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Limitar o MVP aos quatro problemas centrais e adiar recursos especializados.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Vazamento de informação</w:t>
            </w:r>
          </w:p>
        </w:tc>
        <w:tc>
          <w:tcPr>
            <w:tcW w:type="dxa" w:w="65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Isolamento por tenant, testes de autorização, auditoria e revisão de segurança.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interpretar status como garantia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Linguagem aprovada pelo advogado e avisos claros no portal.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Integrações instáveis</w:t>
            </w:r>
          </w:p>
        </w:tc>
        <w:tc>
          <w:tcPr>
            <w:tcW w:type="dxa" w:w="65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fonte e atualização, usar filas, retentativas e sinalizar indisponibilidade.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Baixa adesão da equipe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Onboarding guiado, importação, playbooks e interface simples.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IA produzir erro</w:t>
            </w:r>
          </w:p>
        </w:tc>
        <w:tc>
          <w:tcPr>
            <w:tcW w:type="dxa" w:w="65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Supervisão humana, fontes visíveis, limites de uso e nenhuma ação externa automática.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Conflito com regras profissionais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publicidade, comunicações e funcionalidades com especialista.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Cancelamento por pouco valor</w:t>
            </w:r>
          </w:p>
        </w:tc>
        <w:tc>
          <w:tcPr>
            <w:tcW w:type="dxa" w:w="65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Acompanhar ativação, portal utilizado e redução de pendências como sinais de valor.</w:t>
            </w:r>
          </w:p>
        </w:tc>
      </w:tr>
    </w:tbl>
    <w:p>
      <w:pPr>
        <w:spacing w:after="20"/>
      </w:pPr>
    </w:p>
    <w:p>
      <w:pPr>
        <w:pStyle w:val="Heading1"/>
      </w:pPr>
      <w:r>
        <w:t>15 Hipóteses a validar com o mercado</w:t>
      </w:r>
    </w:p>
    <w:p>
      <w:pPr>
        <w:pStyle w:val="ListNumber"/>
        <w:spacing w:after="40"/>
      </w:pPr>
      <w:r>
        <w:t>Escritórios pagarão principalmente para reduzir retrabalho de atendimento e controlar documentos.</w:t>
      </w:r>
    </w:p>
    <w:p>
      <w:pPr>
        <w:pStyle w:val="ListNumber"/>
        <w:spacing w:after="40"/>
      </w:pPr>
      <w:r>
        <w:t>O cliente final adotará um portal se o acesso for simples e as atualizações forem realmente úteis.</w:t>
      </w:r>
    </w:p>
    <w:p>
      <w:pPr>
        <w:pStyle w:val="ListNumber"/>
        <w:spacing w:after="40"/>
      </w:pPr>
      <w:r>
        <w:t>O principal comprador será o sócio gestor ou responsável pela operação, não necessariamente o advogado mais técnico.</w:t>
      </w:r>
    </w:p>
    <w:p>
      <w:pPr>
        <w:pStyle w:val="ListNumber"/>
        <w:spacing w:after="40"/>
      </w:pPr>
      <w:r>
        <w:t>Playbooks configuráveis gerarão mais retenção que uma lista genérica de tarefas.</w:t>
      </w:r>
    </w:p>
    <w:p>
      <w:pPr>
        <w:pStyle w:val="ListNumber"/>
        <w:spacing w:after="40"/>
      </w:pPr>
      <w:r>
        <w:t>Integração processual será importante para venda, mas não precisa ser completa no primeiro lançamento.</w:t>
      </w:r>
    </w:p>
    <w:p>
      <w:pPr>
        <w:pStyle w:val="ListNumber"/>
        <w:spacing w:after="40"/>
      </w:pPr>
      <w:r>
        <w:t>Preço por faixa de usuários e armazenamento será mais compreensível que cobrança por processo.</w:t>
      </w:r>
    </w:p>
    <w:p>
      <w:pPr>
        <w:pStyle w:val="Heading1"/>
      </w:pPr>
      <w:r>
        <w:t>16 Próximas decisões</w:t>
      </w:r>
    </w:p>
    <w:p>
      <w:pPr>
        <w:pStyle w:val="ListNumber"/>
        <w:spacing w:after="40"/>
      </w:pPr>
      <w:r>
        <w:t>Escolher um nicho inicial ou confirmar uma proposta horizontal para pequenos escritórios.</w:t>
      </w:r>
    </w:p>
    <w:p>
      <w:pPr>
        <w:pStyle w:val="ListNumber"/>
        <w:spacing w:after="40"/>
      </w:pPr>
      <w:r>
        <w:t>Realizar entrevistas com sócios, advogados, assistentes e clientes de escritórios.</w:t>
      </w:r>
    </w:p>
    <w:p>
      <w:pPr>
        <w:pStyle w:val="ListNumber"/>
        <w:spacing w:after="40"/>
      </w:pPr>
      <w:r>
        <w:t>Definir nome provisório, identidade e domínio somente após pesquisa de marca e disponibilidade.</w:t>
      </w:r>
    </w:p>
    <w:p>
      <w:pPr>
        <w:pStyle w:val="ListNumber"/>
        <w:spacing w:after="40"/>
      </w:pPr>
      <w:r>
        <w:t>Criar protótipo navegável do escritório e do portal do cliente.</w:t>
      </w:r>
    </w:p>
    <w:p>
      <w:pPr>
        <w:pStyle w:val="ListNumber"/>
        <w:spacing w:after="40"/>
      </w:pPr>
      <w:r>
        <w:t>Transformar as regras RN 001 a RN 035 em épicos, histórias e critérios de aceitação.</w:t>
      </w:r>
    </w:p>
    <w:p>
      <w:pPr>
        <w:pStyle w:val="ListNumber"/>
        <w:spacing w:after="40"/>
      </w:pPr>
      <w:r>
        <w:t>Definir arquitetura, modelo de dados, controles de segurança e política de retenção.</w:t>
      </w:r>
    </w:p>
    <w:p>
      <w:pPr>
        <w:pStyle w:val="ListNumber"/>
        <w:spacing w:after="40"/>
      </w:pPr>
      <w:r>
        <w:t>Selecionar escritórios pilotos e documentar métricas de sucesso antes do desenvolvimento completo.</w:t>
      </w:r>
    </w:p>
    <w:p>
      <w:pPr>
        <w:pStyle w:val="Heading1"/>
      </w:pPr>
      <w:r>
        <w:t>17 Referências regulatórias e técnicas</w:t>
      </w:r>
    </w:p>
    <w:p>
      <w:pPr>
        <w:ind w:left="288" w:hanging="288"/>
      </w:pPr>
      <w:r>
        <w:t>Lei nº 13.709 de 2018 Lei Geral de Proteção de Dados Pessoais. Presidência da República. https://www.planalto.gov.br/ccivil_03/_ato2015-2018/2018/lei/l13709.htm</w:t>
      </w:r>
    </w:p>
    <w:p>
      <w:pPr>
        <w:ind w:left="288" w:hanging="288"/>
      </w:pPr>
      <w:r>
        <w:t>Guia orientativo sobre segurança da informação para agentes de tratamento de pequeno porte. ANPD. https://www.gov.br/anpd/pt-br/centrais-de-conteudo/materiais-educativos-e-publicacoes/guia-orientativo-sobre-seguranca-da-informacao-para-agentes-de-tratamento-de-pequeno-porte</w:t>
      </w:r>
    </w:p>
    <w:p>
      <w:pPr>
        <w:ind w:left="288" w:hanging="288"/>
      </w:pPr>
      <w:r>
        <w:t>Provimento nº 205 de 2021 sobre publicidade e informação da advocacia. Conselho Federal da OAB. https://www.oab.org.br/util/print?numero=205%2F2021&amp;origem=Provimentos&amp;print=Legislacao</w:t>
      </w:r>
    </w:p>
    <w:p>
      <w:pPr>
        <w:ind w:left="288" w:hanging="288"/>
      </w:pPr>
      <w:r>
        <w:t>API Pública do DataJud. Conselho Nacional de Justiça. https://datajud-wiki.cnj.jus.br/api-publica/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Plano de Negócio do SaaS Jurídico  |  Versão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Aptos" w:hAnsi="Apto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ID">
    <w:name w:val="Rule ID"/>
    <w:pPr>
      <w:spacing w:before="120" w:after="40"/>
    </w:pPr>
    <w:rPr>
      <w:rFonts w:ascii="Aptos" w:hAnsi="Aptos"/>
      <w:b/>
      <w:color w:val="1E3A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Negócio do SaaS Jurídico</dc:title>
  <dc:subject>Requisitos, regras de negócio, diferenciais e roadmap</dc:subject>
  <dc:creator>Gabriel Marques Andrade da Silva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