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 xml:space="preserve">FORMULÁRIO DE PRODUTOS 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sz w:val="28"/>
          <w:szCs w:val="28"/>
        </w:rPr>
        <w:t>Produto:</w:t>
      </w:r>
      <w:r>
        <w:rPr/>
        <w:t xml:space="preserve"> VALMAX SELADOR ACRÍLICO INTERNO (selador para pisos porosos internos)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Descrição:</w:t>
      </w:r>
      <w:r>
        <w:rPr>
          <w:sz w:val="24"/>
          <w:szCs w:val="24"/>
        </w:rPr>
        <w:t xml:space="preserve"> </w:t>
      </w:r>
      <w:r>
        <w:rPr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Produto formulado à base de água, com alta performance no processo de nivelamento de superfícies para a impermeabilização com os produtos Valmax cera acrílica TM / HS / UHS. Desenvolvido para áreas de baixo, médio e elevado tráfego, de áreas internas. Possui Excelente resistência, prepara o piso para um acabamento acrílico aumentando o rendimento e qualidade no tratamento do piso, e reduz o número de camadas necessárias na aplicação da cera impermeabilizante. Podendo ser utilizado em pisos porosos como: pedras naturais, concretos, cimento polido, cerâmicas, granilites, granito natural, mármore entre outros. Oferece boa aderência inclusive em pisos de baixa porosidade.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Modo de uso: </w:t>
      </w:r>
      <w:r>
        <w:rPr>
          <w:b w:val="false"/>
          <w:bCs w:val="false"/>
          <w:sz w:val="24"/>
          <w:szCs w:val="24"/>
        </w:rPr>
        <w:t xml:space="preserve">É necessário que a superfície </w:t>
      </w:r>
      <w:r>
        <w:rPr>
          <w:b w:val="false"/>
          <w:bCs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esteja totalmente limpa, isenta de poeira, areia, ou qualquer outra sujidade,</w:t>
      </w:r>
      <w:r>
        <w:rPr>
          <w:b w:val="false"/>
          <w:bCs w:val="false"/>
          <w:sz w:val="24"/>
          <w:szCs w:val="24"/>
        </w:rPr>
        <w:t xml:space="preserve"> para obter uma melhor fixação do produto. Aplique o Valmax selador interno no piso, dependendo do grau de absorção de cada piso, aplicar até no máximo 3 camadas, com intervalos de 20 a 30 min entre as aplicações, para obter um melhor resultado.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Rendimento: </w:t>
      </w:r>
      <w:r>
        <w:rPr>
          <w:b w:val="false"/>
          <w:bCs w:val="false"/>
          <w:sz w:val="24"/>
          <w:szCs w:val="24"/>
        </w:rPr>
        <w:t xml:space="preserve">Possui um rendimento de </w:t>
      </w:r>
      <w:r>
        <w:rPr>
          <w:b w:val="false"/>
          <w:bCs w:val="false"/>
          <w:sz w:val="24"/>
          <w:szCs w:val="24"/>
        </w:rPr>
        <w:t>4</w:t>
      </w:r>
      <w:r>
        <w:rPr>
          <w:b w:val="false"/>
          <w:bCs w:val="false"/>
          <w:sz w:val="24"/>
          <w:szCs w:val="24"/>
        </w:rPr>
        <w:t>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>
          <w:b w:val="false"/>
          <w:bCs w:val="false"/>
          <w:sz w:val="24"/>
          <w:szCs w:val="24"/>
        </w:rPr>
        <w:t xml:space="preserve">  a </w:t>
      </w:r>
      <w:r>
        <w:rPr>
          <w:b w:val="false"/>
          <w:bCs w:val="false"/>
          <w:sz w:val="24"/>
          <w:szCs w:val="24"/>
        </w:rPr>
        <w:t>6</w:t>
      </w:r>
      <w:r>
        <w:rPr>
          <w:b w:val="false"/>
          <w:bCs w:val="false"/>
          <w:sz w:val="24"/>
          <w:szCs w:val="24"/>
        </w:rPr>
        <w:t>0</w:t>
      </w:r>
      <w:r>
        <w:rPr/>
      </w:r>
      <m:oMath xmlns:m="http://schemas.openxmlformats.org/officeDocument/2006/math"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  <w:r>
        <w:rPr/>
        <w:t xml:space="preserve"> </w:t>
      </w:r>
      <w:r>
        <w:rPr/>
        <w:t>por litro</w:t>
      </w:r>
      <w:r>
        <w:rPr>
          <w:b w:val="false"/>
          <w:bCs w:val="false"/>
          <w:sz w:val="24"/>
          <w:szCs w:val="24"/>
        </w:rPr>
        <w:t>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Indicação: </w:t>
      </w:r>
      <w:r>
        <w:rPr>
          <w:b w:val="false"/>
          <w:bCs w:val="false"/>
          <w:sz w:val="24"/>
          <w:szCs w:val="24"/>
        </w:rPr>
        <w:t>Uso em pisos institucionais (restaurantes, supermercados, shoppings, clubes, escolas, hotéis, condomínios, prédios comerciais, indústrias diversas, cozinhas industriais e etc).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Armazenamento: </w:t>
      </w:r>
      <w:r>
        <w:rPr>
          <w:b w:val="false"/>
          <w:bCs w:val="false"/>
          <w:sz w:val="24"/>
          <w:szCs w:val="24"/>
        </w:rPr>
        <w:t xml:space="preserve">Armazenar o produto na embalagem original, fechada, sem exposição constante a luz solar e calor, </w:t>
      </w:r>
      <w:r>
        <w:rPr>
          <w:rFonts w:cs="Arial"/>
          <w:b w:val="false"/>
          <w:bCs w:val="false"/>
          <w:sz w:val="24"/>
          <w:szCs w:val="24"/>
        </w:rPr>
        <w:t>para conservação da qualidade do material</w:t>
      </w:r>
      <w:r>
        <w:rPr>
          <w:b w:val="false"/>
          <w:bCs w:val="false"/>
          <w:sz w:val="24"/>
          <w:szCs w:val="24"/>
        </w:rPr>
        <w:t>. Com validade de 24 meses (2 anos)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Texto destaque: </w:t>
      </w:r>
      <w:r>
        <w:rPr>
          <w:b w:val="false"/>
          <w:bCs w:val="false"/>
          <w:sz w:val="24"/>
          <w:szCs w:val="24"/>
        </w:rPr>
        <w:t>Possui como distaque em seu rotulo: “Antes de usar, leia as instruções de rotulo”,  “Resistente a trafego Elevado”, “Aplicar ate no máximo 3 camadas”, “Fácil Aplicação”, “Brilho Intenso”, “Precauções/advertências”, “Alto rendimento”.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jc w:val="both"/>
        <w:rPr/>
      </w:pPr>
      <w:r>
        <w:rPr>
          <w:rFonts w:cs="Arial"/>
          <w:b/>
          <w:bCs/>
          <w:color w:val="000000"/>
          <w:sz w:val="28"/>
          <w:szCs w:val="28"/>
        </w:rPr>
        <w:t>Precauções/advertências:</w:t>
      </w:r>
      <w:r>
        <w:rPr>
          <w:rFonts w:cs="Arial"/>
          <w:color w:val="000000"/>
          <w:sz w:val="24"/>
          <w:szCs w:val="24"/>
        </w:rPr>
        <w:t xml:space="preserve"> Conserve fora do alcance de crianças e animais domésticos. Pode provocar reações alérgicas, irritações na pele e oculares. Não ingerir, Evite inalação ou aspiração e contato com os olhos. Evite o contato prolongado com a pele. Recomenda-se o uso de luvas de proteção, roupa de proteção, botas, proteção ocular ou facial. Lave as mão cuidadosamente após manuseio. Produto pronto uso, não misture com água na embalagem original. Mantenha o produto armazenado em sua embalagem original. Não reutiliza a embalagem vazia para outros fins. Não armazene próximo a alimentos. </w:t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rFonts w:ascii="Liberation Serif" w:hAnsi="Liberation Serif" w:cs="Arial"/>
          <w:color w:val="000000"/>
          <w:sz w:val="24"/>
          <w:szCs w:val="24"/>
        </w:rPr>
      </w:pPr>
      <w:r>
        <w:rPr>
          <w:rFonts w:cs="Arial"/>
          <w:color w:val="000000"/>
          <w:sz w:val="24"/>
          <w:szCs w:val="24"/>
        </w:rPr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  <w:sz w:val="28"/>
          <w:szCs w:val="28"/>
        </w:rPr>
        <w:t>Primeiro socorros:</w:t>
      </w:r>
      <w:r>
        <w:rPr>
          <w:b w:val="false"/>
          <w:bCs w:val="false"/>
          <w:sz w:val="24"/>
          <w:szCs w:val="24"/>
        </w:rPr>
        <w:t xml:space="preserve"> Em caso de contato com olhos ou pele, leve imediatamente com água corrente, em caso de ingestão, não provoque vomito e consulto imediatamente o centro de intoxicações(0800-0148110) ou o médico, levando o rotulo do produto.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  <w:sz w:val="28"/>
          <w:szCs w:val="28"/>
        </w:rPr>
        <w:t>Características Fisico-Quimicas: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Normal"/>
        <w:tblW w:w="9336" w:type="dxa"/>
        <w:jc w:val="left"/>
        <w:tblInd w:w="5" w:type="dxa"/>
        <w:tblLayout w:type="fixed"/>
        <w:tblCellMar>
          <w:top w:w="0" w:type="dxa"/>
          <w:left w:w="5" w:type="dxa"/>
          <w:bottom w:w="0" w:type="dxa"/>
          <w:right w:w="5" w:type="dxa"/>
        </w:tblCellMar>
        <w:tblLook w:firstRow="1" w:noVBand="0" w:lastRow="1" w:firstColumn="1" w:lastColumn="1" w:noHBand="0" w:val="01e0"/>
      </w:tblPr>
      <w:tblGrid>
        <w:gridCol w:w="2412"/>
        <w:gridCol w:w="6923"/>
      </w:tblGrid>
      <w:tr>
        <w:trPr>
          <w:trHeight w:val="336" w:hRule="atLeast"/>
        </w:trPr>
        <w:tc>
          <w:tcPr>
            <w:tcW w:w="93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0" w:before="0" w:after="0"/>
              <w:ind w:right="1843" w:hanging="0"/>
              <w:jc w:val="center"/>
              <w:rPr>
                <w:rFonts w:ascii="Arial" w:hAnsi="Arial" w:cs="Arial"/>
                <w:b/>
                <w:b/>
                <w:bCs/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kern w:val="0"/>
                <w:sz w:val="20"/>
                <w:szCs w:val="20"/>
              </w:rPr>
              <w:t xml:space="preserve">                            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  </w:t>
            </w: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Propriedades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Branco</w:t>
            </w:r>
          </w:p>
        </w:tc>
      </w:tr>
      <w:tr>
        <w:trPr>
          <w:trHeight w:val="27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Odor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Característico de cera acrílica</w:t>
            </w:r>
          </w:p>
        </w:tc>
      </w:tr>
      <w:tr>
        <w:trPr>
          <w:trHeight w:val="34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Estado físico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Líquido leitoso</w:t>
            </w:r>
          </w:p>
        </w:tc>
      </w:tr>
      <w:tr>
        <w:trPr>
          <w:trHeight w:val="792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3" w:before="0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Composição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auto" w:line="247" w:before="5" w:after="0"/>
              <w:ind w:left="71" w:right="92" w:hanging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Acrílico, agentes formadores de filmes, emulsificantes, agente de polimento, atenuador de espuma, conservante e veículo.</w:t>
            </w:r>
          </w:p>
        </w:tc>
      </w:tr>
      <w:tr>
        <w:trPr>
          <w:trHeight w:val="239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0" w:before="0" w:after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Ativo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5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Polímero Acrílico</w:t>
            </w:r>
          </w:p>
        </w:tc>
      </w:tr>
      <w:tr>
        <w:trPr>
          <w:trHeight w:val="338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>pH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5" w:before="7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9,0 ±  0,5</w:t>
            </w:r>
          </w:p>
        </w:tc>
      </w:tr>
      <w:tr>
        <w:trPr>
          <w:trHeight w:val="336" w:hRule="atLeast"/>
        </w:trPr>
        <w:tc>
          <w:tcPr>
            <w:tcW w:w="2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19" w:before="5" w:after="0"/>
              <w:ind w:left="69" w:hanging="0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rFonts w:cs="Arial" w:ascii="Arial" w:hAnsi="Arial"/>
                <w:b/>
                <w:bCs/>
                <w:kern w:val="0"/>
                <w:sz w:val="24"/>
                <w:szCs w:val="24"/>
              </w:rPr>
              <w:t xml:space="preserve">Densidade </w:t>
            </w:r>
          </w:p>
        </w:tc>
        <w:tc>
          <w:tcPr>
            <w:tcW w:w="6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bidi w:val="0"/>
              <w:spacing w:lineRule="exact" w:line="224" w:before="0" w:after="0"/>
              <w:ind w:left="71" w:hanging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kern w:val="0"/>
                <w:sz w:val="20"/>
                <w:szCs w:val="20"/>
              </w:rPr>
              <w:t>0.99482 ± 0,0002 [g/</w:t>
            </w:r>
            <w:r>
              <w:rPr/>
            </w:r>
            <m:oMath xmlns:m="http://schemas.openxmlformats.org/officeDocument/2006/math">
              <m:r>
                <w:rPr>
                  <w:rFonts w:ascii="Cambria Math" w:hAnsi="Cambria Math"/>
                </w:rPr>
                <m:t xml:space="preserve">ml</m:t>
              </m:r>
            </m:oMath>
            <w:r>
              <w:rPr>
                <w:rFonts w:cs="Arial" w:ascii="Arial" w:hAnsi="Arial"/>
                <w:kern w:val="0"/>
                <w:sz w:val="20"/>
                <w:szCs w:val="20"/>
              </w:rPr>
              <w:t>]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Ficha Técnica (1 página): 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198755</wp:posOffset>
            </wp:positionH>
            <wp:positionV relativeFrom="paragraph">
              <wp:posOffset>99060</wp:posOffset>
            </wp:positionV>
            <wp:extent cx="5722620" cy="6341745"/>
            <wp:effectExtent l="0" t="0" r="0" b="0"/>
            <wp:wrapSquare wrapText="largest"/>
            <wp:docPr id="1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6341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4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2" name="Linha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5">
                <wp:simplePos x="0" y="0"/>
                <wp:positionH relativeFrom="column">
                  <wp:posOffset>196850</wp:posOffset>
                </wp:positionH>
                <wp:positionV relativeFrom="paragraph">
                  <wp:posOffset>99060</wp:posOffset>
                </wp:positionV>
                <wp:extent cx="5737860" cy="3175"/>
                <wp:effectExtent l="635" t="635" r="635" b="635"/>
                <wp:wrapNone/>
                <wp:docPr id="3" name="Linh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7.8pt" to="467.25pt,8pt" ID="Linha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8">
                <wp:simplePos x="0" y="0"/>
                <wp:positionH relativeFrom="column">
                  <wp:posOffset>196850</wp:posOffset>
                </wp:positionH>
                <wp:positionV relativeFrom="paragraph">
                  <wp:posOffset>6219825</wp:posOffset>
                </wp:positionV>
                <wp:extent cx="5737860" cy="3175"/>
                <wp:effectExtent l="635" t="635" r="635" b="635"/>
                <wp:wrapNone/>
                <wp:docPr id="4" name="Linha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8040" cy="32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5pt,489.75pt" to="467.25pt,489.95pt" ID="Linha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9">
                <wp:simplePos x="0" y="0"/>
                <wp:positionH relativeFrom="column">
                  <wp:posOffset>198755</wp:posOffset>
                </wp:positionH>
                <wp:positionV relativeFrom="paragraph">
                  <wp:posOffset>99060</wp:posOffset>
                </wp:positionV>
                <wp:extent cx="7620" cy="6118860"/>
                <wp:effectExtent l="635" t="635" r="635" b="635"/>
                <wp:wrapNone/>
                <wp:docPr id="5" name="Linha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" cy="61189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5.65pt,7.8pt" to="16.2pt,489.55pt" ID="Linha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0">
                <wp:simplePos x="0" y="0"/>
                <wp:positionH relativeFrom="column">
                  <wp:posOffset>5944235</wp:posOffset>
                </wp:positionH>
                <wp:positionV relativeFrom="paragraph">
                  <wp:posOffset>99060</wp:posOffset>
                </wp:positionV>
                <wp:extent cx="8255" cy="6119495"/>
                <wp:effectExtent l="635" t="635" r="635" b="635"/>
                <wp:wrapNone/>
                <wp:docPr id="6" name="Linha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" cy="611964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8.05pt,7.8pt" to="468.65pt,489.6pt" ID="Linha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635" distB="635" distL="635" distR="635" simplePos="0" locked="0" layoutInCell="0" allowOverlap="1" relativeHeight="6">
                <wp:simplePos x="0" y="0"/>
                <wp:positionH relativeFrom="column">
                  <wp:posOffset>5188585</wp:posOffset>
                </wp:positionH>
                <wp:positionV relativeFrom="paragraph">
                  <wp:posOffset>588645</wp:posOffset>
                </wp:positionV>
                <wp:extent cx="634365" cy="635"/>
                <wp:effectExtent l="635" t="635" r="635" b="635"/>
                <wp:wrapNone/>
                <wp:docPr id="7" name="Linha horizontal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46.35pt" to="458.45pt,46.35pt" ID="Linha horizontal 1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7">
                <wp:simplePos x="0" y="0"/>
                <wp:positionH relativeFrom="column">
                  <wp:posOffset>5188585</wp:posOffset>
                </wp:positionH>
                <wp:positionV relativeFrom="paragraph">
                  <wp:posOffset>2508885</wp:posOffset>
                </wp:positionV>
                <wp:extent cx="634365" cy="635"/>
                <wp:effectExtent l="635" t="635" r="635" b="635"/>
                <wp:wrapNone/>
                <wp:docPr id="8" name="Linha horizontal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2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8.55pt,197.55pt" to="458.45pt,197.55pt" ID="Linha horizontal 2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FISPQ (8 páginas):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469265</wp:posOffset>
            </wp:positionH>
            <wp:positionV relativeFrom="paragraph">
              <wp:posOffset>117475</wp:posOffset>
            </wp:positionV>
            <wp:extent cx="5516880" cy="5890260"/>
            <wp:effectExtent l="0" t="0" r="0" b="0"/>
            <wp:wrapSquare wrapText="largest"/>
            <wp:docPr id="9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589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mc:AlternateContent>
          <mc:Choice Requires="wps">
            <w:drawing>
              <wp:anchor behindDoc="0" distT="635" distB="635" distL="635" distR="635" simplePos="0" locked="0" layoutInCell="0" allowOverlap="1" relativeHeight="11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0" name="Linha horizontal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3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2">
                <wp:simplePos x="0" y="0"/>
                <wp:positionH relativeFrom="column">
                  <wp:posOffset>629285</wp:posOffset>
                </wp:positionH>
                <wp:positionV relativeFrom="paragraph">
                  <wp:posOffset>40005</wp:posOffset>
                </wp:positionV>
                <wp:extent cx="5227320" cy="635"/>
                <wp:effectExtent l="635" t="635" r="635" b="635"/>
                <wp:wrapNone/>
                <wp:docPr id="11" name="Linha horizontal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3.15pt" to="461.1pt,3.15pt" ID="Linha horizontal 4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3">
                <wp:simplePos x="0" y="0"/>
                <wp:positionH relativeFrom="column">
                  <wp:posOffset>629285</wp:posOffset>
                </wp:positionH>
                <wp:positionV relativeFrom="paragraph">
                  <wp:posOffset>6041390</wp:posOffset>
                </wp:positionV>
                <wp:extent cx="5227320" cy="635"/>
                <wp:effectExtent l="635" t="635" r="635" b="635"/>
                <wp:wrapNone/>
                <wp:docPr id="12" name="Linha horizontal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27200" cy="72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5pt,475.7pt" to="461.1pt,475.7pt" ID="Linha horizontal 5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4">
                <wp:simplePos x="0" y="0"/>
                <wp:positionH relativeFrom="column">
                  <wp:posOffset>628650</wp:posOffset>
                </wp:positionH>
                <wp:positionV relativeFrom="paragraph">
                  <wp:posOffset>40640</wp:posOffset>
                </wp:positionV>
                <wp:extent cx="635" cy="6005195"/>
                <wp:effectExtent l="635" t="635" r="635" b="635"/>
                <wp:wrapNone/>
                <wp:docPr id="13" name="Linha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9.5pt,3.2pt" to="49.5pt,476pt" ID="Linha 6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635" distB="635" distL="635" distR="635" simplePos="0" locked="0" layoutInCell="0" allowOverlap="1" relativeHeight="15">
                <wp:simplePos x="0" y="0"/>
                <wp:positionH relativeFrom="column">
                  <wp:posOffset>5856605</wp:posOffset>
                </wp:positionH>
                <wp:positionV relativeFrom="paragraph">
                  <wp:posOffset>36195</wp:posOffset>
                </wp:positionV>
                <wp:extent cx="0" cy="6005195"/>
                <wp:effectExtent l="635" t="635" r="635" b="635"/>
                <wp:wrapNone/>
                <wp:docPr id="14" name="Linha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6005160"/>
                        </a:xfrm>
                        <a:prstGeom prst="line">
                          <a:avLst/>
                        </a:prstGeom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61.15pt,2.85pt" to="461.15pt,475.65pt" ID="Linha 7" stroked="t" o:allowincell="f" style="position:absolute">
                <v:stroke color="#3465a4" joinstyle="round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Testes elaborados: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Resultado dos testes: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549</TotalTime>
  <Application>LibreOffice/7.4.0.3$Windows_X86_64 LibreOffice_project/f85e47c08ddd19c015c0114a68350214f7066f5a</Application>
  <AppVersion>15.0000</AppVersion>
  <Pages>3</Pages>
  <Words>449</Words>
  <Characters>2643</Characters>
  <CharactersWithSpaces>3103</CharactersWithSpaces>
  <Paragraphs>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2023-06-05T10:30:32Z</dcterms:created>
  <dc:creator/>
  <dc:description/>
  <dc:language>pt-BR</dc:language>
  <cp:lastModifiedBy/>
  <dcterms:modified xsi:type="dcterms:W3CDTF">2023-06-21T09:04:00Z</dcterms:modified>
  <cp:revision>25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