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A52" w:rsidRDefault="00E71A52" w:rsidP="00E71A52">
      <w:pPr>
        <w:spacing w:before="11"/>
        <w:rPr>
          <w:sz w:val="26"/>
        </w:rPr>
      </w:pPr>
    </w:p>
    <w:tbl>
      <w:tblPr>
        <w:tblW w:w="0" w:type="auto"/>
        <w:tblInd w:w="1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60"/>
        <w:gridCol w:w="3460"/>
        <w:gridCol w:w="5180"/>
      </w:tblGrid>
      <w:tr w:rsidR="00E71A52" w:rsidTr="00B225FE">
        <w:trPr>
          <w:trHeight w:val="1229"/>
        </w:trPr>
        <w:tc>
          <w:tcPr>
            <w:tcW w:w="1660" w:type="dxa"/>
            <w:tcBorders>
              <w:top w:val="single" w:sz="12" w:space="0" w:color="000000"/>
              <w:left w:val="single" w:sz="12" w:space="0" w:color="000000"/>
              <w:bottom w:val="single" w:sz="12" w:space="0" w:color="000000"/>
              <w:right w:val="single" w:sz="12" w:space="0" w:color="000000"/>
            </w:tcBorders>
          </w:tcPr>
          <w:p w:rsidR="00E71A52" w:rsidRDefault="00E71A52" w:rsidP="00B225FE">
            <w:pPr>
              <w:pStyle w:val="TableParagraph"/>
              <w:spacing w:before="3" w:line="256" w:lineRule="auto"/>
              <w:rPr>
                <w:sz w:val="8"/>
              </w:rPr>
            </w:pPr>
          </w:p>
          <w:p w:rsidR="00E71A52" w:rsidRDefault="00E71A52" w:rsidP="00B225FE">
            <w:pPr>
              <w:pStyle w:val="TableParagraph"/>
              <w:spacing w:line="256" w:lineRule="auto"/>
              <w:ind w:left="370"/>
              <w:rPr>
                <w:sz w:val="20"/>
              </w:rPr>
            </w:pPr>
            <w:r>
              <w:rPr>
                <w:noProof/>
                <w:sz w:val="20"/>
              </w:rPr>
              <w:drawing>
                <wp:inline distT="0" distB="0" distL="0" distR="0" wp14:anchorId="3C8EA4D4" wp14:editId="475630AE">
                  <wp:extent cx="595630" cy="595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630" cy="595630"/>
                          </a:xfrm>
                          <a:prstGeom prst="rect">
                            <a:avLst/>
                          </a:prstGeom>
                          <a:noFill/>
                          <a:ln>
                            <a:noFill/>
                          </a:ln>
                        </pic:spPr>
                      </pic:pic>
                    </a:graphicData>
                  </a:graphic>
                </wp:inline>
              </w:drawing>
            </w:r>
          </w:p>
        </w:tc>
        <w:tc>
          <w:tcPr>
            <w:tcW w:w="3460" w:type="dxa"/>
            <w:tcBorders>
              <w:top w:val="single" w:sz="12" w:space="0" w:color="000000"/>
              <w:left w:val="single" w:sz="12" w:space="0" w:color="000000"/>
              <w:bottom w:val="single" w:sz="12" w:space="0" w:color="000000"/>
              <w:right w:val="single" w:sz="12" w:space="0" w:color="000000"/>
            </w:tcBorders>
          </w:tcPr>
          <w:p w:rsidR="00E71A52" w:rsidRDefault="00E71A52" w:rsidP="00B225FE">
            <w:pPr>
              <w:pStyle w:val="TableParagraph"/>
              <w:spacing w:line="256" w:lineRule="auto"/>
            </w:pPr>
          </w:p>
          <w:p w:rsidR="00E71A52" w:rsidRDefault="00E71A52" w:rsidP="00B225FE">
            <w:pPr>
              <w:pStyle w:val="TableParagraph"/>
              <w:spacing w:before="5" w:line="256" w:lineRule="auto"/>
              <w:rPr>
                <w:sz w:val="28"/>
              </w:rPr>
            </w:pPr>
          </w:p>
          <w:p w:rsidR="00E71A52" w:rsidRDefault="00E71A52" w:rsidP="00B225FE">
            <w:pPr>
              <w:pStyle w:val="TableParagraph"/>
              <w:spacing w:line="256" w:lineRule="auto"/>
              <w:ind w:left="105"/>
              <w:rPr>
                <w:sz w:val="20"/>
              </w:rPr>
            </w:pPr>
            <w:r>
              <w:rPr>
                <w:spacing w:val="-1"/>
                <w:sz w:val="20"/>
              </w:rPr>
              <w:t>Reference</w:t>
            </w:r>
            <w:r>
              <w:rPr>
                <w:spacing w:val="-10"/>
                <w:sz w:val="20"/>
              </w:rPr>
              <w:t xml:space="preserve"> </w:t>
            </w:r>
            <w:r>
              <w:rPr>
                <w:sz w:val="20"/>
              </w:rPr>
              <w:t>No.:BatStateU-FO-COL-03</w:t>
            </w:r>
          </w:p>
        </w:tc>
        <w:tc>
          <w:tcPr>
            <w:tcW w:w="5180" w:type="dxa"/>
            <w:tcBorders>
              <w:top w:val="single" w:sz="12" w:space="0" w:color="000000"/>
              <w:left w:val="single" w:sz="12" w:space="0" w:color="000000"/>
              <w:bottom w:val="single" w:sz="12" w:space="0" w:color="000000"/>
              <w:right w:val="single" w:sz="12" w:space="0" w:color="000000"/>
            </w:tcBorders>
          </w:tcPr>
          <w:p w:rsidR="00E71A52" w:rsidRDefault="00E71A52" w:rsidP="00B225FE">
            <w:pPr>
              <w:pStyle w:val="TableParagraph"/>
              <w:spacing w:line="256" w:lineRule="auto"/>
            </w:pPr>
          </w:p>
          <w:p w:rsidR="00E71A52" w:rsidRDefault="00E71A52" w:rsidP="00B225FE">
            <w:pPr>
              <w:pStyle w:val="TableParagraph"/>
              <w:spacing w:before="5" w:line="256" w:lineRule="auto"/>
              <w:rPr>
                <w:sz w:val="28"/>
              </w:rPr>
            </w:pPr>
          </w:p>
          <w:p w:rsidR="00E71A52" w:rsidRDefault="00E71A52" w:rsidP="00B225FE">
            <w:pPr>
              <w:pStyle w:val="TableParagraph"/>
              <w:tabs>
                <w:tab w:val="left" w:pos="3650"/>
              </w:tabs>
              <w:spacing w:line="256" w:lineRule="auto"/>
              <w:ind w:left="95"/>
              <w:rPr>
                <w:sz w:val="20"/>
              </w:rPr>
            </w:pPr>
            <w:r>
              <w:rPr>
                <w:sz w:val="20"/>
              </w:rPr>
              <w:t>Effectivity</w:t>
            </w:r>
            <w:r>
              <w:rPr>
                <w:spacing w:val="-6"/>
                <w:sz w:val="20"/>
              </w:rPr>
              <w:t xml:space="preserve"> </w:t>
            </w:r>
            <w:r>
              <w:rPr>
                <w:sz w:val="20"/>
              </w:rPr>
              <w:t>Date:</w:t>
            </w:r>
            <w:r>
              <w:rPr>
                <w:spacing w:val="-5"/>
                <w:sz w:val="20"/>
              </w:rPr>
              <w:t xml:space="preserve"> </w:t>
            </w:r>
            <w:r w:rsidR="001F7DF7">
              <w:rPr>
                <w:sz w:val="20"/>
              </w:rPr>
              <w:t>April</w:t>
            </w:r>
            <w:r>
              <w:rPr>
                <w:spacing w:val="-5"/>
                <w:sz w:val="20"/>
              </w:rPr>
              <w:t xml:space="preserve"> </w:t>
            </w:r>
            <w:r w:rsidR="001F7DF7">
              <w:rPr>
                <w:sz w:val="20"/>
              </w:rPr>
              <w:t>4</w:t>
            </w:r>
            <w:r>
              <w:rPr>
                <w:sz w:val="20"/>
              </w:rPr>
              <w:t>,</w:t>
            </w:r>
            <w:r>
              <w:rPr>
                <w:spacing w:val="-6"/>
                <w:sz w:val="20"/>
              </w:rPr>
              <w:t xml:space="preserve"> </w:t>
            </w:r>
            <w:r w:rsidR="001F7DF7">
              <w:rPr>
                <w:sz w:val="20"/>
              </w:rPr>
              <w:t>2022</w:t>
            </w:r>
            <w:r>
              <w:rPr>
                <w:sz w:val="20"/>
              </w:rPr>
              <w:tab/>
              <w:t>Revision</w:t>
            </w:r>
            <w:r>
              <w:rPr>
                <w:spacing w:val="-4"/>
                <w:sz w:val="20"/>
              </w:rPr>
              <w:t xml:space="preserve"> </w:t>
            </w:r>
            <w:r>
              <w:rPr>
                <w:sz w:val="20"/>
              </w:rPr>
              <w:t>No.:</w:t>
            </w:r>
            <w:r>
              <w:rPr>
                <w:spacing w:val="-4"/>
                <w:sz w:val="20"/>
              </w:rPr>
              <w:t xml:space="preserve"> </w:t>
            </w:r>
            <w:r>
              <w:rPr>
                <w:sz w:val="20"/>
              </w:rPr>
              <w:t>00</w:t>
            </w:r>
          </w:p>
        </w:tc>
      </w:tr>
    </w:tbl>
    <w:p w:rsidR="00E71A52" w:rsidRDefault="00E71A52" w:rsidP="00E71A52">
      <w:pPr>
        <w:spacing w:before="7"/>
      </w:pPr>
    </w:p>
    <w:tbl>
      <w:tblPr>
        <w:tblW w:w="0" w:type="auto"/>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000"/>
        <w:gridCol w:w="6340"/>
      </w:tblGrid>
      <w:tr w:rsidR="00E71A52" w:rsidTr="00B225FE">
        <w:trPr>
          <w:trHeight w:val="530"/>
        </w:trPr>
        <w:tc>
          <w:tcPr>
            <w:tcW w:w="10340" w:type="dxa"/>
            <w:gridSpan w:val="2"/>
            <w:tcBorders>
              <w:top w:val="single" w:sz="12" w:space="0" w:color="000000"/>
              <w:left w:val="single" w:sz="12" w:space="0" w:color="000000"/>
              <w:bottom w:val="single" w:sz="12" w:space="0" w:color="000000"/>
              <w:right w:val="single" w:sz="12" w:space="0" w:color="000000"/>
            </w:tcBorders>
            <w:shd w:val="clear" w:color="auto" w:fill="F1F1F1"/>
            <w:hideMark/>
          </w:tcPr>
          <w:p w:rsidR="00E71A52" w:rsidRDefault="00E71A52" w:rsidP="00B225FE">
            <w:pPr>
              <w:pStyle w:val="TableParagraph"/>
              <w:tabs>
                <w:tab w:val="left" w:pos="3716"/>
              </w:tabs>
              <w:spacing w:before="136" w:line="256" w:lineRule="auto"/>
              <w:ind w:left="105"/>
              <w:rPr>
                <w:b/>
                <w:sz w:val="24"/>
              </w:rPr>
            </w:pPr>
            <w:r>
              <w:rPr>
                <w:b/>
                <w:sz w:val="24"/>
              </w:rPr>
              <w:t>Title:</w:t>
            </w:r>
            <w:r>
              <w:rPr>
                <w:b/>
                <w:sz w:val="24"/>
              </w:rPr>
              <w:tab/>
            </w:r>
            <w:r>
              <w:rPr>
                <w:b/>
                <w:spacing w:val="-1"/>
                <w:sz w:val="24"/>
              </w:rPr>
              <w:t>TOPIC</w:t>
            </w:r>
            <w:r>
              <w:rPr>
                <w:b/>
                <w:spacing w:val="-14"/>
                <w:sz w:val="24"/>
              </w:rPr>
              <w:t xml:space="preserve"> </w:t>
            </w:r>
            <w:r>
              <w:rPr>
                <w:b/>
                <w:sz w:val="24"/>
              </w:rPr>
              <w:t>ABSTRACT</w:t>
            </w:r>
            <w:r>
              <w:rPr>
                <w:b/>
                <w:spacing w:val="-5"/>
                <w:sz w:val="24"/>
              </w:rPr>
              <w:t xml:space="preserve"> </w:t>
            </w:r>
            <w:r>
              <w:rPr>
                <w:b/>
                <w:sz w:val="24"/>
              </w:rPr>
              <w:t>FORM</w:t>
            </w:r>
          </w:p>
        </w:tc>
      </w:tr>
      <w:tr w:rsidR="00E71A52" w:rsidTr="00B225FE">
        <w:trPr>
          <w:trHeight w:val="270"/>
        </w:trPr>
        <w:tc>
          <w:tcPr>
            <w:tcW w:w="4000" w:type="dxa"/>
            <w:tcBorders>
              <w:top w:val="single" w:sz="12" w:space="0" w:color="000000"/>
              <w:left w:val="single" w:sz="12" w:space="0" w:color="000000"/>
              <w:bottom w:val="single" w:sz="12" w:space="0" w:color="000000"/>
              <w:right w:val="single" w:sz="12" w:space="0" w:color="000000"/>
            </w:tcBorders>
            <w:hideMark/>
          </w:tcPr>
          <w:p w:rsidR="00E71A52" w:rsidRDefault="00E71A52" w:rsidP="00B225FE">
            <w:pPr>
              <w:pStyle w:val="TableParagraph"/>
              <w:spacing w:before="11" w:line="239" w:lineRule="exact"/>
              <w:ind w:left="105"/>
              <w:rPr>
                <w:sz w:val="24"/>
              </w:rPr>
            </w:pPr>
            <w:r>
              <w:rPr>
                <w:sz w:val="24"/>
              </w:rPr>
              <w:t>College</w:t>
            </w:r>
          </w:p>
        </w:tc>
        <w:tc>
          <w:tcPr>
            <w:tcW w:w="6340" w:type="dxa"/>
            <w:tcBorders>
              <w:top w:val="single" w:sz="12" w:space="0" w:color="000000"/>
              <w:left w:val="single" w:sz="12" w:space="0" w:color="000000"/>
              <w:bottom w:val="single" w:sz="12" w:space="0" w:color="000000"/>
              <w:right w:val="single" w:sz="12" w:space="0" w:color="000000"/>
            </w:tcBorders>
            <w:hideMark/>
          </w:tcPr>
          <w:p w:rsidR="00E71A52" w:rsidRDefault="00E71A52" w:rsidP="00B225FE">
            <w:pPr>
              <w:pStyle w:val="TableParagraph"/>
              <w:spacing w:before="11" w:line="239" w:lineRule="exact"/>
              <w:ind w:left="95"/>
              <w:rPr>
                <w:sz w:val="24"/>
              </w:rPr>
            </w:pPr>
            <w:r>
              <w:rPr>
                <w:sz w:val="24"/>
              </w:rPr>
              <w:t>College of Informatics and Computing Sciences</w:t>
            </w:r>
          </w:p>
        </w:tc>
      </w:tr>
      <w:tr w:rsidR="00E71A52" w:rsidTr="00B225FE">
        <w:trPr>
          <w:trHeight w:val="1088"/>
        </w:trPr>
        <w:tc>
          <w:tcPr>
            <w:tcW w:w="4000" w:type="dxa"/>
            <w:tcBorders>
              <w:top w:val="single" w:sz="12" w:space="0" w:color="000000"/>
              <w:left w:val="single" w:sz="12" w:space="0" w:color="000000"/>
              <w:bottom w:val="single" w:sz="4" w:space="0" w:color="auto"/>
              <w:right w:val="single" w:sz="12" w:space="0" w:color="000000"/>
            </w:tcBorders>
            <w:hideMark/>
          </w:tcPr>
          <w:p w:rsidR="00E71A52" w:rsidRDefault="00E71A52" w:rsidP="00B225FE">
            <w:pPr>
              <w:pStyle w:val="TableParagraph"/>
              <w:spacing w:before="11" w:line="239" w:lineRule="exact"/>
              <w:ind w:left="105"/>
              <w:rPr>
                <w:sz w:val="24"/>
              </w:rPr>
            </w:pPr>
            <w:r>
              <w:rPr>
                <w:sz w:val="24"/>
              </w:rPr>
              <w:t>Proponent</w:t>
            </w:r>
          </w:p>
        </w:tc>
        <w:tc>
          <w:tcPr>
            <w:tcW w:w="6340" w:type="dxa"/>
            <w:tcBorders>
              <w:top w:val="single" w:sz="12" w:space="0" w:color="000000"/>
              <w:left w:val="single" w:sz="12" w:space="0" w:color="000000"/>
              <w:bottom w:val="single" w:sz="4" w:space="0" w:color="auto"/>
              <w:right w:val="single" w:sz="12" w:space="0" w:color="000000"/>
            </w:tcBorders>
          </w:tcPr>
          <w:p w:rsidR="00E71A52" w:rsidRDefault="00935627" w:rsidP="00B225FE">
            <w:pPr>
              <w:pStyle w:val="TableParagraph"/>
              <w:spacing w:line="256" w:lineRule="auto"/>
              <w:ind w:left="95"/>
              <w:rPr>
                <w:sz w:val="24"/>
                <w:szCs w:val="24"/>
              </w:rPr>
            </w:pPr>
            <w:r>
              <w:rPr>
                <w:sz w:val="24"/>
                <w:szCs w:val="24"/>
              </w:rPr>
              <w:t>Bience Nico</w:t>
            </w:r>
            <w:r w:rsidR="00E71A52" w:rsidRPr="003E365B">
              <w:rPr>
                <w:sz w:val="24"/>
                <w:szCs w:val="24"/>
              </w:rPr>
              <w:t xml:space="preserve"> Cacao</w:t>
            </w:r>
          </w:p>
          <w:p w:rsidR="00B65C96" w:rsidRPr="003E365B" w:rsidRDefault="00B65C96" w:rsidP="00B225FE">
            <w:pPr>
              <w:pStyle w:val="TableParagraph"/>
              <w:spacing w:line="256" w:lineRule="auto"/>
              <w:ind w:left="95"/>
              <w:rPr>
                <w:sz w:val="24"/>
                <w:szCs w:val="24"/>
              </w:rPr>
            </w:pPr>
            <w:r>
              <w:rPr>
                <w:sz w:val="24"/>
                <w:szCs w:val="24"/>
              </w:rPr>
              <w:t>C</w:t>
            </w:r>
            <w:r w:rsidR="00452A56">
              <w:rPr>
                <w:sz w:val="24"/>
                <w:szCs w:val="24"/>
              </w:rPr>
              <w:t>hristian Mulin</w:t>
            </w:r>
            <w:r w:rsidR="0048329A">
              <w:rPr>
                <w:sz w:val="24"/>
                <w:szCs w:val="24"/>
              </w:rPr>
              <w:t>g</w:t>
            </w:r>
            <w:bookmarkStart w:id="0" w:name="_GoBack"/>
            <w:bookmarkEnd w:id="0"/>
            <w:r w:rsidR="00452A56">
              <w:rPr>
                <w:sz w:val="24"/>
                <w:szCs w:val="24"/>
              </w:rPr>
              <w:t>tapang</w:t>
            </w:r>
          </w:p>
          <w:p w:rsidR="00E71A52" w:rsidRPr="003E365B" w:rsidRDefault="00935627" w:rsidP="00B225FE">
            <w:pPr>
              <w:pStyle w:val="TableParagraph"/>
              <w:spacing w:line="256" w:lineRule="auto"/>
              <w:ind w:left="95"/>
              <w:rPr>
                <w:sz w:val="24"/>
                <w:szCs w:val="24"/>
              </w:rPr>
            </w:pPr>
            <w:r>
              <w:rPr>
                <w:sz w:val="24"/>
                <w:szCs w:val="24"/>
              </w:rPr>
              <w:t>Allen Francis</w:t>
            </w:r>
            <w:r w:rsidR="00E71A52" w:rsidRPr="003E365B">
              <w:rPr>
                <w:sz w:val="24"/>
                <w:szCs w:val="24"/>
              </w:rPr>
              <w:t xml:space="preserve"> Reyes</w:t>
            </w:r>
          </w:p>
          <w:p w:rsidR="00E71A52" w:rsidRPr="003E365B" w:rsidRDefault="00935627" w:rsidP="00B225FE">
            <w:pPr>
              <w:pStyle w:val="TableParagraph"/>
              <w:spacing w:line="256" w:lineRule="auto"/>
              <w:ind w:left="95"/>
              <w:rPr>
                <w:sz w:val="24"/>
                <w:szCs w:val="24"/>
              </w:rPr>
            </w:pPr>
            <w:r>
              <w:rPr>
                <w:sz w:val="24"/>
                <w:szCs w:val="24"/>
              </w:rPr>
              <w:t>Marie Alyssa</w:t>
            </w:r>
            <w:r w:rsidR="00E71A52" w:rsidRPr="003E365B">
              <w:rPr>
                <w:sz w:val="24"/>
                <w:szCs w:val="24"/>
              </w:rPr>
              <w:t xml:space="preserve"> Vergara</w:t>
            </w:r>
          </w:p>
          <w:p w:rsidR="00E71A52" w:rsidRPr="00B65C96" w:rsidRDefault="00935627" w:rsidP="00B65C96">
            <w:pPr>
              <w:pStyle w:val="TableParagraph"/>
              <w:spacing w:line="256" w:lineRule="auto"/>
              <w:ind w:left="95"/>
              <w:rPr>
                <w:sz w:val="24"/>
                <w:szCs w:val="24"/>
              </w:rPr>
            </w:pPr>
            <w:r>
              <w:rPr>
                <w:sz w:val="24"/>
                <w:szCs w:val="24"/>
              </w:rPr>
              <w:t xml:space="preserve">Meryll Denise </w:t>
            </w:r>
            <w:r w:rsidR="00E71A52" w:rsidRPr="003E365B">
              <w:rPr>
                <w:sz w:val="24"/>
                <w:szCs w:val="24"/>
              </w:rPr>
              <w:t>Villanueva</w:t>
            </w:r>
          </w:p>
        </w:tc>
      </w:tr>
      <w:tr w:rsidR="00E71A52" w:rsidTr="00B225FE">
        <w:trPr>
          <w:trHeight w:val="134"/>
        </w:trPr>
        <w:tc>
          <w:tcPr>
            <w:tcW w:w="4000" w:type="dxa"/>
            <w:tcBorders>
              <w:top w:val="single" w:sz="4" w:space="0" w:color="auto"/>
              <w:left w:val="single" w:sz="12" w:space="0" w:color="000000"/>
              <w:bottom w:val="single" w:sz="12" w:space="0" w:color="000000"/>
              <w:right w:val="single" w:sz="12" w:space="0" w:color="000000"/>
            </w:tcBorders>
          </w:tcPr>
          <w:p w:rsidR="00E71A52" w:rsidRDefault="00E71A52" w:rsidP="00B225FE">
            <w:pPr>
              <w:pStyle w:val="TableParagraph"/>
              <w:spacing w:before="11" w:line="239" w:lineRule="exact"/>
              <w:ind w:left="105"/>
              <w:rPr>
                <w:sz w:val="24"/>
              </w:rPr>
            </w:pPr>
            <w:r>
              <w:rPr>
                <w:sz w:val="24"/>
              </w:rPr>
              <w:t>Repository Name</w:t>
            </w:r>
          </w:p>
        </w:tc>
        <w:tc>
          <w:tcPr>
            <w:tcW w:w="6340" w:type="dxa"/>
            <w:tcBorders>
              <w:top w:val="single" w:sz="4" w:space="0" w:color="auto"/>
              <w:left w:val="single" w:sz="12" w:space="0" w:color="000000"/>
              <w:bottom w:val="single" w:sz="12" w:space="0" w:color="000000"/>
              <w:right w:val="single" w:sz="12" w:space="0" w:color="000000"/>
            </w:tcBorders>
          </w:tcPr>
          <w:p w:rsidR="00E71A52" w:rsidRPr="00B65C96" w:rsidRDefault="00B65C96" w:rsidP="00B65C96">
            <w:pPr>
              <w:ind w:left="95"/>
              <w:rPr>
                <w:sz w:val="24"/>
                <w:szCs w:val="24"/>
              </w:rPr>
            </w:pPr>
            <w:r w:rsidRPr="00B65C96">
              <w:rPr>
                <w:color w:val="24292F"/>
                <w:sz w:val="24"/>
                <w:szCs w:val="24"/>
              </w:rPr>
              <w:t>ITBA-3206</w:t>
            </w:r>
            <w:r w:rsidRPr="00B65C96">
              <w:rPr>
                <w:color w:val="24292F"/>
                <w:sz w:val="24"/>
                <w:szCs w:val="24"/>
              </w:rPr>
              <w:t>_TheEcoWarriors</w:t>
            </w:r>
          </w:p>
        </w:tc>
      </w:tr>
      <w:tr w:rsidR="00E71A52" w:rsidTr="00B225FE">
        <w:trPr>
          <w:trHeight w:val="270"/>
        </w:trPr>
        <w:tc>
          <w:tcPr>
            <w:tcW w:w="4000" w:type="dxa"/>
            <w:tcBorders>
              <w:top w:val="single" w:sz="12" w:space="0" w:color="000000"/>
              <w:left w:val="single" w:sz="12" w:space="0" w:color="000000"/>
              <w:bottom w:val="single" w:sz="12" w:space="0" w:color="000000"/>
              <w:right w:val="single" w:sz="12" w:space="0" w:color="000000"/>
            </w:tcBorders>
            <w:hideMark/>
          </w:tcPr>
          <w:p w:rsidR="00E71A52" w:rsidRDefault="00E71A52" w:rsidP="00B225FE">
            <w:pPr>
              <w:pStyle w:val="TableParagraph"/>
              <w:spacing w:before="11" w:line="239" w:lineRule="exact"/>
              <w:ind w:left="105"/>
              <w:rPr>
                <w:sz w:val="24"/>
              </w:rPr>
            </w:pPr>
            <w:r>
              <w:rPr>
                <w:sz w:val="24"/>
              </w:rPr>
              <w:t>Program</w:t>
            </w:r>
          </w:p>
        </w:tc>
        <w:tc>
          <w:tcPr>
            <w:tcW w:w="6340" w:type="dxa"/>
            <w:tcBorders>
              <w:top w:val="single" w:sz="12" w:space="0" w:color="000000"/>
              <w:left w:val="single" w:sz="12" w:space="0" w:color="000000"/>
              <w:bottom w:val="single" w:sz="12" w:space="0" w:color="000000"/>
              <w:right w:val="single" w:sz="12" w:space="0" w:color="000000"/>
            </w:tcBorders>
            <w:hideMark/>
          </w:tcPr>
          <w:p w:rsidR="00E71A52" w:rsidRDefault="00E71A52" w:rsidP="00B225FE">
            <w:pPr>
              <w:pStyle w:val="TableParagraph"/>
              <w:spacing w:before="11" w:line="239" w:lineRule="exact"/>
              <w:ind w:left="95"/>
              <w:rPr>
                <w:sz w:val="24"/>
              </w:rPr>
            </w:pPr>
            <w:r>
              <w:rPr>
                <w:spacing w:val="-6"/>
                <w:sz w:val="24"/>
              </w:rPr>
              <w:t xml:space="preserve">BS </w:t>
            </w:r>
            <w:r>
              <w:rPr>
                <w:sz w:val="24"/>
              </w:rPr>
              <w:t>Information</w:t>
            </w:r>
            <w:r>
              <w:rPr>
                <w:spacing w:val="-10"/>
                <w:sz w:val="24"/>
              </w:rPr>
              <w:t xml:space="preserve"> </w:t>
            </w:r>
            <w:r>
              <w:rPr>
                <w:sz w:val="24"/>
              </w:rPr>
              <w:t>Technology - Business Analytics</w:t>
            </w:r>
          </w:p>
        </w:tc>
      </w:tr>
      <w:tr w:rsidR="00E71A52" w:rsidTr="00B225FE">
        <w:trPr>
          <w:trHeight w:val="1089"/>
        </w:trPr>
        <w:tc>
          <w:tcPr>
            <w:tcW w:w="10340" w:type="dxa"/>
            <w:gridSpan w:val="2"/>
            <w:tcBorders>
              <w:top w:val="single" w:sz="12" w:space="0" w:color="000000"/>
              <w:left w:val="single" w:sz="12" w:space="0" w:color="000000"/>
              <w:bottom w:val="single" w:sz="12" w:space="0" w:color="000000"/>
              <w:right w:val="single" w:sz="12" w:space="0" w:color="000000"/>
            </w:tcBorders>
            <w:hideMark/>
          </w:tcPr>
          <w:p w:rsidR="00E71A52" w:rsidRDefault="00E71A52" w:rsidP="007F2A22">
            <w:pPr>
              <w:pStyle w:val="TableParagraph"/>
              <w:shd w:val="clear" w:color="auto" w:fill="F2F2F2" w:themeFill="background1" w:themeFillShade="F2"/>
              <w:spacing w:before="11" w:line="256" w:lineRule="auto"/>
              <w:ind w:left="105"/>
              <w:rPr>
                <w:sz w:val="24"/>
              </w:rPr>
            </w:pPr>
            <w:r>
              <w:rPr>
                <w:sz w:val="24"/>
              </w:rPr>
              <w:t>Proposed</w:t>
            </w:r>
            <w:r>
              <w:rPr>
                <w:spacing w:val="-9"/>
                <w:sz w:val="24"/>
              </w:rPr>
              <w:t xml:space="preserve"> </w:t>
            </w:r>
            <w:r>
              <w:rPr>
                <w:sz w:val="24"/>
              </w:rPr>
              <w:t>Title</w:t>
            </w:r>
            <w:r w:rsidR="007F2A22">
              <w:rPr>
                <w:sz w:val="24"/>
              </w:rPr>
              <w:t>:</w:t>
            </w:r>
          </w:p>
          <w:p w:rsidR="00E71A52" w:rsidRPr="000845A4" w:rsidRDefault="007F2A22" w:rsidP="007F2A22">
            <w:pPr>
              <w:pStyle w:val="TableParagraph"/>
              <w:spacing w:before="9" w:line="256" w:lineRule="auto"/>
              <w:rPr>
                <w:b/>
                <w:sz w:val="28"/>
                <w:szCs w:val="28"/>
              </w:rPr>
            </w:pPr>
            <w:r>
              <w:rPr>
                <w:b/>
                <w:sz w:val="28"/>
                <w:szCs w:val="28"/>
              </w:rPr>
              <w:t xml:space="preserve"> </w:t>
            </w:r>
            <w:r w:rsidR="00E71A52">
              <w:rPr>
                <w:b/>
                <w:sz w:val="28"/>
                <w:szCs w:val="28"/>
              </w:rPr>
              <w:t>Strategic Preparedness for Disaster with DIA</w:t>
            </w:r>
          </w:p>
        </w:tc>
      </w:tr>
      <w:tr w:rsidR="00E71A52" w:rsidTr="00B225FE">
        <w:trPr>
          <w:trHeight w:val="280"/>
        </w:trPr>
        <w:tc>
          <w:tcPr>
            <w:tcW w:w="10340" w:type="dxa"/>
            <w:gridSpan w:val="2"/>
            <w:tcBorders>
              <w:top w:val="single" w:sz="12" w:space="0" w:color="000000"/>
              <w:left w:val="single" w:sz="12" w:space="0" w:color="000000"/>
              <w:bottom w:val="nil"/>
              <w:right w:val="single" w:sz="12" w:space="0" w:color="000000"/>
            </w:tcBorders>
            <w:shd w:val="clear" w:color="auto" w:fill="F1F1F1"/>
            <w:hideMark/>
          </w:tcPr>
          <w:p w:rsidR="00E71A52" w:rsidRDefault="00E71A52" w:rsidP="004E214A">
            <w:pPr>
              <w:pStyle w:val="TableParagraph"/>
              <w:spacing w:before="1" w:line="259" w:lineRule="exact"/>
              <w:ind w:left="105"/>
              <w:jc w:val="both"/>
              <w:rPr>
                <w:sz w:val="24"/>
              </w:rPr>
            </w:pPr>
            <w:r>
              <w:rPr>
                <w:sz w:val="24"/>
              </w:rPr>
              <w:t>Introduction</w:t>
            </w:r>
            <w:r>
              <w:rPr>
                <w:spacing w:val="-4"/>
                <w:sz w:val="24"/>
              </w:rPr>
              <w:t xml:space="preserve"> </w:t>
            </w:r>
            <w:r>
              <w:rPr>
                <w:sz w:val="24"/>
              </w:rPr>
              <w:t>of</w:t>
            </w:r>
            <w:r>
              <w:rPr>
                <w:spacing w:val="-3"/>
                <w:sz w:val="24"/>
              </w:rPr>
              <w:t xml:space="preserve"> </w:t>
            </w:r>
            <w:r>
              <w:rPr>
                <w:sz w:val="24"/>
              </w:rPr>
              <w:t>the</w:t>
            </w:r>
            <w:r>
              <w:rPr>
                <w:spacing w:val="-3"/>
                <w:sz w:val="24"/>
              </w:rPr>
              <w:t xml:space="preserve"> </w:t>
            </w:r>
            <w:r>
              <w:rPr>
                <w:sz w:val="24"/>
              </w:rPr>
              <w:t>Proposed</w:t>
            </w:r>
            <w:r>
              <w:rPr>
                <w:spacing w:val="-8"/>
                <w:sz w:val="24"/>
              </w:rPr>
              <w:t xml:space="preserve"> </w:t>
            </w:r>
            <w:r>
              <w:rPr>
                <w:sz w:val="24"/>
              </w:rPr>
              <w:t>Topic:</w:t>
            </w:r>
          </w:p>
        </w:tc>
      </w:tr>
      <w:tr w:rsidR="00E71A52" w:rsidRPr="00C258BA" w:rsidTr="00B225FE">
        <w:trPr>
          <w:trHeight w:val="1329"/>
        </w:trPr>
        <w:tc>
          <w:tcPr>
            <w:tcW w:w="10340" w:type="dxa"/>
            <w:gridSpan w:val="2"/>
            <w:tcBorders>
              <w:top w:val="nil"/>
              <w:left w:val="single" w:sz="12" w:space="0" w:color="000000"/>
              <w:bottom w:val="single" w:sz="12" w:space="0" w:color="000000"/>
              <w:right w:val="single" w:sz="12" w:space="0" w:color="000000"/>
            </w:tcBorders>
          </w:tcPr>
          <w:p w:rsidR="00002A3C" w:rsidRPr="00C258BA" w:rsidRDefault="00002A3C" w:rsidP="004E214A">
            <w:pPr>
              <w:jc w:val="both"/>
              <w:rPr>
                <w:sz w:val="24"/>
                <w:szCs w:val="24"/>
              </w:rPr>
            </w:pPr>
          </w:p>
          <w:p w:rsidR="00C258BA" w:rsidRDefault="00C258BA" w:rsidP="004E214A">
            <w:pPr>
              <w:jc w:val="both"/>
              <w:rPr>
                <w:sz w:val="24"/>
                <w:szCs w:val="24"/>
              </w:rPr>
            </w:pPr>
            <w:r w:rsidRPr="00C258BA">
              <w:rPr>
                <w:sz w:val="24"/>
                <w:szCs w:val="24"/>
              </w:rPr>
              <w:t>The Philippines is vulnerable to natural disasters due to its location along the typhoon belt and the Pacific ring of fire. Thousands of lives have been lost, millions of people have been displaced, and hundreds of billions of dollars have been lost as a result of disaster events in the last decade. The Philippines is one of the most affected countries by natural disasters in the world this is because the Philippines is located along the Ring of Fire or the preferred term which is the typhoon belt where many earthquakes and eruptions will occur within its premises. Natural disasters are increasing the social and economic costs in the country as a result of population growth, migration, and global climate change (Natural Disaster Risk Management in the Philippines, 2005). According to Rosy Mina (2021) COVID19 pandemic was not the only disaster to strike the Philippines in 2020. The year started with a volcanic eruption and ended with two magnitude 6 earthquakes, one of which occurred on Christmas morning. Meanwhile, Typhoon Goni arrived, an end-of-season super storm that was the strongest in 2020. Disaster Risk Reduction provides the key strategic actions that emphasize activities centered on community awareness and understanding; emergency planning; Conducting local exercises and developing national disaster preparedness plan.</w:t>
            </w:r>
          </w:p>
          <w:p w:rsidR="00C258BA" w:rsidRPr="00C258BA" w:rsidRDefault="00C258BA" w:rsidP="004E214A">
            <w:pPr>
              <w:jc w:val="both"/>
              <w:rPr>
                <w:sz w:val="24"/>
                <w:szCs w:val="24"/>
              </w:rPr>
            </w:pPr>
          </w:p>
          <w:p w:rsidR="00C258BA" w:rsidRPr="00C258BA" w:rsidRDefault="00C258BA" w:rsidP="004E214A">
            <w:pPr>
              <w:jc w:val="both"/>
              <w:rPr>
                <w:sz w:val="24"/>
                <w:szCs w:val="24"/>
              </w:rPr>
            </w:pPr>
            <w:r w:rsidRPr="00C258BA">
              <w:rPr>
                <w:sz w:val="24"/>
                <w:szCs w:val="24"/>
              </w:rPr>
              <w:t>Disasters can happen at any time. So we envision a world in which communities are filled with hope, have overcome adversity, are prepared for disasters, and have recovered from traumatic experiences.</w:t>
            </w:r>
          </w:p>
          <w:p w:rsidR="00C258BA" w:rsidRDefault="00C258BA" w:rsidP="004E214A">
            <w:pPr>
              <w:jc w:val="both"/>
              <w:rPr>
                <w:sz w:val="24"/>
                <w:szCs w:val="24"/>
              </w:rPr>
            </w:pPr>
          </w:p>
          <w:p w:rsidR="00C258BA" w:rsidRPr="00C258BA" w:rsidRDefault="00C258BA" w:rsidP="004E214A">
            <w:pPr>
              <w:jc w:val="both"/>
              <w:rPr>
                <w:sz w:val="24"/>
                <w:szCs w:val="24"/>
              </w:rPr>
            </w:pPr>
            <w:r w:rsidRPr="00C258BA">
              <w:rPr>
                <w:sz w:val="24"/>
                <w:szCs w:val="24"/>
              </w:rPr>
              <w:t>To protect your home and family, it's important to be prepared and have a plan. The objective of this analysis is to generate an explanation for Disasters Impact Analysis (DIA) from the year 2019 to reduce disaster consequences in terms of recovery time, cost, and suffering. Moreover, to expand the awareness of each Filipino citizen and to lessen the impact of disasters on vulnerable populations, prepares an organization for an influx of activities, and creates a coordinated plan that saves resources, time, and effort.</w:t>
            </w:r>
          </w:p>
          <w:p w:rsidR="007F2A22" w:rsidRPr="00C258BA" w:rsidRDefault="007F2A22" w:rsidP="004E214A">
            <w:pPr>
              <w:jc w:val="both"/>
              <w:rPr>
                <w:sz w:val="24"/>
                <w:szCs w:val="24"/>
              </w:rPr>
            </w:pPr>
          </w:p>
        </w:tc>
      </w:tr>
      <w:tr w:rsidR="00E71A52" w:rsidTr="00B225FE">
        <w:trPr>
          <w:trHeight w:val="275"/>
        </w:trPr>
        <w:tc>
          <w:tcPr>
            <w:tcW w:w="10340" w:type="dxa"/>
            <w:gridSpan w:val="2"/>
            <w:tcBorders>
              <w:top w:val="single" w:sz="12" w:space="0" w:color="000000"/>
              <w:left w:val="single" w:sz="12" w:space="0" w:color="000000"/>
              <w:bottom w:val="nil"/>
              <w:right w:val="single" w:sz="12" w:space="0" w:color="000000"/>
            </w:tcBorders>
            <w:shd w:val="clear" w:color="auto" w:fill="F1F1F1"/>
            <w:hideMark/>
          </w:tcPr>
          <w:p w:rsidR="00E71A52" w:rsidRDefault="00E71A52" w:rsidP="004E214A">
            <w:pPr>
              <w:pStyle w:val="TableParagraph"/>
              <w:spacing w:line="255" w:lineRule="exact"/>
              <w:ind w:left="105"/>
              <w:jc w:val="both"/>
              <w:rPr>
                <w:sz w:val="24"/>
              </w:rPr>
            </w:pPr>
            <w:r>
              <w:rPr>
                <w:sz w:val="24"/>
              </w:rPr>
              <w:t>Problem Statement:</w:t>
            </w:r>
          </w:p>
        </w:tc>
      </w:tr>
      <w:tr w:rsidR="00E71A52" w:rsidTr="00B225FE">
        <w:trPr>
          <w:trHeight w:val="1595"/>
        </w:trPr>
        <w:tc>
          <w:tcPr>
            <w:tcW w:w="10340" w:type="dxa"/>
            <w:gridSpan w:val="2"/>
            <w:tcBorders>
              <w:top w:val="nil"/>
              <w:left w:val="single" w:sz="12" w:space="0" w:color="000000"/>
              <w:bottom w:val="single" w:sz="12" w:space="0" w:color="000000"/>
              <w:right w:val="single" w:sz="12" w:space="0" w:color="000000"/>
            </w:tcBorders>
          </w:tcPr>
          <w:p w:rsidR="00C258BA" w:rsidRDefault="00E73EAE" w:rsidP="004E214A">
            <w:pPr>
              <w:jc w:val="both"/>
              <w:rPr>
                <w:sz w:val="24"/>
                <w:szCs w:val="24"/>
              </w:rPr>
            </w:pPr>
            <w:r>
              <w:br/>
            </w:r>
            <w:r w:rsidR="00C258BA" w:rsidRPr="00C258BA">
              <w:rPr>
                <w:sz w:val="24"/>
                <w:szCs w:val="24"/>
              </w:rPr>
              <w:t>Preparedness is a critical aspect in catastrophe mitigation in disaster-prone countries. There are various approaches to disaster management. However, one thing these approaches have in common is that they are "preventive." The primary components of the preventive approach are preparedness and education. It is possible to increase the capacity to cope with disasters, which vary in terms of their development periods and times and usually involve uncertainty, by raising awareness of all components, all individuals, and all communities in line with this common cause.</w:t>
            </w:r>
          </w:p>
          <w:p w:rsidR="00C258BA" w:rsidRPr="00C258BA" w:rsidRDefault="00C258BA" w:rsidP="004E214A">
            <w:pPr>
              <w:jc w:val="both"/>
              <w:rPr>
                <w:sz w:val="24"/>
                <w:szCs w:val="24"/>
              </w:rPr>
            </w:pPr>
          </w:p>
          <w:p w:rsidR="00C258BA" w:rsidRDefault="00C258BA" w:rsidP="004E214A">
            <w:pPr>
              <w:jc w:val="both"/>
              <w:rPr>
                <w:sz w:val="24"/>
                <w:szCs w:val="24"/>
              </w:rPr>
            </w:pPr>
            <w:r w:rsidRPr="00C258BA">
              <w:rPr>
                <w:sz w:val="24"/>
                <w:szCs w:val="24"/>
              </w:rPr>
              <w:t xml:space="preserve">The Philippines is one of the most affected countries by natural disasters in the world this is because the Philippines is located along the Ring of Fire or the preferred term which is the typhoon belt where many </w:t>
            </w:r>
            <w:r w:rsidRPr="00C258BA">
              <w:rPr>
                <w:sz w:val="24"/>
                <w:szCs w:val="24"/>
              </w:rPr>
              <w:lastRenderedPageBreak/>
              <w:t>earthquakes and eruptions will occur within its premises. Natural disasters are increasing the social and economic costs in the country as a result of population growth, migration, and global climate change (Natural Disaster Risk Management in the Philippines, 2005). Calamities such as storms, typhoons, and earthquakes reveal how incapable the country's disaster management is in coping with the impact of disasters due to the inefficiency of planning, lack of facilities and equipment, the flawed predictions of upcoming disasters, the slow rate of reparation of the damages, and the ineffectiveness of the implemented disaster risk management laws.</w:t>
            </w:r>
          </w:p>
          <w:p w:rsidR="00C258BA" w:rsidRPr="00C258BA" w:rsidRDefault="00C258BA" w:rsidP="004E214A">
            <w:pPr>
              <w:jc w:val="both"/>
              <w:rPr>
                <w:sz w:val="24"/>
                <w:szCs w:val="24"/>
              </w:rPr>
            </w:pPr>
          </w:p>
          <w:p w:rsidR="00C258BA" w:rsidRPr="00C258BA" w:rsidRDefault="00C258BA" w:rsidP="004E214A">
            <w:pPr>
              <w:jc w:val="both"/>
              <w:rPr>
                <w:sz w:val="24"/>
                <w:szCs w:val="24"/>
              </w:rPr>
            </w:pPr>
            <w:r w:rsidRPr="00C258BA">
              <w:rPr>
                <w:sz w:val="24"/>
                <w:szCs w:val="24"/>
              </w:rPr>
              <w:t xml:space="preserve">There is a need to move away from focusing on specific hazards and toward strategic approaches to reducing vulnerabilities before hazardous events occur. Prior to any hazardous event, it is necessary to be aware of potential hazards, whether they are physical, economic, or environmental vulnerabilities. With this knowledge, first responders and the government can conquer any hazard rather than assessing what went wrong after the event. Focusing on specific hazards is a difficult task, thus understanding the underlying vulnerabilities to infrastructure, hazardous material, or the </w:t>
            </w:r>
            <w:r w:rsidR="005075EC" w:rsidRPr="00C258BA">
              <w:rPr>
                <w:sz w:val="24"/>
                <w:szCs w:val="24"/>
              </w:rPr>
              <w:t>economies are</w:t>
            </w:r>
            <w:r w:rsidRPr="00C258BA">
              <w:rPr>
                <w:sz w:val="24"/>
                <w:szCs w:val="24"/>
              </w:rPr>
              <w:t xml:space="preserve"> vital in risk management. Policy makers and first responders alike can use this information to prevent risk and hazardous events. In 2001, the nation was extremely vulnerable and did not have the proper measures in place to address damages to infrastructure, the economic impact of recovering from a large-scale attack, or the health hazards the attack created for first responders. Underlying vulnerabilities should first and foremost be addressed before focusing on a specific hazard.</w:t>
            </w:r>
          </w:p>
          <w:p w:rsidR="00E71A52" w:rsidRPr="00E73EAE" w:rsidRDefault="00E71A52" w:rsidP="004E214A">
            <w:pPr>
              <w:jc w:val="both"/>
            </w:pPr>
          </w:p>
        </w:tc>
      </w:tr>
      <w:tr w:rsidR="00E71A52" w:rsidTr="00B225FE">
        <w:trPr>
          <w:trHeight w:val="279"/>
        </w:trPr>
        <w:tc>
          <w:tcPr>
            <w:tcW w:w="10340" w:type="dxa"/>
            <w:gridSpan w:val="2"/>
            <w:tcBorders>
              <w:top w:val="single" w:sz="12" w:space="0" w:color="000000"/>
              <w:left w:val="single" w:sz="12" w:space="0" w:color="000000"/>
              <w:bottom w:val="nil"/>
              <w:right w:val="single" w:sz="12" w:space="0" w:color="000000"/>
            </w:tcBorders>
            <w:shd w:val="clear" w:color="auto" w:fill="F1F1F1"/>
            <w:hideMark/>
          </w:tcPr>
          <w:p w:rsidR="00E71A52" w:rsidRDefault="00E71A52" w:rsidP="004E214A">
            <w:pPr>
              <w:pStyle w:val="TableParagraph"/>
              <w:spacing w:before="1" w:line="259" w:lineRule="exact"/>
              <w:ind w:left="105"/>
              <w:jc w:val="both"/>
              <w:rPr>
                <w:sz w:val="24"/>
              </w:rPr>
            </w:pPr>
            <w:r>
              <w:rPr>
                <w:sz w:val="24"/>
              </w:rPr>
              <w:lastRenderedPageBreak/>
              <w:t>Significance of the Proposed Project:</w:t>
            </w:r>
          </w:p>
        </w:tc>
      </w:tr>
      <w:tr w:rsidR="00E71A52" w:rsidTr="00B225FE">
        <w:trPr>
          <w:trHeight w:val="1574"/>
        </w:trPr>
        <w:tc>
          <w:tcPr>
            <w:tcW w:w="10340" w:type="dxa"/>
            <w:gridSpan w:val="2"/>
            <w:tcBorders>
              <w:top w:val="nil"/>
              <w:left w:val="single" w:sz="12" w:space="0" w:color="000000"/>
              <w:bottom w:val="single" w:sz="4" w:space="0" w:color="auto"/>
              <w:right w:val="single" w:sz="12" w:space="0" w:color="000000"/>
            </w:tcBorders>
            <w:hideMark/>
          </w:tcPr>
          <w:p w:rsidR="00E71A52" w:rsidRDefault="00E71A52" w:rsidP="004E214A">
            <w:pPr>
              <w:pStyle w:val="TableParagraph"/>
              <w:spacing w:before="2" w:line="252" w:lineRule="auto"/>
              <w:ind w:left="105" w:right="400"/>
              <w:jc w:val="both"/>
              <w:rPr>
                <w:sz w:val="27"/>
              </w:rPr>
            </w:pPr>
          </w:p>
          <w:p w:rsidR="004E214A" w:rsidRDefault="004E214A" w:rsidP="004E214A">
            <w:pPr>
              <w:jc w:val="both"/>
              <w:rPr>
                <w:sz w:val="24"/>
                <w:szCs w:val="24"/>
              </w:rPr>
            </w:pPr>
            <w:r w:rsidRPr="004E214A">
              <w:rPr>
                <w:sz w:val="24"/>
                <w:szCs w:val="24"/>
              </w:rPr>
              <w:t>A disaster risk reduction approach helps us consider our emergency response activities in light of existing and new disaster risks. This empowers us to plan or alter our exercises so that individuals and communities gotten to be more secure and more disaster-resilient, as well as shielding endeavors to make and extend empowering conditions for maintainable destitution easing and development.</w:t>
            </w:r>
          </w:p>
          <w:p w:rsidR="004E214A" w:rsidRPr="004E214A" w:rsidRDefault="004E214A" w:rsidP="004E214A">
            <w:pPr>
              <w:jc w:val="both"/>
              <w:rPr>
                <w:sz w:val="24"/>
                <w:szCs w:val="24"/>
              </w:rPr>
            </w:pPr>
          </w:p>
          <w:p w:rsidR="004E214A" w:rsidRPr="004E214A" w:rsidRDefault="004E214A" w:rsidP="004E214A">
            <w:pPr>
              <w:jc w:val="both"/>
              <w:rPr>
                <w:sz w:val="24"/>
                <w:szCs w:val="24"/>
              </w:rPr>
            </w:pPr>
            <w:r w:rsidRPr="004E214A">
              <w:rPr>
                <w:sz w:val="24"/>
                <w:szCs w:val="24"/>
              </w:rPr>
              <w:t>DRR approaches and tools will prevent relief work from rebuilding the vulnerabilities that made people prone to similar disasters. DRR provides valuable insights into the underlying factors of vulnerability to hazards and the features of those hazards. It helps us identify and map local capacities to cope with these hazards. Ultimately, the DRR approach helps us conduct effective disaster response while reducing risks that similar disasters will reoccur. It also ensures that our emergency response does no harm by replacing or reinstating critical vulnerabilities.</w:t>
            </w:r>
          </w:p>
          <w:p w:rsidR="004E214A" w:rsidRDefault="004E214A" w:rsidP="004E214A">
            <w:pPr>
              <w:pStyle w:val="TableParagraph"/>
              <w:spacing w:before="2" w:line="252" w:lineRule="auto"/>
              <w:ind w:left="105" w:right="400"/>
              <w:jc w:val="both"/>
              <w:rPr>
                <w:sz w:val="27"/>
              </w:rPr>
            </w:pPr>
          </w:p>
        </w:tc>
      </w:tr>
      <w:tr w:rsidR="00E71A52" w:rsidTr="00B225FE">
        <w:trPr>
          <w:trHeight w:val="235"/>
        </w:trPr>
        <w:tc>
          <w:tcPr>
            <w:tcW w:w="10340" w:type="dxa"/>
            <w:gridSpan w:val="2"/>
            <w:tcBorders>
              <w:top w:val="single" w:sz="4" w:space="0" w:color="auto"/>
              <w:left w:val="single" w:sz="12" w:space="0" w:color="000000"/>
              <w:bottom w:val="single" w:sz="4" w:space="0" w:color="auto"/>
              <w:right w:val="single" w:sz="12" w:space="0" w:color="000000"/>
            </w:tcBorders>
            <w:shd w:val="clear" w:color="auto" w:fill="F2F2F2" w:themeFill="background1" w:themeFillShade="F2"/>
          </w:tcPr>
          <w:p w:rsidR="00E71A52" w:rsidRDefault="00E71A52" w:rsidP="004E214A">
            <w:pPr>
              <w:pStyle w:val="TableParagraph"/>
              <w:spacing w:before="7" w:line="256" w:lineRule="auto"/>
              <w:ind w:left="105"/>
              <w:jc w:val="both"/>
              <w:rPr>
                <w:sz w:val="24"/>
                <w:szCs w:val="24"/>
              </w:rPr>
            </w:pPr>
            <w:r>
              <w:rPr>
                <w:sz w:val="24"/>
                <w:szCs w:val="24"/>
              </w:rPr>
              <w:t>Methods:</w:t>
            </w:r>
          </w:p>
        </w:tc>
      </w:tr>
      <w:tr w:rsidR="00E71A52" w:rsidTr="00B225FE">
        <w:trPr>
          <w:trHeight w:val="1603"/>
        </w:trPr>
        <w:tc>
          <w:tcPr>
            <w:tcW w:w="10340" w:type="dxa"/>
            <w:gridSpan w:val="2"/>
            <w:tcBorders>
              <w:top w:val="single" w:sz="4" w:space="0" w:color="auto"/>
              <w:left w:val="single" w:sz="12" w:space="0" w:color="000000"/>
              <w:bottom w:val="single" w:sz="4" w:space="0" w:color="auto"/>
              <w:right w:val="single" w:sz="12" w:space="0" w:color="000000"/>
            </w:tcBorders>
            <w:shd w:val="clear" w:color="auto" w:fill="auto"/>
          </w:tcPr>
          <w:p w:rsidR="00E71A52" w:rsidRDefault="00E71A52" w:rsidP="004E214A">
            <w:pPr>
              <w:rPr>
                <w:sz w:val="24"/>
                <w:szCs w:val="24"/>
              </w:rPr>
            </w:pPr>
          </w:p>
          <w:p w:rsidR="000D7CFC" w:rsidRPr="000D7CFC" w:rsidRDefault="000D7CFC" w:rsidP="00C642DB">
            <w:pPr>
              <w:jc w:val="both"/>
              <w:rPr>
                <w:sz w:val="24"/>
                <w:szCs w:val="24"/>
              </w:rPr>
            </w:pPr>
            <w:r w:rsidRPr="000D7CFC">
              <w:rPr>
                <w:sz w:val="24"/>
                <w:szCs w:val="24"/>
              </w:rPr>
              <w:t xml:space="preserve">The Disasters Impact Analysis (DIA) method is to help those organizations have more understanding of disaster impacts and facilitate their decision making in order to prepare better mitigation </w:t>
            </w:r>
            <w:r w:rsidR="00156E32" w:rsidRPr="000D7CFC">
              <w:rPr>
                <w:sz w:val="24"/>
                <w:szCs w:val="24"/>
              </w:rPr>
              <w:t>plans. The</w:t>
            </w:r>
            <w:r w:rsidRPr="000D7CFC">
              <w:rPr>
                <w:sz w:val="24"/>
                <w:szCs w:val="24"/>
              </w:rPr>
              <w:t xml:space="preserve"> objectives of the first study were to: document the impacts of natural disasters on social and economic development of the Philippines; assess the country's current capacity to reduce and manage disaster risk; and identify options for more effective management of that risk. This follow-on study is intended to support the first study and examine in more detail some of the specific areas under the above themes and provide directions for necessary actions.</w:t>
            </w:r>
          </w:p>
          <w:p w:rsidR="000D7CFC" w:rsidRPr="004E214A" w:rsidRDefault="000D7CFC" w:rsidP="004E214A">
            <w:pPr>
              <w:rPr>
                <w:sz w:val="24"/>
                <w:szCs w:val="24"/>
              </w:rPr>
            </w:pPr>
          </w:p>
          <w:p w:rsidR="004E214A" w:rsidRPr="00C20531" w:rsidRDefault="004E214A" w:rsidP="005075EC">
            <w:pPr>
              <w:jc w:val="both"/>
              <w:rPr>
                <w:color w:val="BFBFBF" w:themeColor="background1" w:themeShade="BF"/>
                <w:sz w:val="24"/>
                <w:szCs w:val="24"/>
              </w:rPr>
            </w:pPr>
            <w:r w:rsidRPr="00C20531">
              <w:rPr>
                <w:strike/>
                <w:color w:val="BFBFBF" w:themeColor="background1" w:themeShade="BF"/>
                <w:sz w:val="24"/>
                <w:szCs w:val="24"/>
              </w:rPr>
              <w:t>The method details a systematic process of hazards identification, vulnerability determination, and consequence assessment for the natural, built, and human environment. Using a cross-disciplinary approach, this method effectively demonstrates how to use the results of vulnerability assessment, spatial analysis, and community planning to reduce adverse disaster outcomes and foster social, economic, and environmental sustainability</w:t>
            </w:r>
            <w:r w:rsidRPr="00C20531">
              <w:rPr>
                <w:color w:val="BFBFBF" w:themeColor="background1" w:themeShade="BF"/>
                <w:sz w:val="24"/>
                <w:szCs w:val="24"/>
              </w:rPr>
              <w:t>.</w:t>
            </w:r>
          </w:p>
          <w:p w:rsidR="004E214A" w:rsidRDefault="004E214A" w:rsidP="004E214A"/>
        </w:tc>
      </w:tr>
      <w:tr w:rsidR="00E71A52" w:rsidTr="00B225FE">
        <w:trPr>
          <w:trHeight w:val="262"/>
        </w:trPr>
        <w:tc>
          <w:tcPr>
            <w:tcW w:w="10340" w:type="dxa"/>
            <w:gridSpan w:val="2"/>
            <w:tcBorders>
              <w:top w:val="single" w:sz="4" w:space="0" w:color="auto"/>
              <w:left w:val="single" w:sz="12" w:space="0" w:color="000000"/>
              <w:bottom w:val="single" w:sz="4" w:space="0" w:color="auto"/>
              <w:right w:val="single" w:sz="12" w:space="0" w:color="000000"/>
            </w:tcBorders>
            <w:shd w:val="clear" w:color="auto" w:fill="F2F2F2" w:themeFill="background1" w:themeFillShade="F2"/>
          </w:tcPr>
          <w:p w:rsidR="00E71A52" w:rsidRDefault="00E71A52" w:rsidP="004E214A">
            <w:pPr>
              <w:pStyle w:val="TableParagraph"/>
              <w:spacing w:before="7" w:line="256" w:lineRule="auto"/>
              <w:ind w:left="105"/>
              <w:jc w:val="both"/>
              <w:rPr>
                <w:sz w:val="24"/>
                <w:szCs w:val="24"/>
              </w:rPr>
            </w:pPr>
            <w:r>
              <w:rPr>
                <w:sz w:val="24"/>
                <w:szCs w:val="24"/>
              </w:rPr>
              <w:t>Expected Output:</w:t>
            </w:r>
          </w:p>
        </w:tc>
      </w:tr>
      <w:tr w:rsidR="00E71A52" w:rsidTr="00B225FE">
        <w:trPr>
          <w:trHeight w:val="1567"/>
        </w:trPr>
        <w:tc>
          <w:tcPr>
            <w:tcW w:w="10340" w:type="dxa"/>
            <w:gridSpan w:val="2"/>
            <w:tcBorders>
              <w:top w:val="single" w:sz="4" w:space="0" w:color="auto"/>
              <w:left w:val="single" w:sz="12" w:space="0" w:color="000000"/>
              <w:bottom w:val="single" w:sz="12" w:space="0" w:color="000000"/>
              <w:right w:val="single" w:sz="12" w:space="0" w:color="000000"/>
            </w:tcBorders>
            <w:shd w:val="clear" w:color="auto" w:fill="auto"/>
          </w:tcPr>
          <w:p w:rsidR="00E71A52" w:rsidRDefault="00E71A52" w:rsidP="004E214A">
            <w:pPr>
              <w:pStyle w:val="TableParagraph"/>
              <w:spacing w:before="7" w:line="256" w:lineRule="auto"/>
              <w:ind w:left="105"/>
              <w:jc w:val="both"/>
              <w:rPr>
                <w:sz w:val="24"/>
                <w:szCs w:val="24"/>
              </w:rPr>
            </w:pPr>
          </w:p>
          <w:p w:rsidR="00EA708A" w:rsidRDefault="00902328" w:rsidP="00EA708A">
            <w:pPr>
              <w:rPr>
                <w:sz w:val="24"/>
                <w:szCs w:val="24"/>
              </w:rPr>
            </w:pPr>
            <w:r w:rsidRPr="00902328">
              <w:rPr>
                <w:sz w:val="24"/>
                <w:szCs w:val="24"/>
              </w:rPr>
              <w:t>The overall goal of Strategic Preparedness for Disaster with DIA is to improve the preparedness and response of Disaster Management Services (DMS) involved in emergency situations in order to reduce casualties and improve survival rates among mass casualties.</w:t>
            </w:r>
            <w:r w:rsidR="00EA708A" w:rsidRPr="00EA708A">
              <w:rPr>
                <w:sz w:val="24"/>
                <w:szCs w:val="24"/>
              </w:rPr>
              <w:t xml:space="preserve"> The expected impacts of the </w:t>
            </w:r>
            <w:r w:rsidR="00EA708A" w:rsidRPr="00EA708A">
              <w:t>Strategic Preparedness for Disaster with DIA</w:t>
            </w:r>
            <w:r w:rsidR="00EA708A">
              <w:t xml:space="preserve"> </w:t>
            </w:r>
            <w:r w:rsidR="00EA708A" w:rsidRPr="00EA708A">
              <w:rPr>
                <w:sz w:val="24"/>
                <w:szCs w:val="24"/>
              </w:rPr>
              <w:t xml:space="preserve"> project are:</w:t>
            </w:r>
          </w:p>
          <w:p w:rsidR="00EA708A" w:rsidRPr="00EA708A" w:rsidRDefault="00EA708A" w:rsidP="00EA708A">
            <w:pPr>
              <w:rPr>
                <w:sz w:val="24"/>
                <w:szCs w:val="24"/>
              </w:rPr>
            </w:pPr>
          </w:p>
          <w:p w:rsidR="00EA708A" w:rsidRPr="00EA708A" w:rsidRDefault="00EA708A" w:rsidP="00EA708A">
            <w:pPr>
              <w:pStyle w:val="ListParagraph"/>
              <w:numPr>
                <w:ilvl w:val="0"/>
                <w:numId w:val="2"/>
              </w:numPr>
              <w:rPr>
                <w:sz w:val="24"/>
                <w:szCs w:val="24"/>
              </w:rPr>
            </w:pPr>
            <w:r w:rsidRPr="00EA708A">
              <w:rPr>
                <w:sz w:val="24"/>
                <w:szCs w:val="24"/>
              </w:rPr>
              <w:lastRenderedPageBreak/>
              <w:t xml:space="preserve">Improved preparedness of </w:t>
            </w:r>
            <w:r>
              <w:rPr>
                <w:rFonts w:ascii="open sans" w:hAnsi="open sans"/>
                <w:color w:val="000000"/>
                <w:shd w:val="clear" w:color="auto" w:fill="FFFFFF"/>
              </w:rPr>
              <w:t>Disaster Management Services</w:t>
            </w:r>
          </w:p>
          <w:p w:rsidR="00EA708A" w:rsidRPr="00EA708A" w:rsidRDefault="00EA708A" w:rsidP="00EA708A">
            <w:pPr>
              <w:pStyle w:val="ListParagraph"/>
              <w:numPr>
                <w:ilvl w:val="0"/>
                <w:numId w:val="2"/>
              </w:numPr>
              <w:rPr>
                <w:sz w:val="24"/>
                <w:szCs w:val="24"/>
              </w:rPr>
            </w:pPr>
            <w:r w:rsidRPr="00EA708A">
              <w:rPr>
                <w:sz w:val="24"/>
                <w:szCs w:val="24"/>
              </w:rPr>
              <w:t xml:space="preserve">Improved response of </w:t>
            </w:r>
            <w:r>
              <w:rPr>
                <w:rFonts w:ascii="open sans" w:hAnsi="open sans"/>
                <w:color w:val="000000"/>
                <w:shd w:val="clear" w:color="auto" w:fill="FFFFFF"/>
              </w:rPr>
              <w:t>Disaster Management Services</w:t>
            </w:r>
          </w:p>
          <w:p w:rsidR="00EA708A" w:rsidRPr="00EA708A" w:rsidRDefault="00EA708A" w:rsidP="00EA708A">
            <w:pPr>
              <w:pStyle w:val="ListParagraph"/>
              <w:numPr>
                <w:ilvl w:val="0"/>
                <w:numId w:val="2"/>
              </w:numPr>
              <w:rPr>
                <w:sz w:val="24"/>
                <w:szCs w:val="24"/>
              </w:rPr>
            </w:pPr>
            <w:r w:rsidRPr="00EA708A">
              <w:rPr>
                <w:sz w:val="24"/>
                <w:szCs w:val="24"/>
              </w:rPr>
              <w:t>Improved cross-border co-operation</w:t>
            </w:r>
          </w:p>
          <w:p w:rsidR="00EA708A" w:rsidRPr="00EA708A" w:rsidRDefault="00EA708A" w:rsidP="00EA708A">
            <w:pPr>
              <w:pStyle w:val="ListParagraph"/>
              <w:numPr>
                <w:ilvl w:val="0"/>
                <w:numId w:val="2"/>
              </w:numPr>
              <w:rPr>
                <w:sz w:val="24"/>
                <w:szCs w:val="24"/>
              </w:rPr>
            </w:pPr>
            <w:r w:rsidRPr="00EA708A">
              <w:rPr>
                <w:sz w:val="24"/>
                <w:szCs w:val="24"/>
              </w:rPr>
              <w:t>A comprehensive set of operating procedures &amp; processes</w:t>
            </w:r>
          </w:p>
          <w:p w:rsidR="00EA708A" w:rsidRPr="00EA708A" w:rsidRDefault="00EA708A" w:rsidP="00EA708A">
            <w:pPr>
              <w:pStyle w:val="ListParagraph"/>
              <w:numPr>
                <w:ilvl w:val="0"/>
                <w:numId w:val="2"/>
              </w:numPr>
              <w:rPr>
                <w:sz w:val="24"/>
                <w:szCs w:val="24"/>
              </w:rPr>
            </w:pPr>
            <w:r w:rsidRPr="00EA708A">
              <w:rPr>
                <w:sz w:val="24"/>
                <w:szCs w:val="24"/>
              </w:rPr>
              <w:t>A comprehensive set of tools</w:t>
            </w:r>
          </w:p>
          <w:p w:rsidR="00EA708A" w:rsidRPr="00EA708A" w:rsidRDefault="00EA708A" w:rsidP="00EA708A">
            <w:pPr>
              <w:pStyle w:val="ListParagraph"/>
              <w:numPr>
                <w:ilvl w:val="0"/>
                <w:numId w:val="2"/>
              </w:numPr>
              <w:rPr>
                <w:sz w:val="24"/>
                <w:szCs w:val="24"/>
              </w:rPr>
            </w:pPr>
            <w:r w:rsidRPr="00EA708A">
              <w:rPr>
                <w:sz w:val="24"/>
                <w:szCs w:val="24"/>
              </w:rPr>
              <w:t>A comprehensive training tools</w:t>
            </w:r>
          </w:p>
          <w:p w:rsidR="00EA708A" w:rsidRPr="00EA708A" w:rsidRDefault="00EA708A" w:rsidP="00EA708A">
            <w:pPr>
              <w:pStyle w:val="ListParagraph"/>
              <w:numPr>
                <w:ilvl w:val="0"/>
                <w:numId w:val="2"/>
              </w:numPr>
              <w:rPr>
                <w:sz w:val="24"/>
                <w:szCs w:val="24"/>
              </w:rPr>
            </w:pPr>
            <w:r w:rsidRPr="00EA708A">
              <w:rPr>
                <w:sz w:val="24"/>
                <w:szCs w:val="24"/>
              </w:rPr>
              <w:t>Improved logistics</w:t>
            </w:r>
          </w:p>
          <w:p w:rsidR="00EA708A" w:rsidRPr="00EA708A" w:rsidRDefault="00EA708A" w:rsidP="00EA708A">
            <w:pPr>
              <w:pStyle w:val="ListParagraph"/>
              <w:numPr>
                <w:ilvl w:val="0"/>
                <w:numId w:val="2"/>
              </w:numPr>
              <w:rPr>
                <w:sz w:val="24"/>
                <w:szCs w:val="24"/>
              </w:rPr>
            </w:pPr>
            <w:r w:rsidRPr="00EA708A">
              <w:rPr>
                <w:sz w:val="24"/>
                <w:szCs w:val="24"/>
              </w:rPr>
              <w:t>Improved understanding of legal, ethical and social issues in major emergency management</w:t>
            </w:r>
          </w:p>
          <w:p w:rsidR="00EA708A" w:rsidRDefault="00EA708A" w:rsidP="00EA708A">
            <w:pPr>
              <w:pStyle w:val="ListParagraph"/>
              <w:numPr>
                <w:ilvl w:val="0"/>
                <w:numId w:val="2"/>
              </w:numPr>
              <w:rPr>
                <w:sz w:val="24"/>
                <w:szCs w:val="24"/>
              </w:rPr>
            </w:pPr>
            <w:r w:rsidRPr="00EA708A">
              <w:rPr>
                <w:sz w:val="24"/>
                <w:szCs w:val="24"/>
              </w:rPr>
              <w:t>Improved understanding of public acceptance in major emergency management</w:t>
            </w:r>
          </w:p>
          <w:p w:rsidR="00EA708A" w:rsidRPr="00040C25" w:rsidRDefault="00EA708A" w:rsidP="00040C25">
            <w:pPr>
              <w:rPr>
                <w:sz w:val="24"/>
                <w:szCs w:val="24"/>
              </w:rPr>
            </w:pPr>
          </w:p>
          <w:p w:rsidR="005075EC" w:rsidRDefault="00040C25" w:rsidP="00040C25">
            <w:pPr>
              <w:rPr>
                <w:sz w:val="24"/>
                <w:szCs w:val="24"/>
              </w:rPr>
            </w:pPr>
            <w:r w:rsidRPr="00040C25">
              <w:rPr>
                <w:sz w:val="24"/>
                <w:szCs w:val="24"/>
              </w:rPr>
              <w:t>In addition to the most important technological results for improving the important crisis preparation and answers, additional objectives are that the project can offer improvements to existing technologies and methodologies that are most impo</w:t>
            </w:r>
            <w:r w:rsidR="00935627">
              <w:rPr>
                <w:sz w:val="24"/>
                <w:szCs w:val="24"/>
              </w:rPr>
              <w:t>rtant to partners and end users</w:t>
            </w:r>
            <w:r w:rsidRPr="00040C25">
              <w:rPr>
                <w:sz w:val="24"/>
                <w:szCs w:val="24"/>
              </w:rPr>
              <w:t>.</w:t>
            </w:r>
          </w:p>
          <w:p w:rsidR="00040C25" w:rsidRDefault="00040C25" w:rsidP="00040C25"/>
        </w:tc>
      </w:tr>
    </w:tbl>
    <w:p w:rsidR="00E71A52" w:rsidRDefault="00E71A52" w:rsidP="00E71A52">
      <w:pPr>
        <w:widowControl/>
        <w:autoSpaceDE/>
        <w:autoSpaceDN/>
        <w:rPr>
          <w:sz w:val="24"/>
        </w:rPr>
        <w:sectPr w:rsidR="00E71A52">
          <w:pgSz w:w="12240" w:h="18720"/>
          <w:pgMar w:top="1780" w:right="440" w:bottom="860" w:left="1200" w:header="1450" w:footer="666" w:gutter="0"/>
          <w:cols w:space="720"/>
        </w:sectPr>
      </w:pPr>
    </w:p>
    <w:p w:rsidR="00BB1898" w:rsidRDefault="00BB1898"/>
    <w:sectPr w:rsidR="00BB1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F72576"/>
    <w:multiLevelType w:val="multilevel"/>
    <w:tmpl w:val="9B9C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B17A84"/>
    <w:multiLevelType w:val="hybridMultilevel"/>
    <w:tmpl w:val="D9E84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F39"/>
    <w:rsid w:val="00002A3C"/>
    <w:rsid w:val="00040C25"/>
    <w:rsid w:val="00041D17"/>
    <w:rsid w:val="00051EBA"/>
    <w:rsid w:val="000D7CFC"/>
    <w:rsid w:val="00116F39"/>
    <w:rsid w:val="00156E32"/>
    <w:rsid w:val="0016264C"/>
    <w:rsid w:val="001F7DF7"/>
    <w:rsid w:val="00265782"/>
    <w:rsid w:val="00452A56"/>
    <w:rsid w:val="0048329A"/>
    <w:rsid w:val="004E214A"/>
    <w:rsid w:val="005075EC"/>
    <w:rsid w:val="00791A87"/>
    <w:rsid w:val="007B023D"/>
    <w:rsid w:val="007F2A22"/>
    <w:rsid w:val="00902328"/>
    <w:rsid w:val="00935627"/>
    <w:rsid w:val="00A17068"/>
    <w:rsid w:val="00A50E6F"/>
    <w:rsid w:val="00AB6B65"/>
    <w:rsid w:val="00B65C96"/>
    <w:rsid w:val="00BB1898"/>
    <w:rsid w:val="00BF1747"/>
    <w:rsid w:val="00C20531"/>
    <w:rsid w:val="00C258BA"/>
    <w:rsid w:val="00C642DB"/>
    <w:rsid w:val="00C93B3A"/>
    <w:rsid w:val="00D01595"/>
    <w:rsid w:val="00D2240A"/>
    <w:rsid w:val="00E2530F"/>
    <w:rsid w:val="00E71A52"/>
    <w:rsid w:val="00E73EAE"/>
    <w:rsid w:val="00EA708A"/>
    <w:rsid w:val="00F84BC0"/>
    <w:rsid w:val="00FC7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71A52"/>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B65C96"/>
    <w:pPr>
      <w:widowControl/>
      <w:autoSpaceDE/>
      <w:autoSpaceDN/>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E71A52"/>
  </w:style>
  <w:style w:type="paragraph" w:styleId="BalloonText">
    <w:name w:val="Balloon Text"/>
    <w:basedOn w:val="Normal"/>
    <w:link w:val="BalloonTextChar"/>
    <w:uiPriority w:val="99"/>
    <w:semiHidden/>
    <w:unhideWhenUsed/>
    <w:rsid w:val="00E71A52"/>
    <w:rPr>
      <w:rFonts w:ascii="Tahoma" w:hAnsi="Tahoma" w:cs="Tahoma"/>
      <w:sz w:val="16"/>
      <w:szCs w:val="16"/>
    </w:rPr>
  </w:style>
  <w:style w:type="character" w:customStyle="1" w:styleId="BalloonTextChar">
    <w:name w:val="Balloon Text Char"/>
    <w:basedOn w:val="DefaultParagraphFont"/>
    <w:link w:val="BalloonText"/>
    <w:uiPriority w:val="99"/>
    <w:semiHidden/>
    <w:rsid w:val="00E71A52"/>
    <w:rPr>
      <w:rFonts w:ascii="Tahoma" w:eastAsia="Times New Roman" w:hAnsi="Tahoma" w:cs="Tahoma"/>
      <w:sz w:val="16"/>
      <w:szCs w:val="16"/>
    </w:rPr>
  </w:style>
  <w:style w:type="character" w:customStyle="1" w:styleId="Heading1Char">
    <w:name w:val="Heading 1 Char"/>
    <w:basedOn w:val="DefaultParagraphFont"/>
    <w:link w:val="Heading1"/>
    <w:uiPriority w:val="9"/>
    <w:rsid w:val="00B65C9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65C96"/>
    <w:rPr>
      <w:b/>
      <w:bCs/>
    </w:rPr>
  </w:style>
  <w:style w:type="character" w:styleId="Hyperlink">
    <w:name w:val="Hyperlink"/>
    <w:basedOn w:val="DefaultParagraphFont"/>
    <w:uiPriority w:val="99"/>
    <w:unhideWhenUsed/>
    <w:rsid w:val="00B65C96"/>
    <w:rPr>
      <w:color w:val="0000FF"/>
      <w:u w:val="single"/>
    </w:rPr>
  </w:style>
  <w:style w:type="paragraph" w:styleId="NormalWeb">
    <w:name w:val="Normal (Web)"/>
    <w:basedOn w:val="Normal"/>
    <w:uiPriority w:val="99"/>
    <w:semiHidden/>
    <w:unhideWhenUsed/>
    <w:rsid w:val="00C258BA"/>
    <w:pPr>
      <w:widowControl/>
      <w:autoSpaceDE/>
      <w:autoSpaceDN/>
      <w:spacing w:before="100" w:beforeAutospacing="1" w:after="100" w:afterAutospacing="1"/>
    </w:pPr>
    <w:rPr>
      <w:sz w:val="24"/>
      <w:szCs w:val="24"/>
    </w:rPr>
  </w:style>
  <w:style w:type="paragraph" w:styleId="ListParagraph">
    <w:name w:val="List Paragraph"/>
    <w:basedOn w:val="Normal"/>
    <w:uiPriority w:val="34"/>
    <w:qFormat/>
    <w:rsid w:val="00EA708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71A52"/>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B65C96"/>
    <w:pPr>
      <w:widowControl/>
      <w:autoSpaceDE/>
      <w:autoSpaceDN/>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E71A52"/>
  </w:style>
  <w:style w:type="paragraph" w:styleId="BalloonText">
    <w:name w:val="Balloon Text"/>
    <w:basedOn w:val="Normal"/>
    <w:link w:val="BalloonTextChar"/>
    <w:uiPriority w:val="99"/>
    <w:semiHidden/>
    <w:unhideWhenUsed/>
    <w:rsid w:val="00E71A52"/>
    <w:rPr>
      <w:rFonts w:ascii="Tahoma" w:hAnsi="Tahoma" w:cs="Tahoma"/>
      <w:sz w:val="16"/>
      <w:szCs w:val="16"/>
    </w:rPr>
  </w:style>
  <w:style w:type="character" w:customStyle="1" w:styleId="BalloonTextChar">
    <w:name w:val="Balloon Text Char"/>
    <w:basedOn w:val="DefaultParagraphFont"/>
    <w:link w:val="BalloonText"/>
    <w:uiPriority w:val="99"/>
    <w:semiHidden/>
    <w:rsid w:val="00E71A52"/>
    <w:rPr>
      <w:rFonts w:ascii="Tahoma" w:eastAsia="Times New Roman" w:hAnsi="Tahoma" w:cs="Tahoma"/>
      <w:sz w:val="16"/>
      <w:szCs w:val="16"/>
    </w:rPr>
  </w:style>
  <w:style w:type="character" w:customStyle="1" w:styleId="Heading1Char">
    <w:name w:val="Heading 1 Char"/>
    <w:basedOn w:val="DefaultParagraphFont"/>
    <w:link w:val="Heading1"/>
    <w:uiPriority w:val="9"/>
    <w:rsid w:val="00B65C9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65C96"/>
    <w:rPr>
      <w:b/>
      <w:bCs/>
    </w:rPr>
  </w:style>
  <w:style w:type="character" w:styleId="Hyperlink">
    <w:name w:val="Hyperlink"/>
    <w:basedOn w:val="DefaultParagraphFont"/>
    <w:uiPriority w:val="99"/>
    <w:unhideWhenUsed/>
    <w:rsid w:val="00B65C96"/>
    <w:rPr>
      <w:color w:val="0000FF"/>
      <w:u w:val="single"/>
    </w:rPr>
  </w:style>
  <w:style w:type="paragraph" w:styleId="NormalWeb">
    <w:name w:val="Normal (Web)"/>
    <w:basedOn w:val="Normal"/>
    <w:uiPriority w:val="99"/>
    <w:semiHidden/>
    <w:unhideWhenUsed/>
    <w:rsid w:val="00C258BA"/>
    <w:pPr>
      <w:widowControl/>
      <w:autoSpaceDE/>
      <w:autoSpaceDN/>
      <w:spacing w:before="100" w:beforeAutospacing="1" w:after="100" w:afterAutospacing="1"/>
    </w:pPr>
    <w:rPr>
      <w:sz w:val="24"/>
      <w:szCs w:val="24"/>
    </w:rPr>
  </w:style>
  <w:style w:type="paragraph" w:styleId="ListParagraph">
    <w:name w:val="List Paragraph"/>
    <w:basedOn w:val="Normal"/>
    <w:uiPriority w:val="34"/>
    <w:qFormat/>
    <w:rsid w:val="00EA7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138802">
      <w:bodyDiv w:val="1"/>
      <w:marLeft w:val="0"/>
      <w:marRight w:val="0"/>
      <w:marTop w:val="0"/>
      <w:marBottom w:val="0"/>
      <w:divBdr>
        <w:top w:val="none" w:sz="0" w:space="0" w:color="auto"/>
        <w:left w:val="none" w:sz="0" w:space="0" w:color="auto"/>
        <w:bottom w:val="none" w:sz="0" w:space="0" w:color="auto"/>
        <w:right w:val="none" w:sz="0" w:space="0" w:color="auto"/>
      </w:divBdr>
    </w:div>
    <w:div w:id="671571013">
      <w:bodyDiv w:val="1"/>
      <w:marLeft w:val="0"/>
      <w:marRight w:val="0"/>
      <w:marTop w:val="0"/>
      <w:marBottom w:val="0"/>
      <w:divBdr>
        <w:top w:val="none" w:sz="0" w:space="0" w:color="auto"/>
        <w:left w:val="none" w:sz="0" w:space="0" w:color="auto"/>
        <w:bottom w:val="none" w:sz="0" w:space="0" w:color="auto"/>
        <w:right w:val="none" w:sz="0" w:space="0" w:color="auto"/>
      </w:divBdr>
    </w:div>
    <w:div w:id="889610213">
      <w:bodyDiv w:val="1"/>
      <w:marLeft w:val="0"/>
      <w:marRight w:val="0"/>
      <w:marTop w:val="0"/>
      <w:marBottom w:val="0"/>
      <w:divBdr>
        <w:top w:val="none" w:sz="0" w:space="0" w:color="auto"/>
        <w:left w:val="none" w:sz="0" w:space="0" w:color="auto"/>
        <w:bottom w:val="none" w:sz="0" w:space="0" w:color="auto"/>
        <w:right w:val="none" w:sz="0" w:space="0" w:color="auto"/>
      </w:divBdr>
    </w:div>
    <w:div w:id="904292511">
      <w:bodyDiv w:val="1"/>
      <w:marLeft w:val="0"/>
      <w:marRight w:val="0"/>
      <w:marTop w:val="0"/>
      <w:marBottom w:val="0"/>
      <w:divBdr>
        <w:top w:val="none" w:sz="0" w:space="0" w:color="auto"/>
        <w:left w:val="none" w:sz="0" w:space="0" w:color="auto"/>
        <w:bottom w:val="none" w:sz="0" w:space="0" w:color="auto"/>
        <w:right w:val="none" w:sz="0" w:space="0" w:color="auto"/>
      </w:divBdr>
      <w:divsChild>
        <w:div w:id="1253587578">
          <w:marLeft w:val="0"/>
          <w:marRight w:val="0"/>
          <w:marTop w:val="0"/>
          <w:marBottom w:val="0"/>
          <w:divBdr>
            <w:top w:val="none" w:sz="0" w:space="0" w:color="auto"/>
            <w:left w:val="none" w:sz="0" w:space="0" w:color="auto"/>
            <w:bottom w:val="none" w:sz="0" w:space="0" w:color="auto"/>
            <w:right w:val="none" w:sz="0" w:space="0" w:color="auto"/>
          </w:divBdr>
          <w:divsChild>
            <w:div w:id="743333246">
              <w:marLeft w:val="0"/>
              <w:marRight w:val="0"/>
              <w:marTop w:val="0"/>
              <w:marBottom w:val="0"/>
              <w:divBdr>
                <w:top w:val="none" w:sz="0" w:space="0" w:color="auto"/>
                <w:left w:val="none" w:sz="0" w:space="0" w:color="auto"/>
                <w:bottom w:val="none" w:sz="0" w:space="0" w:color="auto"/>
                <w:right w:val="none" w:sz="0" w:space="0" w:color="auto"/>
              </w:divBdr>
              <w:divsChild>
                <w:div w:id="784814941">
                  <w:marLeft w:val="0"/>
                  <w:marRight w:val="0"/>
                  <w:marTop w:val="0"/>
                  <w:marBottom w:val="0"/>
                  <w:divBdr>
                    <w:top w:val="none" w:sz="0" w:space="0" w:color="auto"/>
                    <w:left w:val="none" w:sz="0" w:space="0" w:color="auto"/>
                    <w:bottom w:val="none" w:sz="0" w:space="0" w:color="auto"/>
                    <w:right w:val="none" w:sz="0" w:space="0" w:color="auto"/>
                  </w:divBdr>
                  <w:divsChild>
                    <w:div w:id="924799240">
                      <w:marLeft w:val="0"/>
                      <w:marRight w:val="0"/>
                      <w:marTop w:val="0"/>
                      <w:marBottom w:val="0"/>
                      <w:divBdr>
                        <w:top w:val="none" w:sz="0" w:space="0" w:color="auto"/>
                        <w:left w:val="none" w:sz="0" w:space="0" w:color="auto"/>
                        <w:bottom w:val="none" w:sz="0" w:space="0" w:color="auto"/>
                        <w:right w:val="none" w:sz="0" w:space="0" w:color="auto"/>
                      </w:divBdr>
                      <w:divsChild>
                        <w:div w:id="2031029751">
                          <w:marLeft w:val="0"/>
                          <w:marRight w:val="0"/>
                          <w:marTop w:val="0"/>
                          <w:marBottom w:val="0"/>
                          <w:divBdr>
                            <w:top w:val="none" w:sz="0" w:space="0" w:color="auto"/>
                            <w:left w:val="none" w:sz="0" w:space="0" w:color="auto"/>
                            <w:bottom w:val="none" w:sz="0" w:space="0" w:color="auto"/>
                            <w:right w:val="none" w:sz="0" w:space="0" w:color="auto"/>
                          </w:divBdr>
                          <w:divsChild>
                            <w:div w:id="1072434577">
                              <w:marLeft w:val="0"/>
                              <w:marRight w:val="0"/>
                              <w:marTop w:val="0"/>
                              <w:marBottom w:val="0"/>
                              <w:divBdr>
                                <w:top w:val="none" w:sz="0" w:space="0" w:color="auto"/>
                                <w:left w:val="none" w:sz="0" w:space="0" w:color="auto"/>
                                <w:bottom w:val="none" w:sz="0" w:space="0" w:color="auto"/>
                                <w:right w:val="none" w:sz="0" w:space="0" w:color="auto"/>
                              </w:divBdr>
                              <w:divsChild>
                                <w:div w:id="158957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9285120">
      <w:bodyDiv w:val="1"/>
      <w:marLeft w:val="0"/>
      <w:marRight w:val="0"/>
      <w:marTop w:val="0"/>
      <w:marBottom w:val="0"/>
      <w:divBdr>
        <w:top w:val="none" w:sz="0" w:space="0" w:color="auto"/>
        <w:left w:val="none" w:sz="0" w:space="0" w:color="auto"/>
        <w:bottom w:val="none" w:sz="0" w:space="0" w:color="auto"/>
        <w:right w:val="none" w:sz="0" w:space="0" w:color="auto"/>
      </w:divBdr>
    </w:div>
    <w:div w:id="142792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562</TotalTime>
  <Pages>4</Pages>
  <Words>1242</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dcterms:created xsi:type="dcterms:W3CDTF">2022-04-02T05:58:00Z</dcterms:created>
  <dcterms:modified xsi:type="dcterms:W3CDTF">2022-04-03T07:44:00Z</dcterms:modified>
</cp:coreProperties>
</file>