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Teste Fase 2 – Cinturão de Asteroides sob a GRHE</w:t>
      </w:r>
    </w:p>
    <w:p>
      <w:pPr>
        <w:pStyle w:val="Heading1"/>
      </w:pPr>
      <w:r>
        <w:t>Equação Funcional Utilizada</w:t>
      </w:r>
    </w:p>
    <w:p>
      <w:r>
        <w:t>A equação geral da GRHE utilizada nas simulações foi:</w:t>
        <w:br/>
        <w:br/>
        <w:t>Ψ(r) = [α · ln(1 + β · r²)] / r + [γ · r / (1 + δ · r²)] + [ε / (1 + ζ · r)]</w:t>
        <w:br/>
        <w:br/>
        <w:t>Parâmetros ajustados para o campo funcional solar:</w:t>
        <w:br/>
        <w:t>α = -1.0</w:t>
        <w:br/>
        <w:t>β = 1e-14</w:t>
        <w:br/>
        <w:t>γ = -2.12e-6</w:t>
        <w:br/>
        <w:t>δ = 1e-14</w:t>
        <w:br/>
        <w:t>ε = -0.347</w:t>
        <w:br/>
        <w:t>ζ = 1e-7</w:t>
      </w:r>
    </w:p>
    <w:p>
      <w:pPr>
        <w:pStyle w:val="Heading1"/>
      </w:pPr>
      <w:r>
        <w:t>Objetivo do Teste</w:t>
      </w:r>
    </w:p>
    <w:p>
      <w:r>
        <w:t>Simular o comportamento funcional do Cinturão de Asteroides entre Marte e Júpiter sob a influência do campo funcional do Sol e da presença massiva de Júpiter. O objetivo foi verificar se a GRHE consegue explicar a estrutura do cinturão, sua estabilidade e a razão de não formação planetária na região.</w:t>
      </w:r>
    </w:p>
    <w:p>
      <w:pPr>
        <w:pStyle w:val="Heading1"/>
      </w:pPr>
      <w:r>
        <w:t>Etapa 1 – Simulação com 20 Asteroides</w:t>
      </w:r>
    </w:p>
    <w:p>
      <w:r>
        <w:t>Inicialmente foi realizada uma simulação com 20 asteroides, distribuídos funcionalmente entre 2.1 e 3.3 UA do Sol, com velocidades orbitais derivadas da equação GRHE. As órbitas permaneceram estáveis ao longo de 10 anos, e foi possível observar uma leve dispersão funcional nas regiões próximas a Júpiter, que atua como agente regulador funcional do cinturão.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he_cinturao_asteroid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Etapa 2 – Simulação com 500 Asteroides</w:t>
      </w:r>
    </w:p>
    <w:p>
      <w:r>
        <w:t>Na segunda etapa, o número de asteroides foi elevado para 500, mantendo a mesma faixa funcional (2.1 a 3.3 UA) e os parâmetros orbitais da equação GRHE. A simulação foi executada por 5 anos e revelou faixas claras de estabilidade e regiões funcionais de instabilidade, evidenciando as zonas de ressonância com Júpiter. Mesmo com maior densidade de corpos, o cinturão permaneceu coeso, funcional e organizado, confirmando o poder descritivo da GRHE em contextos multicomponentes.</w:t>
      </w:r>
    </w:p>
    <w:p>
      <w:r>
        <w:drawing>
          <wp:inline xmlns:a="http://schemas.openxmlformats.org/drawingml/2006/main" xmlns:pic="http://schemas.openxmlformats.org/drawingml/2006/picture">
            <wp:extent cx="5029200" cy="5029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he_cinturao_asteroides_5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Conclusão Final</w:t>
      </w:r>
    </w:p>
    <w:p>
      <w:r>
        <w:t>A GRHE demonstrou capacidade notável de reproduzir a estrutura real do Cinturão de Asteroides, suas zonas de estabilidade funcional, e o papel crucial de Júpiter como agente regulador do equilíbrio gravitacional da região. Sem recorrer a colisões, falhas formacionais ou forças newtonianas, o modelo funcional explica a organização e persistência dos asteroides como produto do campo regenerativo universal.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