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0" w:line="240" w:lineRule="auto"/>
      </w:pPr>
      <w:r>
        <w:rPr>
          <w:rFonts w:ascii="Calibri" w:hAnsi="Calibri"/>
          <w:b/>
          <w:i w:val="0"/>
          <w:color w:val="183B56"/>
          <w:sz w:val="40"/>
        </w:rPr>
        <w:t>P-015 | AI FRAUD INVESTIGATION COPILOT</w:t>
      </w:r>
    </w:p>
    <w:p>
      <w:pPr>
        <w:spacing w:before="0" w:after="60" w:line="240" w:lineRule="auto"/>
      </w:pPr>
      <w:r>
        <w:rPr>
          <w:rFonts w:ascii="Calibri" w:hAnsi="Calibri"/>
          <w:b/>
          <w:i w:val="0"/>
          <w:color w:val="5B6770"/>
          <w:sz w:val="18"/>
        </w:rPr>
        <w:t>Pricing, GTM and evidence memo | Nguyen Quang Huy | 2A202601873</w:t>
      </w:r>
    </w:p>
    <w:tbl>
      <w:tblPr>
        <w:tblW w:type="dxa" w:w="10944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B6D6D2"/>
          <w:left w:val="single" w:sz="6" w:space="0" w:color="B6D6D2"/>
          <w:bottom w:val="single" w:sz="6" w:space="0" w:color="B6D6D2"/>
          <w:right w:val="single" w:sz="6" w:space="0" w:color="B6D6D2"/>
          <w:insideH w:val="single" w:sz="6" w:space="0" w:color="B6D6D2"/>
          <w:insideV w:val="single" w:sz="6" w:space="0" w:color="B6D6D2"/>
        </w:tblBorders>
      </w:tblPr>
      <w:tblGrid>
        <w:gridCol w:w="10944"/>
      </w:tblGrid>
      <w:tr>
        <w:tc>
          <w:tcPr>
            <w:tcW w:type="dxa" w:w="1094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E9F5F3"/>
          </w:tcPr>
          <w:p>
            <w:pPr>
              <w:spacing w:before="40" w:after="40" w:line="240" w:lineRule="auto"/>
            </w:pPr>
            <w:r>
              <w:rPr>
                <w:rFonts w:ascii="Calibri" w:hAnsi="Calibri"/>
                <w:b/>
                <w:i w:val="0"/>
                <w:color w:val="0F766E"/>
                <w:sz w:val="14"/>
              </w:rPr>
              <w:t>WHAT IS SOLD</w:t>
            </w:r>
            <w:r>
              <w:rPr>
                <w:rFonts w:ascii="Calibri" w:hAnsi="Calibri"/>
                <w:b w:val="0"/>
                <w:i w:val="0"/>
                <w:color w:val="1F2937"/>
                <w:sz w:val="16"/>
              </w:rPr>
              <w:t xml:space="preserve">  A grounded investigation package for each eligible suspicious alert, embedded into an existing fraud-operations workflow. The AI assembles evidence and policy context; an authorized human owns the final disposition.</w:t>
            </w:r>
          </w:p>
        </w:tc>
      </w:tr>
    </w:tbl>
    <w:p>
      <w:pPr>
        <w:spacing w:after="20"/>
      </w:pPr>
    </w:p>
    <w:tbl>
      <w:tblPr>
        <w:tblW w:type="dxa" w:w="10944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C9D6E2"/>
          <w:left w:val="single" w:sz="5" w:space="0" w:color="C9D6E2"/>
          <w:bottom w:val="single" w:sz="5" w:space="0" w:color="C9D6E2"/>
          <w:right w:val="single" w:sz="5" w:space="0" w:color="C9D6E2"/>
          <w:insideH w:val="single" w:sz="5" w:space="0" w:color="C9D6E2"/>
          <w:insideV w:val="single" w:sz="5" w:space="0" w:color="C9D6E2"/>
        </w:tblBorders>
      </w:tblPr>
      <w:tblGrid>
        <w:gridCol w:w="1824"/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83B56"/>
                <w:sz w:val="23"/>
              </w:rPr>
              <w:t>7,648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VND / JOB</w:t>
            </w:r>
          </w:p>
        </w:tc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83B56"/>
                <w:sz w:val="23"/>
              </w:rPr>
              <w:t>22,945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PRICE FLOOR</w:t>
            </w:r>
          </w:p>
        </w:tc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F766E"/>
                <w:sz w:val="23"/>
              </w:rPr>
              <w:t>32,000 + 30M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USAGE + PLATFORM</w:t>
            </w:r>
          </w:p>
        </w:tc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1F7A4C"/>
                <w:sz w:val="23"/>
              </w:rPr>
              <w:t>82.8%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BLENDED GM</w:t>
            </w:r>
          </w:p>
        </w:tc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7A5A00"/>
                <w:sz w:val="23"/>
              </w:rPr>
              <w:t>80% EVAL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PACKAGE COMPLETION</w:t>
            </w:r>
          </w:p>
        </w:tc>
        <w:tc>
          <w:tcPr>
            <w:tcW w:type="dxa" w:w="1824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4F8FB"/>
          </w:tcPr>
          <w:p>
            <w:pPr>
              <w:spacing w:before="2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9B1C1C"/>
                <w:sz w:val="23"/>
              </w:rPr>
              <w:t>44.3%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5B6770"/>
                <w:sz w:val="13"/>
              </w:rPr>
              <w:t>BREAKEVEN PACKAGE RATE</w:t>
            </w:r>
          </w:p>
        </w:tc>
      </w:tr>
    </w:tbl>
    <w:p>
      <w:pPr>
        <w:spacing w:after="20"/>
      </w:pPr>
    </w:p>
    <w:tbl>
      <w:tblPr>
        <w:tblW w:type="dxa" w:w="10680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E2EC"/>
          <w:left w:val="single" w:sz="5" w:space="0" w:color="D9E2EC"/>
          <w:bottom w:val="single" w:sz="5" w:space="0" w:color="D9E2EC"/>
          <w:right w:val="single" w:sz="5" w:space="0" w:color="D9E2EC"/>
          <w:insideH w:val="single" w:sz="5" w:space="0" w:color="D9E2EC"/>
          <w:insideV w:val="single" w:sz="5" w:space="0" w:color="D9E2EC"/>
        </w:tblBorders>
      </w:tblPr>
      <w:tblGrid>
        <w:gridCol w:w="3560"/>
        <w:gridCol w:w="3560"/>
        <w:gridCol w:w="3560"/>
      </w:tblGrid>
      <w:tr>
        <w:tc>
          <w:tcPr>
            <w:tcW w:type="dxa" w:w="3560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FFFFF"/>
          </w:tcPr>
          <w:p>
            <w:pPr>
              <w:spacing w:after="0"/>
            </w:pP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>01 | PRICING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b w:val="0"/>
                <w:i/>
                <w:color w:val="5B6770"/>
                <w:sz w:val="15"/>
              </w:rPr>
              <w:t>Sell the software workflow, not an unproven autonomous outcome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6"/>
              </w:rPr>
              <w:t xml:space="preserve">Customer: </w:t>
            </w:r>
            <w:r>
              <w:rPr>
                <w:rFonts w:ascii="Calibri" w:hAnsi="Calibri"/>
                <w:b w:val="0"/>
                <w:i w:val="0"/>
                <w:color w:val="1F2937"/>
                <w:sz w:val="16"/>
              </w:rPr>
              <w:t>Mid-market fintech / payment processor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6"/>
              </w:rPr>
              <w:t xml:space="preserve">Buyer / budget: </w:t>
            </w:r>
            <w:r>
              <w:rPr>
                <w:rFonts w:ascii="Calibri" w:hAnsi="Calibri"/>
                <w:b w:val="0"/>
                <w:i w:val="0"/>
                <w:color w:val="1F2937"/>
                <w:sz w:val="16"/>
              </w:rPr>
              <w:t>Head of Risk or COO / software and fraud-operations tooling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6"/>
              </w:rPr>
              <w:t xml:space="preserve">One job: </w:t>
            </w:r>
            <w:r>
              <w:rPr>
                <w:rFonts w:ascii="Calibri" w:hAnsi="Calibri"/>
                <w:b w:val="0"/>
                <w:i w:val="0"/>
                <w:color w:val="1F2937"/>
                <w:sz w:val="16"/>
              </w:rPr>
              <w:t>An eligible alert is complete when the copilot returns a schema-valid, grounded investigation package with required evidence/decision fields; customer final disposition is recorded separately.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6"/>
              </w:rPr>
              <w:t xml:space="preserve">Value metric: </w:t>
            </w:r>
            <w:r>
              <w:rPr>
                <w:rFonts w:ascii="Calibri" w:hAnsi="Calibri"/>
                <w:b w:val="0"/>
                <w:i w:val="0"/>
                <w:color w:val="1F2937"/>
                <w:sz w:val="16"/>
              </w:rPr>
              <w:t>Hybrid: 30M VND platform fee/month + 32,000 VND per completed job.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Base fee: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30M/month purchases account-level workflow access, integration/configuration and governance/auditability; it is not a second charge for the package itself.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Unit GM: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76.1% on variable usage; 82.8% blended after the 30M/month platform fee at the base case.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Breakeven package-completion rate: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44.3% at the 60% usage-GM target; current commercial package completion is 80%, for a +35.7 pp package-completion buffer. Autonomous containment is 20% and is not compared with this threshold.</w:t>
            </w:r>
          </w:p>
          <w:p>
            <w:pPr>
              <w:spacing w:before="0" w:after="6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Rationale: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Attribution 2/5: the 5-case local control eval produced 4/5 grounded packages (80%), but no customer time-saved or outcome measurement. Autonomy 1/5: autonomous containment is 1/5 (20%), while 4/5 cases require human review. Hybrid follows the low-attribution/low-autonomy matrix and avoids unsupported outcome billing.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Value anchor: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15 min evidence assembly displaced at 250,000 VND/hour = 62,500 VND/job full value; 50% capture = 31,250 VND/job. Proposed 32,000 VND is above the 22,945 VND floor and below full labor value.</w:t>
            </w:r>
          </w:p>
          <w:tbl>
            <w:tblPr>
              <w:tblW w:type="dxa" w:w="3480"/>
              <w:tblLayout w:type="fixed"/>
              <w:tblLook w:firstColumn="1" w:firstRow="1" w:lastColumn="0" w:lastRow="0" w:noHBand="0" w:noVBand="1" w:val="04A0"/>
              <w:tblInd w:w="0" w:type="dxa"/>
              <w:tblBorders>
                <w:top w:val="single" w:sz="4" w:space="0" w:color="E9C8A0"/>
                <w:left w:val="single" w:sz="4" w:space="0" w:color="E9C8A0"/>
                <w:bottom w:val="single" w:sz="4" w:space="0" w:color="E9C8A0"/>
                <w:right w:val="single" w:sz="4" w:space="0" w:color="E9C8A0"/>
                <w:insideH w:val="single" w:sz="4" w:space="0" w:color="E9C8A0"/>
                <w:insideV w:val="single" w:sz="4" w:space="0" w:color="E9C8A0"/>
              </w:tblBorders>
            </w:tblPr>
            <w:tblGrid>
              <w:gridCol w:w="3480"/>
            </w:tblGrid>
            <w:tr>
              <w:tc>
                <w:tcPr>
                  <w:tcW w:type="dxa" w:w="3480"/>
                  <w:tcMar>
                    <w:top w:w="65" w:type="dxa"/>
                    <w:start w:w="90" w:type="dxa"/>
                    <w:bottom w:w="65" w:type="dxa"/>
                    <w:end w:w="90" w:type="dxa"/>
                  </w:tcMar>
                  <w:vAlign w:val="top"/>
                  <w:shd w:fill="FCE8D5"/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Calibri" w:hAnsi="Calibri"/>
                      <w:b/>
                      <w:i w:val="0"/>
                      <w:color w:val="7A5A00"/>
                      <w:sz w:val="14"/>
                    </w:rPr>
                    <w:t>RED TEAM: if the 80% commercial package-completion rate is wrong by 2x to 40%, usage GM falls to 56.1%. Autonomous containment is 20% and is not compared with the package-completion threshold.</w:t>
                  </w:r>
                </w:p>
              </w:tc>
            </w:tr>
          </w:tbl>
          <w:p/>
          <w:p>
            <w:pPr>
              <w:spacing w:after="0"/>
            </w:pPr>
          </w:p>
        </w:tc>
        <w:tc>
          <w:tcPr>
            <w:tcW w:type="dxa" w:w="3560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FFFFF"/>
          </w:tcPr>
          <w:p>
            <w:pPr>
              <w:spacing w:after="0"/>
            </w:pP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>02 | GTM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b w:val="0"/>
                <w:i/>
                <w:color w:val="5B6770"/>
                <w:sz w:val="15"/>
              </w:rPr>
              <w:t>One channel for 90 days: Sales-Led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Affordability: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ARPU 106.8M VND/month | ACV 1.282B VND / $49.3K reference | 12-month payback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CAC math: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Budget 1.061B | estimated CAC 350M | gap 711M | affordability ratio 3.03x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Deals / AE: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2.81 deals/year | 0.013 deals/selling day; mathematically feasible but planning-only.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Pain Moment: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09:00-11:00 after an overnight alert burst: a fraud analyst triages high-risk transactions in the existing fraud-operations alert queue/dashboard and needs a grounded case package before manual disposition.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Surface: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User-facing: existing fraud-analyst alert investigation queue/dashboard side panel. Backend: Kafka fraud_alerts -&gt; fraud engine/agent -&gt; REST /api/v1/fraud/analyze. Live integration is PARTIAL / NOT VERIFIED.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5"/>
              </w:rPr>
              <w:t xml:space="preserve">Month 1 | Learn: </w:t>
            </w:r>
            <w:r>
              <w:rPr>
                <w:rFonts w:ascii="Calibri" w:hAnsi="Calibri"/>
                <w:b w:val="0"/>
                <w:i w:val="0"/>
                <w:color w:val="1F2937"/>
                <w:sz w:val="15"/>
              </w:rPr>
              <w:t>Target 2 design partners, 8 interviews, 300 labeled jobs; produce pain notes, failure taxonomy and time-on-task baseline.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Months 2-3 | Leverage: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Target 2 pilots / 6,000 jobs / &gt;=85% package completion / autonomous containment measured separately / &gt;=70% GM / CAC &lt;=350M; track 12 qualified opportunities and 3 wins.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Month 4+ | Expand: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Only after &gt;=85% package completion, autonomous containment and 2 paying customers plus security-gap closure. Next niche: multi-merchant payment processors.</w:t>
            </w:r>
          </w:p>
        </w:tc>
        <w:tc>
          <w:tcPr>
            <w:tcW w:type="dxa" w:w="3560"/>
            <w:tcMar>
              <w:top w:w="65" w:type="dxa"/>
              <w:start w:w="90" w:type="dxa"/>
              <w:bottom w:w="65" w:type="dxa"/>
              <w:end w:w="90" w:type="dxa"/>
            </w:tcMar>
            <w:vAlign w:val="top"/>
            <w:shd w:fill="FFFFFF"/>
          </w:tcPr>
          <w:p>
            <w:pPr>
              <w:spacing w:after="0"/>
            </w:pP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/>
                <w:i w:val="0"/>
                <w:color w:val="0F766E"/>
                <w:sz w:val="22"/>
              </w:rPr>
              <w:t>03 | EVIDENCE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b w:val="0"/>
                <w:i/>
                <w:color w:val="5B6770"/>
                <w:sz w:val="15"/>
              </w:rPr>
              <w:t>Procurement can see what is proven and what is open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Eval Results: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PARTIAL. Small local control eval: 5 attempted, commercial package completion 4/5 (80%), autonomous containment 1/5 (20%), human-review/escalation 4/5 (80%), grounding failures 1/5 (20%); retry telemetry is not instrumented. Eight RAG queries: 100% citation accuracy. Upstream ML recall: 80.08% validation / 84.84% integration. Not customer evidence.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Risk Checklist: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PARTIAL. Grounding, fallback, injection defense, score preservation, redaction and human review are evidenced. Auth/RBAC, rate limit, TLS, retention/deletion, durable audit export, vendor terms and live deployment remain open.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Pilot Report: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MISSING EVIDENCE. No customer or participant is fabricated. PLANNED - NOT YET EXECUTED: start 2026-10-01, end 2026-11-26, 2 design partners, 6,000 jobs; owner Nguyen Quang Huy; measure completion, time saved, latency, retries, Cost/Job and safety.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/>
                <w:b/>
                <w:i w:val="0"/>
                <w:color w:val="183B56"/>
                <w:sz w:val="14"/>
              </w:rPr>
              <w:t xml:space="preserve">Submission gate: </w:t>
            </w:r>
            <w:r>
              <w:rPr>
                <w:rFonts w:ascii="Calibri" w:hAnsi="Calibri"/>
                <w:b w:val="0"/>
                <w:i w:val="0"/>
                <w:color w:val="1F2937"/>
                <w:sz w:val="14"/>
              </w:rPr>
              <w:t>READY WITH DISCLOSED LIMITATIONS. Official Day28 templates were not found locally; this memo and workbook are transparent substitutes. All numeric memo claims trace to workbook cells in evidence/onepager-traceability.md. Production readiness remains gated.</w:t>
            </w:r>
          </w:p>
          <w:tbl>
            <w:tblPr>
              <w:tblW w:type="dxa" w:w="3480"/>
              <w:tblLayout w:type="fixed"/>
              <w:tblLook w:firstColumn="1" w:firstRow="1" w:lastColumn="0" w:lastRow="0" w:noHBand="0" w:noVBand="1" w:val="04A0"/>
              <w:tblInd w:w="0" w:type="dxa"/>
              <w:tblBorders>
                <w:top w:val="single" w:sz="4" w:space="0" w:color="E9C8A0"/>
                <w:left w:val="single" w:sz="4" w:space="0" w:color="E9C8A0"/>
                <w:bottom w:val="single" w:sz="4" w:space="0" w:color="E9C8A0"/>
                <w:right w:val="single" w:sz="4" w:space="0" w:color="E9C8A0"/>
                <w:insideH w:val="single" w:sz="4" w:space="0" w:color="E9C8A0"/>
                <w:insideV w:val="single" w:sz="4" w:space="0" w:color="E9C8A0"/>
              </w:tblBorders>
            </w:tblPr>
            <w:tblGrid>
              <w:gridCol w:w="3480"/>
            </w:tblGrid>
            <w:tr>
              <w:tc>
                <w:tcPr>
                  <w:tcW w:type="dxa" w:w="3480"/>
                  <w:tcMar>
                    <w:top w:w="65" w:type="dxa"/>
                    <w:start w:w="90" w:type="dxa"/>
                    <w:bottom w:w="65" w:type="dxa"/>
                    <w:end w:w="90" w:type="dxa"/>
                  </w:tcMar>
                  <w:vAlign w:val="top"/>
                  <w:shd w:fill="FDECEC"/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Calibri" w:hAnsi="Calibri"/>
                      <w:b/>
                      <w:i w:val="0"/>
                      <w:color w:val="9B1C1C"/>
                      <w:sz w:val="14"/>
                    </w:rPr>
                    <w:t>Decision: READY for artifact review/submission. Production claims remain gated on the planned pilot and open controls.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p>
      <w:pPr>
        <w:spacing w:before="40" w:after="0" w:line="240" w:lineRule="auto"/>
      </w:pPr>
      <w:r>
        <w:rPr>
          <w:rFonts w:ascii="Calibri" w:hAnsi="Calibri"/>
          <w:b w:val="0"/>
          <w:i/>
          <w:color w:val="5B6770"/>
          <w:sz w:val="13"/>
        </w:rPr>
        <w:t>Source trail: P-015 artifacts/agent + artifacts/ml/lightgbm; P-015 docs/business_product_direction.md, ai_fraud_agent.md, security.md, deployment_guide.md; current OpenAI, Supabase, Stripe Radar and Fingerprint pricing checked 2026-08-27. See workbook and evidence pack for full notes.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48" w:right="648" w:bottom="648" w:left="648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5B6770"/>
        <w:sz w:val="13"/>
      </w:rPr>
      <w:t>READY WITH DISCLOSED LIMITATIONS - see evidence/ and FINAL_AUDIT_REPORT.md | 2026-08-27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i w:val="0"/>
        <w:color w:val="5B6770"/>
        <w:sz w:val="14"/>
      </w:rPr>
      <w:t>DAY25 | P-015 | PRICING + GTM + EVIDENCE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Calibri" w:hAnsi="Calibri"/>
      <w:color w:val="1F2937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