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40" w:lineRule="auto"/>
      </w:pPr>
      <w:r>
        <w:rPr>
          <w:rFonts w:ascii="Calibri" w:hAnsi="Calibri"/>
          <w:b/>
          <w:i w:val="0"/>
          <w:color w:val="183B56"/>
          <w:sz w:val="40"/>
        </w:rPr>
        <w:t>P-015 | AI FRAUD INVESTIGATION COPILOT</w:t>
      </w:r>
    </w:p>
    <w:p>
      <w:pPr>
        <w:spacing w:before="0" w:after="60" w:line="240" w:lineRule="auto"/>
      </w:pPr>
      <w:r>
        <w:rPr>
          <w:rFonts w:ascii="Calibri" w:hAnsi="Calibri"/>
          <w:b/>
          <w:i w:val="0"/>
          <w:color w:val="5B6770"/>
          <w:sz w:val="18"/>
        </w:rPr>
        <w:t>Pricing, GTM and evidence memo | Nguyen Quang Huy | 2A202601873</w:t>
      </w:r>
    </w:p>
    <w:tbl>
      <w:tblPr>
        <w:tblW w:type="dxa" w:w="10944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6D6D2"/>
          <w:left w:val="single" w:sz="6" w:space="0" w:color="B6D6D2"/>
          <w:bottom w:val="single" w:sz="6" w:space="0" w:color="B6D6D2"/>
          <w:right w:val="single" w:sz="6" w:space="0" w:color="B6D6D2"/>
          <w:insideH w:val="single" w:sz="6" w:space="0" w:color="B6D6D2"/>
          <w:insideV w:val="single" w:sz="6" w:space="0" w:color="B6D6D2"/>
        </w:tblBorders>
      </w:tblPr>
      <w:tblGrid>
        <w:gridCol w:w="10944"/>
      </w:tblGrid>
      <w:tr>
        <w:tc>
          <w:tcPr>
            <w:tcW w:type="dxa" w:w="1094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E9F5F3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14"/>
              </w:rPr>
              <w:t>WHAT IS SOLD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 xml:space="preserve">  A grounded investigation package for each eligible suspicious alert, embedded into an existing fraud-operations workflow. The AI assembles evidence and policy context; an authorized human owns the final disposition.</w:t>
            </w:r>
          </w:p>
        </w:tc>
      </w:tr>
    </w:tbl>
    <w:p>
      <w:pPr>
        <w:spacing w:after="20"/>
      </w:pPr>
    </w:p>
    <w:tbl>
      <w:tblPr>
        <w:tblW w:type="dxa" w:w="10944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C9D6E2"/>
          <w:left w:val="single" w:sz="5" w:space="0" w:color="C9D6E2"/>
          <w:bottom w:val="single" w:sz="5" w:space="0" w:color="C9D6E2"/>
          <w:right w:val="single" w:sz="5" w:space="0" w:color="C9D6E2"/>
          <w:insideH w:val="single" w:sz="5" w:space="0" w:color="C9D6E2"/>
          <w:insideV w:val="single" w:sz="5" w:space="0" w:color="C9D6E2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83B56"/>
                <w:sz w:val="23"/>
              </w:rPr>
              <w:t>7,648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VND / JOB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83B56"/>
                <w:sz w:val="23"/>
              </w:rPr>
              <w:t>22,945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PRICE FLOOR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F766E"/>
                <w:sz w:val="23"/>
              </w:rPr>
              <w:t>32,000 + 30M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USAGE + PLATFORM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F7A4C"/>
                <w:sz w:val="23"/>
              </w:rPr>
              <w:t>82.8%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BLENDED GM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23"/>
              </w:rPr>
              <w:t>80% EVAL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CONTAINMENT PROXY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23"/>
              </w:rPr>
              <w:t>44.3%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GM BREAKEVEN</w:t>
            </w:r>
          </w:p>
        </w:tc>
      </w:tr>
    </w:tbl>
    <w:p>
      <w:pPr>
        <w:spacing w:after="20"/>
      </w:pPr>
    </w:p>
    <w:tbl>
      <w:tblPr>
        <w:tblW w:type="dxa" w:w="10680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3560"/>
        <w:gridCol w:w="3560"/>
        <w:gridCol w:w="3560"/>
      </w:tblGrid>
      <w:tr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01 | PRICING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Sell the software workflow, not an unproven autonomous outcome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Customer: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Mid-market fintech / payment processor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Buyer / budget: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Head of Risk or COO / software and fraud-operations tooling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One job: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An eligible alert is complete when the copilot returns a schema-valid, grounded investigation package with required evidence/decision fields; customer final disposition is recorded separately.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Value metric: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Hybrid: 30M VND platform fee/month + 32,000 VND per completed job.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Base fee: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30M/month purchases account-level workflow access, integration/configuration and governance/auditability; it is not a second charge for the package itself.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Unit GM: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76.1% on variable usage; 82.8% blended after the 30M/month platform fee at the base case.</w:t>
            </w:r>
          </w:p>
          <w:p>
            <w:pPr>
              <w:spacing w:before="0" w:after="6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Rationale: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Attribution 2/5: the 5-case local control eval produced 4/5 grounded packages (80%), but no customer time-saved or outcome measurement. Autonomy 1/5: only 1/5 completed without required human intervention; the product routes 4/5 cases to review. Hybrid follows the low-attribution/low-autonomy matrix and avoids unsupported outcome billing.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Value anchor: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15 min evidence assembly displaced at 250,000 VND/hour = 62,500 VND/job full value; 50% capture = 31,250 VND/job. Proposed 32,000 VND is above the 22,945 VND floor and below full labor value.</w:t>
            </w:r>
          </w:p>
          <w:tbl>
            <w:tblPr>
              <w:tblW w:type="dxa" w:w="3480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single" w:sz="4" w:space="0" w:color="E9C8A0"/>
                <w:left w:val="single" w:sz="4" w:space="0" w:color="E9C8A0"/>
                <w:bottom w:val="single" w:sz="4" w:space="0" w:color="E9C8A0"/>
                <w:right w:val="single" w:sz="4" w:space="0" w:color="E9C8A0"/>
                <w:insideH w:val="single" w:sz="4" w:space="0" w:color="E9C8A0"/>
                <w:insideV w:val="single" w:sz="4" w:space="0" w:color="E9C8A0"/>
              </w:tblBorders>
            </w:tblPr>
            <w:tblGrid>
              <w:gridCol w:w="3480"/>
            </w:tblGrid>
            <w:tr>
              <w:tc>
                <w:tcPr>
                  <w:tcW w:type="dxa" w:w="3480"/>
                  <w:tcMar>
                    <w:top w:w="65" w:type="dxa"/>
                    <w:start w:w="90" w:type="dxa"/>
                    <w:bottom w:w="65" w:type="dxa"/>
                    <w:end w:w="90" w:type="dxa"/>
                  </w:tcMar>
                  <w:vAlign w:val="top"/>
                  <w:shd w:fill="FCE8D5"/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7A5A00"/>
                      <w:sz w:val="14"/>
                    </w:rPr>
                    <w:t>RED TEAM: if the 80% package-completion proxy is wrong by 2x to 40%, usage GM falls to 56.1%. Production completion is the economic gate.</w:t>
                  </w:r>
                </w:p>
              </w:tc>
            </w:tr>
          </w:tbl>
          <w:p/>
          <w:p>
            <w:pPr>
              <w:spacing w:after="0"/>
            </w:pPr>
          </w:p>
        </w:tc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02 | GTM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One channel for 90 days: Sales-Led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Affordability: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ARPU 106.8M VND/month | ACV 1.282B VND / $49.3K reference | 12-month payback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CAC math: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Budget 1.061B | estimated CAC 350M | gap 711M | affordability ratio 3.03x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Deals / AE: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2.81 deals/year | 0.013 deals/selling day; mathematically feasible but planning-only.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Pain Moment: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09:00-11:00 after an overnight alert burst: a fraud analyst triages high-risk transactions in the existing fraud-operations alert queue/dashboard and needs a grounded case package before manual disposition.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Surface: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User-facing: existing fraud-analyst alert investigation queue/dashboard side panel. Backend: Kafka fraud_alerts -&gt; fraud engine/agent -&gt; REST /api/v1/fraud/analyze. Live integration is PARTIAL / NOT VERIFIED.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Month 1 | Learn: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Target 2 design partners, 8 interviews, 300 labeled jobs; produce pain notes, failure taxonomy and time-on-task baseline.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Months 2-3 | Leverage: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Target 2 pilots / 6,000 jobs / &gt;=85% completion / &gt;=70% GM / CAC &lt;=350M; track 12 qualified opportunities and 3 wins.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Month 4+ | Expand: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Only after &gt;=85% completion, 2 paying customers and security-gap closure. Next niche: multi-merchant payment processors.</w:t>
            </w:r>
          </w:p>
        </w:tc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03 | EVIDENCE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Procurement can see what is proven and what is open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Eval Results: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PARTIAL. Local control eval: 5 attempted, 4 grounded packages (80% commercial completion proxy), 1 autonomous completion (20%), 4 human-review cases and 1 grounding failure; retry telemetry is not instrumented. Eight RAG queries: 100% citation accuracy. Upstream ML recall: 80.08% validation / 84.84% integration. Not customer evidence.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Risk Checklist: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PARTIAL. Grounding, fallback, injection defense, score preservation, redaction and human review are evidenced. Auth/RBAC, rate limit, TLS, retention/deletion, durable audit export, vendor terms and live deployment remain open.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Pilot Report: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MISSING EVIDENCE. No customer or participant is fabricated. PLANNED - NOT YET EXECUTED: start 2026-10-01, end 2026-11-26, 2 design partners, 6,000 jobs; owner Nguyen Quang Huy; measure completion, time saved, latency, retries, Cost/Job and safety.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Submission gate: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READY WITH DISCLOSED LIMITATIONS. Official Day28 templates were not found locally; this memo and workbook are transparent substitutes. All numeric memo claims trace to workbook cells in evidence/onepager-traceability.md. Production readiness remains gated.</w:t>
            </w:r>
          </w:p>
          <w:tbl>
            <w:tblPr>
              <w:tblW w:type="dxa" w:w="3480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single" w:sz="4" w:space="0" w:color="E9C8A0"/>
                <w:left w:val="single" w:sz="4" w:space="0" w:color="E9C8A0"/>
                <w:bottom w:val="single" w:sz="4" w:space="0" w:color="E9C8A0"/>
                <w:right w:val="single" w:sz="4" w:space="0" w:color="E9C8A0"/>
                <w:insideH w:val="single" w:sz="4" w:space="0" w:color="E9C8A0"/>
                <w:insideV w:val="single" w:sz="4" w:space="0" w:color="E9C8A0"/>
              </w:tblBorders>
            </w:tblPr>
            <w:tblGrid>
              <w:gridCol w:w="3480"/>
            </w:tblGrid>
            <w:tr>
              <w:tc>
                <w:tcPr>
                  <w:tcW w:type="dxa" w:w="3480"/>
                  <w:tcMar>
                    <w:top w:w="65" w:type="dxa"/>
                    <w:start w:w="90" w:type="dxa"/>
                    <w:bottom w:w="65" w:type="dxa"/>
                    <w:end w:w="90" w:type="dxa"/>
                  </w:tcMar>
                  <w:vAlign w:val="top"/>
                  <w:shd w:fill="FDECEC"/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9B1C1C"/>
                      <w:sz w:val="14"/>
                    </w:rPr>
                    <w:t>Decision: READY for artifact review/submission. Production claims remain gated on the planned pilot and open controls.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p>
      <w:pPr>
        <w:spacing w:before="40" w:after="0" w:line="240" w:lineRule="auto"/>
      </w:pPr>
      <w:r>
        <w:rPr>
          <w:rFonts w:ascii="Calibri" w:hAnsi="Calibri"/>
          <w:b w:val="0"/>
          <w:i/>
          <w:color w:val="5B6770"/>
          <w:sz w:val="13"/>
        </w:rPr>
        <w:t>Source trail: P-015 artifacts/agent + artifacts/ml/lightgbm; P-015 docs/business_product_direction.md, ai_fraud_agent.md, security.md, deployment_guide.md; current OpenAI, Supabase, Stripe Radar and Fingerprint pricing checked 2026-08-27. See workbook and evidence pack for full notes.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648" w:bottom="648" w:left="648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5B6770"/>
        <w:sz w:val="13"/>
      </w:rPr>
      <w:t>READY WITH DISCLOSED LIMITATIONS - see evidence/ and FINAL_AUDIT_REPORT.md | 2026-08-27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i w:val="0"/>
        <w:color w:val="5B6770"/>
        <w:sz w:val="14"/>
      </w:rPr>
      <w:t>DAY25 | P-015 | PRICING + GTM + EVIDENCE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