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hAnsi="Arial"/>
        </w:rPr>
        <w:t>DAY 25 · AI-IN-ACTION · TRACK 1</w:t>
      </w:r>
    </w:p>
    <w:p>
      <w:pPr>
        <w:spacing w:after="60" w:before="0"/>
      </w:pPr>
      <w:r>
        <w:rPr>
          <w:rFonts w:ascii="Arial" w:hAnsi="Arial"/>
        </w:rPr>
        <w:t>MONETIZATION ONE-PAGER</w:t>
      </w:r>
    </w:p>
    <w:p>
      <w:pPr>
        <w:spacing w:after="40" w:before="0"/>
      </w:pPr>
      <w:r>
        <w:rPr>
          <w:rFonts w:ascii="Arial" w:hAnsi="Arial"/>
        </w:rPr>
        <w:t>Tên / Nhóm: Nguyen Quang Huy | Sản phẩm: P-015 AI Fraud Investigation Copilot</w:t>
      </w:r>
    </w:p>
    <w:p>
      <w:pPr>
        <w:pBdr>
          <w:bottom w:val="single" w:color="CCCCCC" w:sz="6" w:space="4"/>
        </w:pBdr>
        <w:spacing w:after="60" w:before="0"/>
      </w:pPr>
      <w:r>
        <w:rPr>
          <w:rFonts w:ascii="Arial" w:hAnsi="Arial"/>
        </w:rPr>
        <w:t>Value Metric đã chọn: HYBRID (official $/job scenario below) | Kênh đã chọn: Sales-Led | Ngày: 2026-08-27</w:t>
      </w:r>
    </w:p>
    <w:p>
      <w:pPr>
        <w:spacing w:after="200" w:before="0"/>
      </w:pPr>
      <w:r>
        <w:rPr>
          <w:rFonts w:ascii="Arial" w:hAnsi="Arial"/>
        </w:rPr>
        <w:t>Every numeric claim below traces to the official Day25 workbook or named P-015 evidence; 20% is autonomous containment, not 80% package completion.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 · PRICING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Ngân sách khách hàng</w:t>
      </w:r>
    </w:p>
    <w:p>
      <w:pPr>
        <w:spacing w:after="100" w:before="0"/>
      </w:pPr>
      <w:r>
        <w:rPr>
          <w:rFonts w:ascii="Arial" w:hAnsi="Arial"/>
        </w:rPr>
        <w:t>Software / fraud-operations tooling; buyer: Head of Risk / COO; an authorized customer analyst owns final disposition.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hAnsi="Arial"/>
        </w:rPr>
        <w:t>Commercial recommendation: Hybrid (platform/governance access + measured usage). Official workbook economics model the pure $/completed-autonomous-job usage leg.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hAnsi="Arial"/>
        </w:rPr>
        <w:t>Customer value is a grounded investigation package that reduces analyst work while keeping the final disposition customer-owned.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Value Metric + lý do</w:t>
      </w:r>
    </w:p>
    <w:p>
      <w:pPr>
        <w:spacing w:after="100" w:before="0"/>
      </w:pPr>
      <w:r>
        <w:rPr>
          <w:rFonts w:ascii="Arial" w:hAnsi="Arial"/>
        </w:rPr>
        <w:t>HYBRID: platform/governance access plus usage. Attribution score 2/10; autonomy score 1/10; no customer causal outcome evidence, and 4/5 local cases require human review.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hAnsi="Arial"/>
        </w:rPr>
        <w:t>Chosen unit: one completed grounded investigation package, priced per completed autonomous job in the official cost/pricing case.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hAnsi="Arial"/>
        </w:rPr>
        <w:t>Evidence: local controlled evaluation reports 4/5 package completion and 1/5 autonomous containment; those are distinct rates.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hAnsi="Arial"/>
        </w:rPr>
        <w:t>Market reason: Intercom and Zendesk publish adjacent outcome/resolution anchors, but a direct P-015 outcome price is not yet defensible.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Benchmark — 2 sản phẩm thật cùng loại job</w:t>
      </w:r>
    </w:p>
    <w:p>
      <w:pPr>
        <w:spacing w:after="100" w:before="0"/>
      </w:pPr>
      <w:r>
        <w:rPr>
          <w:rFonts w:ascii="Arial" w:hAnsi="Arial"/>
        </w:rPr>
        <w:t>Intercom Fin: $0.99 per resolution/outcome. Zendesk AI agents: as low as $1.50 per resolution. Checked 2026-08-27; these are adjacent benchmarks, not P-015 customer proof.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hAnsi="Arial"/>
        </w:rPr>
        <w:t>Intercom source: https://www.intercom.com/help/en/articles/8205718-fin-ai-agent-outcomes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hAnsi="Arial"/>
        </w:rPr>
        <w:t>Zendesk source: https://www.zendesk.com/service/ai/top-ai-agents/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Các con số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Chỉ số</w:t>
            </w:r>
          </w:p>
        </w:tc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Giá trị</w:t>
            </w:r>
          </w:p>
        </w:tc>
        <w:tc>
          <w:tcPr>
            <w:tcW w:type="dxa" w:w="27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Lấy từ đâu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Cost/Job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$0.5422/job (~₫14,150)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1_Cost_Job!B66; VND B69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Giá sàn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$1.6267/job (~₫42,447)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2_Pricing!B7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Giá đề xuất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$1.75/job (~₫45,668)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2_Pricing!B19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69.0%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2_Pricing!B21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Breakeven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15.5% autonomous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2_Pricing!B33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Containment hiện tại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20.0% autonomous (1/5)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1_Cost_Job!B10; evidence/containment-eval.csv</w:t>
            </w:r>
          </w:p>
        </w:tc>
      </w:tr>
    </w:tbl>
    <w:p>
      <w:pPr>
        <w:spacing w:after="100" w:before="0"/>
      </w:pPr>
      <w:r>
        <w:rPr>
          <w:rFonts w:ascii="Arial" w:hAnsi="Arial"/>
        </w:rPr>
        <w:t>Official model: $0.5422 Cost/Job (~₫14,150); $1.6267 floor (~₫42,447); $1.75 price (~₫45,668); 69.0% GM; 15.5% breakeven autonomous containment; current 20.0%.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Cách neo giá</w:t>
      </w:r>
    </w:p>
    <w:p>
      <w:pPr>
        <w:spacing w:after="100" w:before="0"/>
      </w:pPr>
      <w:r>
        <w:rPr>
          <w:rFonts w:ascii="Arial" w:hAnsi="Arial"/>
        </w:rPr>
        <w:t>Anchor: the official 70% labor ceiling is $1.75/job (B14/B16/B11); Intercom $0.99 and Zendesk $1.50 are adjacent anchors. Proposed $1.75 is a planning decision, not a market quote.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hAnsi="Arial"/>
        </w:rPr>
        <w:t>Value and floor checks pass: $1.75 is above the 3x Cost/Job floor and within the labor/value guardrails in 2_Pricing.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hAnsi="Arial"/>
        </w:rPr>
        <w:t>The official usage case is profitable at the current 20% autonomous containment; Hybrid access pricing remains a commercial recommendation for pilot discovery.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Mô hình gãy khi nào?</w:t>
      </w:r>
    </w:p>
    <w:p>
      <w:pPr>
        <w:spacing w:after="100" w:before="0"/>
      </w:pPr>
      <w:r>
        <w:rPr>
          <w:rFonts w:ascii="Arial" w:hAnsi="Arial"/>
        </w:rPr>
        <w:t>If autonomous containment falls below about 12.4%, Gross Margin falls below 50% at the $1.75/job usage price (the official sensitivity table starts at 50%).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/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 · GO-TO-MARKET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Kênh phân phối — chọn ĐÚNG 1 cho 90 ngày đầu</w:t>
      </w:r>
    </w:p>
    <w:p>
      <w:pPr>
        <w:spacing w:after="100" w:before="0"/>
      </w:pPr>
      <w:r>
        <w:rPr>
          <w:rFonts w:ascii="Arial" w:hAnsi="Arial"/>
        </w:rPr>
        <w:t>Sales-Led only for 90 days; founder-led design-partner motion targets mid-market fintech/payment processors.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hAnsi="Arial"/>
        </w:rPr>
        <w:t>ARPU $1,050/month; CAC budget $13,043.88; estimated CAC $12,000; budget coverage 1.09x (official B23 shows estimated/budget 0.92x); deals/AE/day 0.180.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hAnsi="Arial"/>
        </w:rPr>
        <w:t>The $3,000/opportunity input is a founder-led planning assumption, not CRM evidence; replace it after pilot funnel data.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Bằng chứng bằng số cho lựa chọn kênh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Chỉ số</w:t>
            </w:r>
          </w:p>
        </w:tc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Giá trị</w:t>
            </w:r>
          </w:p>
        </w:tc>
        <w:tc>
          <w:tcPr>
            <w:tcW w:type="dxa" w:w="27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Lấy từ đâu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ARPU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$1,050/month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4_Channel_Fit!B5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CAC budget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$13,043.88/customer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4_Channel_Fit!B9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Deals/AE/day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0.180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4_Channel_Fit!B16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Estimated CAC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$12,000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4_Channel_Fit!B22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Estimated / budget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0.92x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4_Channel_Fit!B23; inverse coverage 1.09x</w:t>
            </w:r>
          </w:p>
        </w:tc>
      </w:tr>
    </w:tbl>
    <w:p>
      <w:pPr>
        <w:spacing w:after="100" w:before="0"/>
      </w:pPr>
      <w:r>
        <w:rPr>
          <w:rFonts w:ascii="Arial" w:hAnsi="Arial"/>
        </w:rPr>
        <w:t>ARPU $1,050/month; ACV $12,600/year; CAC budget $13,043.88; estimated CAC $12,000; B23 estimated/budget 0.92x; budget/estimated 1.09x.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Pain Moment — bắt buộc đủ 3 phần</w:t>
      </w:r>
    </w:p>
    <w:p>
      <w:pPr>
        <w:spacing w:after="100" w:before="0"/>
      </w:pPr>
      <w:r>
        <w:rPr>
          <w:rFonts w:ascii="Arial" w:hAnsi="Arial"/>
        </w:rPr>
        <w:t>09:00–11:00 after an overnight alert burst: fraud analyst triages high-risk alerts in the existing fraud-operations alert queue/dashboard before manual disposition.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Điểm nhúng</w:t>
      </w:r>
    </w:p>
    <w:p>
      <w:pPr>
        <w:spacing w:after="100" w:before="0"/>
      </w:pPr>
      <w:r>
        <w:rPr>
          <w:rFonts w:ascii="Arial" w:hAnsi="Arial"/>
        </w:rPr>
        <w:t>Existing fraud-operations alert investigation queue/dashboard side panel. Backend: Kafka fraud_alerts → fraud engine/agent → REST /api/v1/fraud/analyze; live integration is PARTIAL / NOT VERIFIED.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90-Day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Tháng 1 — Học</w:t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Tháng 2–3 — Đòn bẩy</w:t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Tháng 4+ — Mở rộng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Kênh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Sales-Led founder-led design-partner motion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Sales-Led paid pilot motion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Sales-Led expansion within adjacent payment-processor accounts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Mục tiêu số khách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2 design partners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2 pilot customers / 6,000 labeled jobs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2 paying customers + 1 adjacent segment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Việc cụ thể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8 fraud-ops interviews; produce pain notes and security-gap log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Run 2 pilots; instrument completion, autonomy, retries and latency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Standardize procurement pack; add multi-merchant processor playbook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KPI đo được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8 interviews, 2 design partners, 300 labeled jobs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&gt;=85% package completion; autonomy separate; &gt;=70% blended GM; CAC &lt;=$32k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2 paying customers, no unsafe auto-action, auth/RBAC and retention evidence closed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Ai chịu trách nhiệm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Nguyen Quang Huy + 2 design-partner fraud leads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Nguyen Quang Huy; customer fraud team owns final disposition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Nguyen Quang Huy + customer champion</w:t>
            </w:r>
          </w:p>
        </w:tc>
      </w:tr>
    </w:tbl>
    <w:p>
      <w:r>
        <w:br/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3 · EVIDENCE PACK</w:t>
      </w:r>
    </w:p>
    <w:p>
      <w:pPr>
        <w:spacing w:after="100" w:before="0"/>
      </w:pPr>
      <w:r>
        <w:rPr>
          <w:rFonts w:ascii="Arial" w:hAnsi="Arial"/>
        </w:rPr>
        <w:t>Missing evidence is labeled with owner and deadline; no customer or production claim is fabricated.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600"/>
        <w:gridCol w:w="2160"/>
      </w:tblGrid>
      <w:tr>
        <w:trPr>
          <w:tblHeader/>
        </w:trPr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Tài sản</w:t>
            </w:r>
          </w:p>
        </w:tc>
        <w:tc>
          <w:tcPr>
            <w:tcW w:type="dxa" w:w="1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Đã có?</w:t>
            </w:r>
          </w:p>
        </w:tc>
        <w:tc>
          <w:tcPr>
            <w:tcW w:type="dxa" w:w="36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Nội dung 1 câu — hoặc việc cần làm</w:t>
            </w:r>
          </w:p>
        </w:tc>
        <w:tc>
          <w:tcPr>
            <w:tcW w:type="dxa" w:w="21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Ai · Deadline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Eval Results (Day21–22)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PARTIAL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5-case local controlled eval: 80% commercial package completion, 20% autonomous containment, 80% human review, 20% grounding failure; not customer evidence.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Nguyen Quang Huy · 2026-09-30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Risk Checklist (Day24)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PARTIAL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Grounding/fallback/redaction evidenced; auth/RBAC, retention, TLS, vendor terms and live deployment remain open.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Nguyen Quang Huy · before pilot / 2026-10-15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Pilot Report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PLANNED / NOT EXECUTED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2 design partners, 6,000 labeled jobs and paired manual baseline; no customer result claimed.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Nguyen Quang Huy · 2026-12-04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4F46E5"/>
          <w:sz w:val="18"/>
          <w:szCs w:val="18"/>
        </w:rPr>
        <w:t xml:space="preserve">BÀI TEST NGƯỜI LẠ</w:t>
      </w:r>
    </w:p>
    <w:p>
      <w:pPr>
        <w:spacing w:after="100" w:before="0"/>
      </w:pPr>
      <w:r>
        <w:rPr>
          <w:rFonts w:ascii="Arial" w:hAnsi="Arial"/>
        </w:rPr>
        <w:t>Prepared for a two-minute outsider read; the buyer test is not yet run, so the question count remains explicitly untested.</w:t>
      </w:r>
    </w:p>
    <w:p>
      <w:pPr>
        <w:spacing w:after="40" w:before="0"/>
      </w:pPr>
      <w:r>
        <w:rPr>
          <w:rFonts w:ascii="Arial" w:hAnsi="Arial"/>
        </w:rPr>
        <w:t>☐ Buyer, product, and unit can be stated in one sentence — prepared answer is above; outsider test not yet run.</w:t>
      </w:r>
    </w:p>
    <w:p>
      <w:pPr>
        <w:spacing w:after="40" w:before="0"/>
      </w:pPr>
      <w:r>
        <w:rPr>
          <w:rFonts w:ascii="Arial" w:hAnsi="Arial"/>
        </w:rPr>
        <w:t>☐ Price, margin, and break point can be found in the official table — prepared answer is above; outsider test not yet run.</w:t>
      </w:r>
    </w:p>
    <w:p>
      <w:pPr>
        <w:spacing w:after="40" w:before="0"/>
      </w:pPr>
      <w:r>
        <w:rPr>
          <w:rFonts w:ascii="Arial" w:hAnsi="Arial"/>
        </w:rPr>
        <w:t>☐ Channel and next proof step are explicit — prepared answer is above; outsider test not yet run.</w:t>
      </w:r>
    </w:p>
    <w:p>
      <w:pPr>
        <w:spacing w:after="200" w:before="0"/>
      </w:pPr>
      <w:r>
        <w:rPr>
          <w:rFonts w:ascii="Arial" w:hAnsi="Arial"/>
        </w:rPr>
        <w:t>Số câu người đọc phải hỏi lại: NOT YET TESTED (target ≤3)</w:t>
      </w:r>
    </w:p>
    <w:p>
      <w:pPr>
        <w:spacing w:after="80" w:before="0"/>
        <w:jc w:val="center"/>
      </w:pPr>
      <w:r>
        <w:rPr>
          <w:rFonts w:ascii="Arial" w:hAnsi="Arial"/>
        </w:rPr>
        <w:t>AI-IN-ACTION · TRACK 1 · official template migration · evidence-led planning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2026-08-26T14:49:21.406Z</dcterms:created>
  <dcterms:modified xsi:type="dcterms:W3CDTF">2026-08-26T14:49:21.406Z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