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mk07nkh0fe8j" w:id="0"/>
      <w:bookmarkEnd w:id="0"/>
      <w:r w:rsidDel="00000000" w:rsidR="00000000" w:rsidRPr="00000000">
        <w:rPr>
          <w:rtl w:val="0"/>
        </w:rPr>
        <w:t xml:space="preserve">Lab 3 Report: Advanced Python &amp; NumPy Weather Analysis for Kigali (60-Day Dataset)Objective &amp; Summary of Covered Concepts</w:t>
      </w:r>
    </w:p>
    <w:p w:rsidR="00000000" w:rsidDel="00000000" w:rsidP="00000000" w:rsidRDefault="00000000" w:rsidRPr="00000000" w14:paraId="00000002">
      <w:pPr>
        <w:rPr/>
      </w:pPr>
      <w:r w:rsidDel="00000000" w:rsidR="00000000" w:rsidRPr="00000000">
        <w:rPr>
          <w:rtl w:val="0"/>
        </w:rPr>
        <w:t xml:space="preserve">This laboratory session evaluated advanced Python constructs and NumPy array mechanisms for standard meteorological data pipelines, focusing on vectorization, memory management, and conditional logic abstractions.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numPr>
          <w:ilvl w:val="0"/>
          <w:numId w:val="1"/>
        </w:numPr>
        <w:ind w:left="720" w:hanging="360"/>
      </w:pPr>
      <w:r w:rsidDel="00000000" w:rsidR="00000000" w:rsidRPr="00000000">
        <w:rPr>
          <w:b w:val="1"/>
          <w:bCs w:val="1"/>
          <w:rtl w:val="0"/>
        </w:rPr>
        <w:t xml:space="preserve">Functional Python Constructs:</w:t>
      </w:r>
      <w:r w:rsidDel="00000000" w:rsidR="00000000" w:rsidRPr="00000000">
        <w:rPr>
          <w:rtl w:val="0"/>
        </w:rPr>
        <w:t xml:space="preserve"> Executed complex transformations and filtering pipeline stages via single-line list comprehensions, bypassing explicit Python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loops. Implemented functional sorting and ranking routines utilizing </w:t>
      </w:r>
      <w:r w:rsidDel="00000000" w:rsidR="00000000" w:rsidRPr="00000000">
        <w:rPr>
          <w:rFonts w:ascii="Roboto Mono" w:cs="Roboto Mono" w:eastAsia="Roboto Mono" w:hAnsi="Roboto Mono"/>
          <w:color w:val="188038"/>
          <w:rtl w:val="0"/>
        </w:rPr>
        <w:t xml:space="preserve">lambda</w:t>
      </w:r>
      <w:r w:rsidDel="00000000" w:rsidR="00000000" w:rsidRPr="00000000">
        <w:rPr>
          <w:rtl w:val="0"/>
        </w:rPr>
        <w:t xml:space="preserve"> key evaluators to process multidimensional data structures (e.g., extracting extreme values and sorting tuples by arbitrary metrics).</w:t>
      </w:r>
    </w:p>
    <w:p w:rsidR="00000000" w:rsidDel="00000000" w:rsidP="00000000" w:rsidRDefault="00000000" w:rsidRPr="00000000" w14:paraId="00000005">
      <w:pPr>
        <w:numPr>
          <w:ilvl w:val="0"/>
          <w:numId w:val="1"/>
        </w:numPr>
        <w:ind w:left="720" w:hanging="360"/>
      </w:pPr>
      <w:r w:rsidDel="00000000" w:rsidR="00000000" w:rsidRPr="00000000">
        <w:rPr>
          <w:b w:val="1"/>
          <w:bCs w:val="1"/>
          <w:rtl w:val="0"/>
        </w:rPr>
        <w:t xml:space="preserve">NumPy Performance &amp; Vectorization:</w:t>
      </w:r>
      <w:r w:rsidDel="00000000" w:rsidR="00000000" w:rsidRPr="00000000">
        <w:rPr>
          <w:rtl w:val="0"/>
        </w:rPr>
        <w:t xml:space="preserve"> Analyzed the execution efficiency of C-backed vectorized array operations against standard Python iterative loops. Evaluated contiguous memory access models and computed essential descriptive statistics using built-in array methods (</w:t>
      </w:r>
      <w:r w:rsidDel="00000000" w:rsidR="00000000" w:rsidRPr="00000000">
        <w:rPr>
          <w:rFonts w:ascii="Roboto Mono" w:cs="Roboto Mono" w:eastAsia="Roboto Mono" w:hAnsi="Roboto Mono"/>
          <w:color w:val="188038"/>
          <w:rtl w:val="0"/>
        </w:rPr>
        <w:t xml:space="preserve">.mean()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.std()</w:t>
      </w:r>
      <w:r w:rsidDel="00000000" w:rsidR="00000000" w:rsidRPr="00000000">
        <w:rPr>
          <w:rtl w:val="0"/>
        </w:rPr>
        <w:t xml:space="preserve">).</w:t>
      </w:r>
    </w:p>
    <w:p w:rsidR="00000000" w:rsidDel="00000000" w:rsidP="00000000" w:rsidRDefault="00000000" w:rsidRPr="00000000" w14:paraId="00000006">
      <w:pPr>
        <w:numPr>
          <w:ilvl w:val="0"/>
          <w:numId w:val="1"/>
        </w:numPr>
        <w:ind w:left="720" w:hanging="360"/>
      </w:pPr>
      <w:r w:rsidDel="00000000" w:rsidR="00000000" w:rsidRPr="00000000">
        <w:rPr>
          <w:b w:val="1"/>
          <w:bCs w:val="1"/>
          <w:rtl w:val="0"/>
        </w:rPr>
        <w:t xml:space="preserve">Boolean Masking &amp; Subsetting:</w:t>
      </w:r>
      <w:r w:rsidDel="00000000" w:rsidR="00000000" w:rsidRPr="00000000">
        <w:rPr>
          <w:rtl w:val="0"/>
        </w:rPr>
        <w:t xml:space="preserve"> Constructed bitwise element-wise logic (</w:t>
      </w:r>
      <w:r w:rsidDel="00000000" w:rsidR="00000000" w:rsidRPr="00000000">
        <w:rPr>
          <w:rFonts w:ascii="Roboto Mono" w:cs="Roboto Mono" w:eastAsia="Roboto Mono" w:hAnsi="Roboto Mono"/>
          <w:color w:val="188038"/>
          <w:rtl w:val="0"/>
        </w:rPr>
        <w:t xml:space="preserve">&amp;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to build binary boolean masks. Applied these masks to execute cross-array queries across concurrent rainfall, temperature, and relative humidity arrays without explicit loop-based control structures.</w:t>
      </w:r>
    </w:p>
    <w:p w:rsidR="00000000" w:rsidDel="00000000" w:rsidP="00000000" w:rsidRDefault="00000000" w:rsidRPr="00000000" w14:paraId="00000007">
      <w:pPr>
        <w:numPr>
          <w:ilvl w:val="0"/>
          <w:numId w:val="1"/>
        </w:numPr>
        <w:ind w:left="720" w:hanging="360"/>
      </w:pPr>
      <w:r w:rsidDel="00000000" w:rsidR="00000000" w:rsidRPr="00000000">
        <w:rPr>
          <w:b w:val="1"/>
          <w:bCs w:val="1"/>
          <w:rtl w:val="0"/>
        </w:rPr>
        <w:t xml:space="preserve">Vectorized Anomaly Detection &amp; Trend Analysis:</w:t>
      </w:r>
      <w:r w:rsidDel="00000000" w:rsidR="00000000" w:rsidRPr="00000000">
        <w:rPr>
          <w:rtl w:val="0"/>
        </w:rPr>
        <w:t xml:space="preserve"> Derived daily temperature anomalies relative to global dataset means using broadcasting semantics. Partitioned time-series records into two distinct 30-day windows (Days 1–30 vs. Days 31–60) to quantify shift trends across seasonal boundaries.</w:t>
      </w:r>
    </w:p>
    <w:p w:rsidR="00000000" w:rsidDel="00000000" w:rsidP="00000000" w:rsidRDefault="00000000" w:rsidRPr="00000000" w14:paraId="00000008">
      <w:pPr>
        <w:pStyle w:val="Heading1"/>
        <w:rPr/>
      </w:pPr>
      <w:bookmarkStart w:colFirst="0" w:colLast="0" w:name="_esd6w3pcll4" w:id="1"/>
      <w:bookmarkEnd w:id="1"/>
      <w:r w:rsidDel="00000000" w:rsidR="00000000" w:rsidRPr="00000000">
        <w:rPr>
          <w:rtl w:val="0"/>
        </w:rPr>
        <w:t xml:space="preserve">Key Weather Insight for Kigali (September – October 2026)</w:t>
      </w:r>
    </w:p>
    <w:p w:rsidR="00000000" w:rsidDel="00000000" w:rsidP="00000000" w:rsidRDefault="00000000" w:rsidRPr="00000000" w14:paraId="00000009">
      <w:pPr>
        <w:rPr/>
      </w:pPr>
      <w:r w:rsidDel="00000000" w:rsidR="00000000" w:rsidRPr="00000000">
        <w:rPr>
          <w:rtl w:val="0"/>
        </w:rPr>
        <w:t xml:space="preserve">Cross-array evaluation of the 60-day dataset reveals a distinct inverse relationship between daily precipitation events and ambient thermal variations across Kigali. On days recording active rainfall (precipitation &gt; 0 mm), dense cloud coverage reduces direct solar irradiance, while active evaporative cooling significantly suppresses mean ambient temperatures. Conversely, dry days continuously yield elevated daily maximum temperatures alongside reduced relative humidity levels.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7500.0" w:type="dxa"/>
        <w:jc w:val="left"/>
        <w:tblBorders>
          <w:top w:color="000000" w:space="0" w:sz="0" w:val="nil"/>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p w:rsidR="00000000" w:rsidDel="00000000" w:rsidP="00000000" w:rsidRDefault="00000000" w:rsidRPr="00000000" w14:paraId="0000000B">
            <w:pPr>
              <w:rPr/>
            </w:pPr>
            <w:r w:rsidDel="00000000" w:rsidR="00000000" w:rsidRPr="00000000">
              <w:rPr>
                <w:rtl w:val="0"/>
              </w:rPr>
              <w:t xml:space="preserve">Parameter Period</w:t>
            </w:r>
          </w:p>
        </w:tc>
        <w:tc>
          <w:tcPr/>
          <w:p w:rsidR="00000000" w:rsidDel="00000000" w:rsidP="00000000" w:rsidRDefault="00000000" w:rsidRPr="00000000" w14:paraId="0000000C">
            <w:pPr>
              <w:rPr/>
            </w:pPr>
            <w:r w:rsidDel="00000000" w:rsidR="00000000" w:rsidRPr="00000000">
              <w:rPr>
                <w:rtl w:val="0"/>
              </w:rPr>
              <w:t xml:space="preserve">Mean Temp (°C)</w:t>
            </w:r>
          </w:p>
        </w:tc>
        <w:tc>
          <w:tcPr/>
          <w:p w:rsidR="00000000" w:rsidDel="00000000" w:rsidP="00000000" w:rsidRDefault="00000000" w:rsidRPr="00000000" w14:paraId="0000000D">
            <w:pPr>
              <w:rPr/>
            </w:pPr>
            <w:r w:rsidDel="00000000" w:rsidR="00000000" w:rsidRPr="00000000">
              <w:rPr>
                <w:rtl w:val="0"/>
              </w:rPr>
              <w:t xml:space="preserve">Std Dev (°C)</w:t>
            </w:r>
          </w:p>
        </w:tc>
        <w:tc>
          <w:tcPr/>
          <w:p w:rsidR="00000000" w:rsidDel="00000000" w:rsidP="00000000" w:rsidRDefault="00000000" w:rsidRPr="00000000" w14:paraId="0000000E">
            <w:pPr>
              <w:rPr/>
            </w:pPr>
            <w:r w:rsidDel="00000000" w:rsidR="00000000" w:rsidRPr="00000000">
              <w:rPr>
                <w:rtl w:val="0"/>
              </w:rPr>
              <w:t xml:space="preserve">Days Precip &gt; 0 mm</w:t>
            </w:r>
          </w:p>
        </w:tc>
        <w:tc>
          <w:tcPr/>
          <w:p w:rsidR="00000000" w:rsidDel="00000000" w:rsidP="00000000" w:rsidRDefault="00000000" w:rsidRPr="00000000" w14:paraId="0000000F">
            <w:pPr>
              <w:rPr/>
            </w:pPr>
            <w:r w:rsidDel="00000000" w:rsidR="00000000" w:rsidRPr="00000000">
              <w:rPr>
                <w:rtl w:val="0"/>
              </w:rPr>
              <w:t xml:space="preserve">Mean Humidity (%)</w:t>
            </w:r>
          </w:p>
        </w:tc>
      </w:tr>
      <w:tr>
        <w:trPr>
          <w:cantSplit w:val="0"/>
          <w:tblHeader w:val="0"/>
        </w:trPr>
        <w:tc>
          <w:tcPr/>
          <w:p w:rsidR="00000000" w:rsidDel="00000000" w:rsidP="00000000" w:rsidRDefault="00000000" w:rsidRPr="00000000" w14:paraId="00000010">
            <w:pPr>
              <w:rPr/>
            </w:pPr>
            <w:r w:rsidDel="00000000" w:rsidR="00000000" w:rsidRPr="00000000">
              <w:rPr>
                <w:b w:val="1"/>
                <w:bCs w:val="1"/>
                <w:rtl w:val="0"/>
              </w:rPr>
              <w:t xml:space="preserve">First 30 Days (Sept 2026)</w:t>
            </w:r>
            <w:r w:rsidDel="00000000" w:rsidR="00000000" w:rsidRPr="00000000">
              <w:rPr>
                <w:rtl w:val="0"/>
              </w:rPr>
            </w:r>
          </w:p>
        </w:tc>
        <w:tc>
          <w:tcPr/>
          <w:p w:rsidR="00000000" w:rsidDel="00000000" w:rsidP="00000000" w:rsidRDefault="00000000" w:rsidRPr="00000000" w14:paraId="00000011">
            <w:pPr>
              <w:rPr/>
            </w:pPr>
            <w:r w:rsidDel="00000000" w:rsidR="00000000" w:rsidRPr="00000000">
              <w:rPr>
                <w:rtl w:val="0"/>
              </w:rPr>
              <w:t xml:space="preserve">26.4</w:t>
            </w:r>
          </w:p>
        </w:tc>
        <w:tc>
          <w:tcPr/>
          <w:p w:rsidR="00000000" w:rsidDel="00000000" w:rsidP="00000000" w:rsidRDefault="00000000" w:rsidRPr="00000000" w14:paraId="00000012">
            <w:pPr>
              <w:rPr/>
            </w:pPr>
            <w:r w:rsidDel="00000000" w:rsidR="00000000" w:rsidRPr="00000000">
              <w:rPr>
                <w:rtl w:val="0"/>
              </w:rPr>
              <w:t xml:space="preserve">1.8</w:t>
            </w:r>
          </w:p>
        </w:tc>
        <w:tc>
          <w:tcPr/>
          <w:p w:rsidR="00000000" w:rsidDel="00000000" w:rsidP="00000000" w:rsidRDefault="00000000" w:rsidRPr="00000000" w14:paraId="00000013">
            <w:pPr>
              <w:rPr/>
            </w:pPr>
            <w:r w:rsidDel="00000000" w:rsidR="00000000" w:rsidRPr="00000000">
              <w:rPr>
                <w:rtl w:val="0"/>
              </w:rPr>
              <w:t xml:space="preserve">8</w:t>
            </w:r>
          </w:p>
        </w:tc>
        <w:tc>
          <w:tcPr/>
          <w:p w:rsidR="00000000" w:rsidDel="00000000" w:rsidP="00000000" w:rsidRDefault="00000000" w:rsidRPr="00000000" w14:paraId="00000014">
            <w:pPr>
              <w:rPr/>
            </w:pPr>
            <w:r w:rsidDel="00000000" w:rsidR="00000000" w:rsidRPr="00000000">
              <w:rPr>
                <w:rtl w:val="0"/>
              </w:rPr>
              <w:t xml:space="preserve">58.2</w:t>
            </w:r>
          </w:p>
        </w:tc>
      </w:tr>
      <w:tr>
        <w:trPr>
          <w:cantSplit w:val="0"/>
          <w:tblHeader w:val="0"/>
        </w:trPr>
        <w:tc>
          <w:tcPr/>
          <w:p w:rsidR="00000000" w:rsidDel="00000000" w:rsidP="00000000" w:rsidRDefault="00000000" w:rsidRPr="00000000" w14:paraId="00000015">
            <w:pPr>
              <w:rPr/>
            </w:pPr>
            <w:r w:rsidDel="00000000" w:rsidR="00000000" w:rsidRPr="00000000">
              <w:rPr>
                <w:b w:val="1"/>
                <w:bCs w:val="1"/>
                <w:rtl w:val="0"/>
              </w:rPr>
              <w:t xml:space="preserve">Last 30 Days (Oct 2026)</w:t>
            </w:r>
            <w:r w:rsidDel="00000000" w:rsidR="00000000" w:rsidRPr="00000000">
              <w:rPr>
                <w:rtl w:val="0"/>
              </w:rPr>
            </w:r>
          </w:p>
        </w:tc>
        <w:tc>
          <w:tcPr/>
          <w:p w:rsidR="00000000" w:rsidDel="00000000" w:rsidP="00000000" w:rsidRDefault="00000000" w:rsidRPr="00000000" w14:paraId="00000016">
            <w:pPr>
              <w:rPr/>
            </w:pPr>
            <w:r w:rsidDel="00000000" w:rsidR="00000000" w:rsidRPr="00000000">
              <w:rPr>
                <w:rtl w:val="0"/>
              </w:rPr>
              <w:t xml:space="preserve">23.8</w:t>
            </w:r>
          </w:p>
        </w:tc>
        <w:tc>
          <w:tcPr/>
          <w:p w:rsidR="00000000" w:rsidDel="00000000" w:rsidP="00000000" w:rsidRDefault="00000000" w:rsidRPr="00000000" w14:paraId="00000017">
            <w:pPr>
              <w:rPr/>
            </w:pPr>
            <w:r w:rsidDel="00000000" w:rsidR="00000000" w:rsidRPr="00000000">
              <w:rPr>
                <w:rtl w:val="0"/>
              </w:rPr>
              <w:t xml:space="preserve">2.5</w:t>
            </w:r>
          </w:p>
        </w:tc>
        <w:tc>
          <w:tcPr/>
          <w:p w:rsidR="00000000" w:rsidDel="00000000" w:rsidP="00000000" w:rsidRDefault="00000000" w:rsidRPr="00000000" w14:paraId="00000018">
            <w:pPr>
              <w:rPr/>
            </w:pPr>
            <w:r w:rsidDel="00000000" w:rsidR="00000000" w:rsidRPr="00000000">
              <w:rPr>
                <w:rtl w:val="0"/>
              </w:rPr>
              <w:t xml:space="preserve">19</w:t>
            </w:r>
          </w:p>
        </w:tc>
        <w:tc>
          <w:tcPr/>
          <w:p w:rsidR="00000000" w:rsidDel="00000000" w:rsidP="00000000" w:rsidRDefault="00000000" w:rsidRPr="00000000" w14:paraId="00000019">
            <w:pPr>
              <w:rPr/>
            </w:pPr>
            <w:r w:rsidDel="00000000" w:rsidR="00000000" w:rsidRPr="00000000">
              <w:rPr>
                <w:rtl w:val="0"/>
              </w:rPr>
              <w:t xml:space="preserve">74.5</w:t>
            </w:r>
          </w:p>
        </w:tc>
      </w:tr>
      <w:tr>
        <w:trPr>
          <w:cantSplit w:val="0"/>
          <w:tblHeader w:val="0"/>
        </w:trPr>
        <w:tc>
          <w:tcPr/>
          <w:p w:rsidR="00000000" w:rsidDel="00000000" w:rsidP="00000000" w:rsidRDefault="00000000" w:rsidRPr="00000000" w14:paraId="0000001A">
            <w:pPr>
              <w:rPr/>
            </w:pPr>
            <w:r w:rsidDel="00000000" w:rsidR="00000000" w:rsidRPr="00000000">
              <w:rPr>
                <w:b w:val="1"/>
                <w:bCs w:val="1"/>
                <w:rtl w:val="0"/>
              </w:rPr>
              <w:t xml:space="preserve">Full 60-Day Dataset</w:t>
            </w:r>
            <w:r w:rsidDel="00000000" w:rsidR="00000000" w:rsidRPr="00000000">
              <w:rPr>
                <w:rtl w:val="0"/>
              </w:rPr>
            </w:r>
          </w:p>
        </w:tc>
        <w:tc>
          <w:tcPr/>
          <w:p w:rsidR="00000000" w:rsidDel="00000000" w:rsidP="00000000" w:rsidRDefault="00000000" w:rsidRPr="00000000" w14:paraId="0000001B">
            <w:pPr>
              <w:rPr/>
            </w:pPr>
            <w:r w:rsidDel="00000000" w:rsidR="00000000" w:rsidRPr="00000000">
              <w:rPr>
                <w:rtl w:val="0"/>
              </w:rPr>
              <w:t xml:space="preserve">25.1</w:t>
            </w:r>
          </w:p>
        </w:tc>
        <w:tc>
          <w:tcPr/>
          <w:p w:rsidR="00000000" w:rsidDel="00000000" w:rsidP="00000000" w:rsidRDefault="00000000" w:rsidRPr="00000000" w14:paraId="0000001C">
            <w:pPr>
              <w:rPr/>
            </w:pPr>
            <w:r w:rsidDel="00000000" w:rsidR="00000000" w:rsidRPr="00000000">
              <w:rPr>
                <w:rtl w:val="0"/>
              </w:rPr>
              <w:t xml:space="preserve">2.3</w:t>
            </w:r>
          </w:p>
        </w:tc>
        <w:tc>
          <w:tcPr/>
          <w:p w:rsidR="00000000" w:rsidDel="00000000" w:rsidP="00000000" w:rsidRDefault="00000000" w:rsidRPr="00000000" w14:paraId="0000001D">
            <w:pPr>
              <w:rPr/>
            </w:pPr>
            <w:r w:rsidDel="00000000" w:rsidR="00000000" w:rsidRPr="00000000">
              <w:rPr>
                <w:rtl w:val="0"/>
              </w:rPr>
              <w:t xml:space="preserve">27</w:t>
            </w:r>
          </w:p>
        </w:tc>
        <w:tc>
          <w:tcPr/>
          <w:p w:rsidR="00000000" w:rsidDel="00000000" w:rsidP="00000000" w:rsidRDefault="00000000" w:rsidRPr="00000000" w14:paraId="0000001E">
            <w:pPr>
              <w:rPr/>
            </w:pPr>
            <w:r w:rsidDel="00000000" w:rsidR="00000000" w:rsidRPr="00000000">
              <w:rPr>
                <w:rtl w:val="0"/>
              </w:rPr>
              <w:t xml:space="preserve">66.3</w:t>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Analyzing the transition from September into October highlights the localized microclimatic shift into the primary rainy season. The initial 30 days present higher average temperatures and lower precipitation frequency. The subsequent 30-day window displays increased thermal variance ($\sigma = 2.5^\circ\text{C}$), driven by rapid daily cooling following localized convective thunderstorm events.</w:t>
      </w:r>
    </w:p>
    <w:p w:rsidR="00000000" w:rsidDel="00000000" w:rsidP="00000000" w:rsidRDefault="00000000" w:rsidRPr="00000000" w14:paraId="00000021">
      <w:pPr>
        <w:pStyle w:val="Heading1"/>
        <w:rPr/>
      </w:pPr>
      <w:bookmarkStart w:colFirst="0" w:colLast="0" w:name="_mwaxaqxemohj" w:id="2"/>
      <w:bookmarkEnd w:id="2"/>
      <w:r w:rsidDel="00000000" w:rsidR="00000000" w:rsidRPr="00000000">
        <w:rPr>
          <w:rtl w:val="0"/>
        </w:rPr>
        <w:t xml:space="preserve">Reflection on Computational Abstractions</w:t>
      </w:r>
    </w:p>
    <w:p w:rsidR="00000000" w:rsidDel="00000000" w:rsidP="00000000" w:rsidRDefault="00000000" w:rsidRPr="00000000" w14:paraId="00000022">
      <w:pPr>
        <w:rPr/>
      </w:pPr>
      <w:r w:rsidDel="00000000" w:rsidR="00000000" w:rsidRPr="00000000">
        <w:rPr>
          <w:rtl w:val="0"/>
        </w:rPr>
        <w:t xml:space="preserve">Traditional loop-based data processing relies on low-level imperative instructions, requiring explicit index allocation, iterative pointer incrementation, and step-by-step element evaluation in native Python space. This introduces substantial overhead due to dynamic typing, object boxing/unboxing, and interpreter GIL lock contention during large-scale data execution.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High-level vectorized operations via NumPy abstract away explicit iteration by utilizing contiguous C-level memory arrays and SIMD (Single Instruction, Multiple Data) hardware capabilities. Operations are offloaded directly to pre-compiled binaries, removing interpreter overhead and optimizing cache utilization. However, mastering fundamental control flow principles remains critical in software engineering. Core iteration structures provide the foundation for algorithmic design, custom business logic, and non-linear data traversal where memory contiguity and array broadcast rules cannot be natively applied.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Inter" w:cs="Inter" w:eastAsia="Inter" w:hAnsi="Inter"/>
      <w:b w:val="1"/>
      <w:bCs w:val="1"/>
      <w:i w:val="0"/>
      <w:iCs w:val="0"/>
      <w:color w:val="1e293b"/>
      <w:sz w:val="24"/>
      <w:szCs w:val="24"/>
    </w:rPr>
  </w:style>
  <w:style w:type="paragraph" w:styleId="Heading2">
    <w:name w:val="heading 2"/>
    <w:basedOn w:val="Normal"/>
    <w:next w:val="Normal"/>
    <w:pPr>
      <w:keepNext w:val="1"/>
      <w:keepLines w:val="1"/>
      <w:pageBreakBefore w:val="0"/>
      <w:spacing w:after="80" w:before="360" w:line="276" w:lineRule="auto"/>
    </w:pPr>
    <w:rPr>
      <w:rFonts w:ascii="Inter" w:cs="Inter" w:eastAsia="Inter" w:hAnsi="Inter"/>
      <w:b w:val="1"/>
      <w:bCs w:val="1"/>
      <w:i w:val="0"/>
      <w:iCs w:val="0"/>
      <w:color w:val="334155"/>
      <w:sz w:val="22"/>
      <w:szCs w:val="2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0f172a"/>
      <w:sz w:val="36"/>
      <w:szCs w:val="36"/>
    </w:rPr>
  </w:style>
  <w:style w:type="paragraph" w:styleId="Subtitle">
    <w:name w:val="Subtitle"/>
    <w:basedOn w:val="Normal"/>
    <w:next w:val="Normal"/>
    <w:pPr>
      <w:keepNext w:val="1"/>
      <w:keepLines w:val="1"/>
      <w:pageBreakBefore w:val="0"/>
      <w:spacing w:after="80" w:before="360" w:line="288" w:lineRule="auto"/>
    </w:pPr>
    <w:rPr>
      <w:rFonts w:ascii="Inter" w:cs="Inter" w:eastAsia="Inter" w:hAnsi="Inter"/>
      <w:b w:val="0"/>
      <w:bCs w:val="0"/>
      <w:i w:val="0"/>
      <w:iCs w:val="0"/>
      <w:color w:val="475569"/>
      <w:sz w:val="22"/>
      <w:szCs w:val="22"/>
    </w:rPr>
  </w:style>
  <w:style w:type="table" w:styleId="Table1">
    <w:basedOn w:val="TableNormal"/>
    <w:tblPr>
      <w:tblStyleRowBandSize w:val="1"/>
      <w:tblStyleColBandSize w:val="1"/>
      <w:tblCellMar>
        <w:top w:w="80.0" w:type="dxa"/>
        <w:left w:w="120.0" w:type="dxa"/>
        <w:bottom w:w="80.0" w:type="dxa"/>
        <w:right w:w="120.0" w:type="dxa"/>
      </w:tblCellMar>
    </w:tblPr>
    <w:tcPr>
      <w:shd w:fill="ffffff" w:val="clear"/>
      <w:vAlign w:val="center"/>
    </w:tcPr>
    <w:tblStylePr w:type="firstRow">
      <w:rPr>
        <w:rFonts w:ascii="Inter" w:cs="Inter" w:eastAsia="Inter" w:hAnsi="Inter"/>
        <w:b w:val="1"/>
        <w:bCs w:val="1"/>
        <w:i w:val="0"/>
        <w:iCs w:val="0"/>
        <w:color w:val="1e293b"/>
        <w:sz w:val="18"/>
        <w:szCs w:val="18"/>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