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Forest Young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2940 East 3215 South, Salt Lake City, UT 84109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anny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highlight w:val="white"/>
            <w:u w:val="none"/>
            <w:vertAlign w:val="baseline"/>
            <w:rtl w:val="0"/>
          </w:rPr>
          <w:t xml:space="preserve">niu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1970@gmail.com | 1-385-222-9157 &amp; 1-385-630-2489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Skyline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High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GPA: 4.0 (unweighted)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ACT: 36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AP Courses (20):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</w:tabs>
        <w:spacing w:after="0" w:before="0" w:line="240" w:lineRule="auto"/>
        <w:ind w:left="840" w:right="0" w:hanging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AP Calculus AB &amp; BC (5), AP Statistics (5), AP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Computer Science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(5),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</w:tabs>
        <w:spacing w:after="0" w:before="0" w:line="240" w:lineRule="auto"/>
        <w:ind w:left="840" w:right="0" w:hanging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AP Physics 1 (5), AP Physics 2 (5), AP Physics C: Mechanics (5), AP Physics C: Electricity and Magnetism (5),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AP Chemistry (5), AP Biology (5),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</w:tabs>
        <w:spacing w:after="0" w:before="0" w:line="240" w:lineRule="auto"/>
        <w:ind w:left="840" w:right="0" w:hanging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AP English Literature and Composition (5), AP English Language and Composition (4),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</w:tabs>
        <w:spacing w:after="0" w:before="0" w:line="240" w:lineRule="auto"/>
        <w:ind w:left="840" w:right="0" w:hanging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AP Human Geography (5), AP European History (5), AP United States History (5), AP Macroeconomics (5), AP Microeconomics (5), AP Psychology (5),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</w:tabs>
        <w:spacing w:after="0" w:before="0" w:line="240" w:lineRule="auto"/>
        <w:ind w:left="840" w:right="0" w:hanging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AP Chinese Language and Culture (5), AP Music Theory (5)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High School University Program, University of Utah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GPA: 4.0 (unweighted)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Courses (7):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880" w:right="0" w:hanging="44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Multivariable Calculus 2210 (A), Linear Algebra 2270 (A), Intro To Probability 5010 (In Progress),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General Chemistry Lab I 1215 (A), General Chemistry Lab II 1225 (A),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Principles of Macroeconomics (A), Intermediate Writing 2010 (In Progress)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  <w:rtl w:val="0"/>
        </w:rPr>
        <w:t xml:space="preserve">RESEARCH &amp; PUBLICATIONS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Co-First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 |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“A Multi-Criteria Evaluation of Sustainable Olympic Events: Integrating AHP, EWM, and Natural Breaks”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Published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Transactions on Computer Science and Intelligent Systems Research, Vol. 11 (2025), pp. 534–542, following presentation at the TPCEE 2025 International Conference (Toronto). DOI: 10.62051/pdfee298.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Designed the first hybrid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evidence-based decision-support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integrating AHP, EWM, and Natural Breaks to evaluate the sustainability of Olympic events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Constructed a dataset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across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132 years of Olympic history, analyzing 47 events, 21 evaluation factors, and 987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samples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Co-First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 |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“Vision-Language Large Models for Nanomanufacturing and Electron Microscopy Characterization: From SEM/TEM Images to Defect Recognition, Structural Analysis, and Process Recommendations”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Published in Journal of Nanoelectronics and Optoelectronics (JNO), Vol. 21 no. 3 (2026), pp. 238–249. DOI: 10.1166/jno.2026.3879, indexed in Web of Science Core Collection (SCI-EXPANDED).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Developed NanoVLM, a vision-language reasonin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large language model integrating SEM/TEM images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with spectral 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for cross-modal automated nanomaterial characterization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to recognize defects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analyze structure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, and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recommend processes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Validated performance on 12,847 annotated microscopy images, achieving 90.2% defect classification accuracy and demonstrating improved scientific image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Co-First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 |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Computerpreter: AI-Powered ASL Translation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Secured official U.S. copyright registration for the system architecture and algorithm pipeline (U.S. Copyright Registration No. TXu 2-561-060; registered July 24, 2026) under an ARTS Act fee waiver.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eveloped Computerpreter, a multimodal AI-powered ASL translation system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 which both the hearing and Deaf parties use their natural form of communication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Built a pipeline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Random Forest classifiers, LSTM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, and sliding-window decoding for fingerspelling in real-tim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Optimized real-time ASL translation using Temporal Convolutional Networks and Transformer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, improving translation speed and consistency for continuous ASL conversations.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usability with Deaf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signers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and accessibility professionals to refine translation accuracy and responsiveness through user-centered evaluation.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Co-First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 |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“From Risk to Action: Time-Series Prediction of Respiratory Support Requirements in Sepsis”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manuscript is currently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under review at BMC Medical Informatics and Decision 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esigned a multicenter AI prediction model for next-day respiratory support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levels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 sepsis using over 75,000 ICU records from the MIMIC-IV and eICU databases, enabling early risk stratification and clinical intervention.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Implemented interpretable time-series architectures,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attention-based LSTM models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 and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chieved 78.0% external validation accuracy and a severity-weighted AUC of 0.923, demonstrating robust generalization across populations.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Co-First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 |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“Trajectory-based phenotyping of sepsis-associated liver injury from multicenter intensive care electronic health records: derivation and external validation”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The manuscript currently under review at the International Journal of Medical Informatics.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Co-developed a trajectory-based AI phenotyping pipeline for sepsis-associated liver injury using longitudinal laboratory and vital-sign data from 1,847 ICU patients across the MIMIC-IV and eICU databases.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Identified and externally validated four reproducible disease subphenotypes, revealing distinct clinical trajectories to support precision medicine for sepsis-associated liver injury.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Demonstrated that trajectory-based phenotyping significantly improved 7-day mortality prediction (AUC = 0.791) compared with conventional admission-based risk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Co-First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 |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"From Trajectories to Transitions: 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Time-Series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Prediction of Respiratory Support in Septic ICU Patients”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manuscript is currently under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review at the International Journal of Medical Informatics.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Co-developed a source-aware Mamba-CRF temporal model for ICU respiratory support prediction, leveraging 97,000+ ICU stays from MIMIC-IV, eICU, and SICDB across multiple health systems.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Developed a four-state transition forecasting framework predicting respiratory support states 6 hours ahead using 24-hour longitudinal clinical trajectories, achieving macro AUROC = 0.939 and IMV onset AUPRC = 0.932.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Evaluated model transportability through external validation, transition analysis, and calibration assessment across heterogeneous ICU populations, providing approximately 9 hours of early warning before mechanical ventilation onset.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Co-First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 |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"Cytotoxic-lymphocyte immune imbalance in sepsis links single-cell states to bedside neutrophil-to-lymphocyte ratio"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manuscript is currently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preparing to be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submitted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to SCI.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onceived a translational sepsis study integrating single-cell RNA sequencing, transcriptomic profiles, and clinical biomarkers to uncover immune dysregulation mechanisms and bridge molecular findings with bedside care.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Connected molecular immune states with bedside neutrophil-to-lymphocyte ratio (NLR) across ~49,600 ICU patients.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Identified cytotoxic lymphocyte dysfunction as a potential driver of immune dysregulation in sepsis.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Co-First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 |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“When AI Provides Explanations: Explanatory Cognitive Outsourcing and the Redistribution of Cognitive Labor”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Co-developed a theoretical framework of explanatory cognitive outsourcing, examining how AI redistributes explanatory work through explanation production, epistemic authority, and cognitive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a survey of 252 participants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understanding transfer, metacognitive engagement, and human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AI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Identified a persistent understanding–transfer gap following AI-generated explanations, with 87.3% of participants reporting higher perceived understanding than transfer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420"/>
        </w:tabs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Author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 | 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“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Clinically anchored transcriptomic prioritization with multiplicity-aware survival and CRISPR dependency evaluation in triple-negative breast cancer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tabs>
          <w:tab w:val="left" w:leader="none" w:pos="420"/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rtl w:val="0"/>
        </w:rPr>
        <w:t xml:space="preserve">Evaluated a 31-gene panel in TNBC in clinical, survival, CRISPR, drug-annotation, and genetic analyses.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tabs>
          <w:tab w:val="left" w:leader="none" w:pos="420"/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rtl w:val="0"/>
        </w:rPr>
        <w:t xml:space="preserve">Developed and tested prognostic models using SEER Plus stage I-III patient cases with multiple imputation, 500 bootstrap resamples, and IPCW methods.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tabs>
          <w:tab w:val="left" w:leader="none" w:pos="420"/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rtl w:val="0"/>
        </w:rPr>
        <w:t xml:space="preserve">Integrated functional and causal data using DepMap CRISPR dependency screens, DGIdb drug-target annotations, and Mendelian randomization with colocalization.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420"/>
          <w:tab w:val="left" w:leader="none" w:pos="720"/>
        </w:tabs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420"/>
          <w:tab w:val="left" w:leader="none" w:pos="720"/>
        </w:tabs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Author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“AdaCycle-Fork: Alignment-Adaptive Branching with Bidirectional Cycle Learning for Unified Multimodal Understanding and Generation”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tabs>
          <w:tab w:val="left" w:leader="none" w:pos="420"/>
          <w:tab w:val="left" w:leader="none" w:pos="720"/>
        </w:tabs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Introduced AdaCycle-Fork, a unified multimodal model that uses input-adaptive dynamic forking based on image-text alignment trajectories across shared, understanding, and generation branches.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tabs>
          <w:tab w:val="left" w:leader="none" w:pos="420"/>
          <w:tab w:val="left" w:leader="none" w:pos="720"/>
        </w:tabs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Applied bidirectional cyclic consistency learning during training to foster mutual supervision and synergy between understanding and generation tasks.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tabs>
          <w:tab w:val="left" w:leader="none" w:pos="420"/>
          <w:tab w:val="left" w:leader="none" w:pos="720"/>
        </w:tabs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Achieved strong performance in visual question answering, hallucination mitigation, text-to-image generation, and image editing compared to similar-sized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Independent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Researcher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EndoLook (An Original AI-Powered Robotic Capsule Endoscopy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Independently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proposed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an AI-powered robotic capsule integrating Raspberry Pi, embedded sensors, computer vision, wireless communication, and autonomous navigation for real-time gastrointestinal imaging.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Engineered computer-vision and sensor-based navigation, supporting autonomous movement and physician-guided control for precise localization within simulated gastrointestinal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  <w:rtl w:val="0"/>
        </w:rPr>
        <w:t xml:space="preserve">COMMUNITY SERVICE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Salt Lake City Community Chapter Director, Frontlines Summer Policy Fellowship (Funded by OpenAI 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720" w:right="0" w:hanging="360"/>
        <w:jc w:val="left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Conducted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interdisciplinary analysis to study issues related to artificial intelligence governance, digital literacy, and equitable access to technology.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Founded and led the Salt Lake City chapter, organizing outreach, fellow training, and sessions while authoring a policy brief on AI and rural healthcare equity submitted to Utah Representative Blake Moore and Senator John Curtis.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Co-Founder &amp; President, Salt Lake AI &amp; App Collective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Co-founded a student-led AI education organization providing free AI training, mentorship, and project-based competitions for students, families, and AI enthusiasts nationwide.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Partnered with ACP to organize the Student AI Championship, led two AI training sessions, and served as a competition judge, mentoring participants and evaluating student AI projects.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Organized the Machine Learning for AI Workshop, a nationwide program with 130+ student participants; led three pre-competition AI training sessions and concluded with a Student AI Championship, where I co-judged projects with MIT CS students and secured $500 in sponsored awards for winning teams.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Built evaluation and mentorship networks with university CS students and AI professionals, including Dr. Yu Meng, who served as ISEF judges and mentors for participant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Advanced STEM accessibility by producing four ASL-interpreted STEM laboratory videos for Deaf middle school students, making scientific concepts more accessible through sign-language instruction.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Conducted interviews with 5 STEM competition winners and 6 researchers and industry professionals, transforming their experiences into practical guidance that inspired and prepared more students to pursue STEM.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Authored the STEM Competition &amp; Research Pathways Guide,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distributing 100+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free printed copies through schools and community networks to expand access to high-quality educational resources.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Partnered with Sorenson to collect ASL data and expand real-world testing of Computerpreter, promoting AI-powered ASL translation to support faster, more accessible communication within the Deaf community.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American Volunteer Service Award (AVSA), Successor to the former President’s Volunteer Service Award (PVSA)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Gold Award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161.5 verified community service hours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Sept. 2025–Aug. 2026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Ambassador, Congressional Application Challenge (CAC)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Expanded STEM access to the CAC by explaining and guiding students through the registration and submission process within Utah's four Congressional Districts, completing 20 hours of Ambassador service.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Mentored three student teams in developing AI application projects, providing technical instruction, project feedback, and troubleshooting support through successful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competition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submission.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Ambassador, National Society of High School Scholars (NSHSS)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Supported logistics for 2,000+ attendees at Scholar's Day 2024 in Atlanta and presented EndoLook, a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proposed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AI-powered robotic capsule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for endoscopy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, promoting interdisciplinary discussion on healthcare innovation.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Contributed 80+ volunteer hours to autism advocacy (Luv Michael) and environmental outreach (NSHSS Earth Day), supporting inclusive education, neurodiversity, and community sustainability.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Advanced community wildfire preparedness by delivering public presentations, developing a waste-sorting application, and refining the FlameFender wildfire warning app through feedback from multiple local fire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BigFuture Ambassador, College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Hosted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eekly after-school Q&amp;A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dvised 15 students on AP course planning, registration, and study strategies, with 9 earning scores of 5 and 6 earning scores of 4 on their selected exams.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Volunteer, Timpanogos Chamber Music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hree free public piano duet concerts (River Meadows, A Garden Concert, Seven Songs of the Sea), each attended by 50–100 senior-living audiences, making classical performances more accessible to the elderly.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Volunteer, Chinese Association for Science and Technology in Utah (CAST-UT)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Performed Chinese piano repertoire and led paper-cutting demos at Lunar New Year events.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Assisted with operations, welcome, and gift distribution at 2025 Dragon Boat and Mid-Autumn Festivals.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Managed registration and email communications for the Chinese Bridge Chinese Proficiency Competition.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Volunteer, Mt. Olympus Rehabilitation Center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Performed weekly piano recitals and engaged approximately 30 elderly residents through music and conversation.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Assisted annually with Halloween Trick-or-Treat by distributing candy and supporting resident and visitor safety.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  <w:rtl w:val="0"/>
        </w:rPr>
        <w:t xml:space="preserve">STEM ACHIEVEMENTS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&amp; 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Competitions: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USA A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Olympiad (USAAIO) 2026: National Bronze Medal (2026), Distinguished Honor Roll &amp;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Qualified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Round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USA Computing Olympiad (USACO):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Qualified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Platinum (2026), Gold (2025), Silver (2024)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2026 International AI Innovation Olympiad (IAI2O): AI Innovators Challenge (AIIC) — Finalist; AI for Sciences (AI4Sci) Engineering &amp; Robotics — North America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Place; AI for Business (AI4Biz) AI Technology Commercialization —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Place; Global Finalist (MIT, Sept. 2026).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2025 World Artificial Intelligence Competition for Youth (WAICY): AI Showcase — Global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place; Large Language Model Division — Global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2025 Congressional App Challenge (CAC):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-01 Winner (Rep. Blake Moore); West Region Winner;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elected among nearly 400 district-winning apps nationwide as CAC Top Apps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Winner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by the CoderSchool and awarded National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at #HouseofCode in the U.S. Capitol, Washington, D.C. (April 21, 2026).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Presidential AI Challenge: Utah State Champion; West Region Champion; Project presented at the White House, Washington, D.C., during the National Finals (June 7–10, 2026).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2026 International Youth AI Competition (AI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): High School Track 1 — AI Application Development (Honor Award); High School Track 2 — AI Innovation Proposal (Honor Award)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Amazing Grace Institute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International AI/APP Innovation Challenge: Silver Medal (2025)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Student Engineering and Creativity Convention (SECC) — Amazon Web Services (AWS) DeepRacer AI Competition: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(2024, 2025)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San Ramon Hackathon — AI in Action: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(2024),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(2025)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San Diego Science Applications International Corporation (SD SAIC) Hackathon, hosted by the Chinese Association for Science and Technology (CAST), USA: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(2024)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FutureBridge AI Innovation Summit: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(2024)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Association of Chinese Professionals (ACP) — MetroCode Competition: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(2024),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(2025)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Science and Math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Competitions: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International Genetically Engineered Machine (iGEM) Competition 2025 — Student Team Leader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Led dry experiment human practices, community outreach, interviews, and commercialization; contributed to wet-lab experiment design and execution throughout the project.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Modeled and analyzed wet experiment results; contributed to research paper writing and developed and uploaded project content to the team Wiki; led the team through two rounds of final defenses in Paris..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Global First Runner-up 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Worldwide), Gold Medal, Global Top 10, Best Village Project, iGEMers' Prize, Safety and Security Award; Nominated for Best Measurement, Best Presentation, Best Wiki, Best Integrated Human Practices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2025 United States of America Mathematical Olympiad (USAMO &amp; USAJMO): Finalist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American Invitational Mathematics Examination (AIME): Qualifier (2024, 2025)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Physics Bowl: Global 34</w:t>
      </w:r>
      <w:r w:rsidDel="00000000" w:rsidR="00000000" w:rsidRPr="00000000">
        <w:rPr>
          <w:sz w:val="21"/>
          <w:szCs w:val="21"/>
          <w:highlight w:val="whit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in Division I (2024), Global Tied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sz w:val="21"/>
          <w:szCs w:val="21"/>
          <w:highlight w:val="white"/>
          <w:vertAlign w:val="superscript"/>
          <w:rtl w:val="0"/>
        </w:rPr>
        <w:t xml:space="preserve">st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place in Division II (2025)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US National Chemistry Olympiad (USNCO): National Honors (Top 150) 2025; National High Honors (Top 50) 2026; ACS USNCO National Exam Preparation Program 2024, 2025, 2026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USA Biolympiad (USABO): Merit Award (2024), National Finalist (2025)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2025 Global Youth Entrepreneurship Challenge, High School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2026 National STEM Festival, Finalist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2025-2026 Junior Science and Humanities Symposium (JSHS), Student Research Recognition Program; $550 JSHS Entry Award; Abstract Published; Travel Award Invitee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Utah Science and Engineering Fair (USEF): 2023 — Physics, Astronomy, and Math Division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(selected for Broadcom Masters); 2024 — Physics, Astronomy, and Math Division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place; 2025 — Civil and Environmental Engineering Division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place; 2026 — Medicine and Health Sciences Division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American Sign Language Honor Society (ASLHS) Eric “Malz” Malzkuhn ASL Literature Competition 2024: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Utah High School ASL State Competition — Deaf Culture and History: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(2025, 2026)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National Society of High School Scholars (NSHSS): Be More Grant Winner ($1000, 2024); NSHSS Performing Arts: Music Scholarship ($1000, 2025); AUTISM with Luv Michael Education Training Scholarship (2025); CarbonCrew-Path to Climate Action Education Training Scholarship (2025)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  <w:rtl w:val="0"/>
        </w:rPr>
        <w:t xml:space="preserve">NON-STEM ACHIEVEMENTS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Honors &amp; Scholarships: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Frontlines Summer Policy Chapter Director — Selected for a competitive AI policy scholarship nationwide to recognize the student leadership in AI governance, digital literacy, and civic engagement (2026).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Coolidge Scholarship Senator (2026) in recognition of academic excellence, intellectual engagement, and civic leadership.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The Knowledge Society (TKS) — 10-month Global Innovation Program: Full Scholarship (2024)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CB National Recognition Program — School Recognition Award for Outstanding Academic Achievement (2025).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AP Scholar with Distinction Award (2024, 2025, 2026)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National Speech and Debate Association (NSDA): Regional Public Forum Debate —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(2024); National Competition Skyline High School team member (2025 2026)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National History Day (NHD): Utah Granite School Region — Paper Division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(2025);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Tim Draper Utah Entrepreneur Challenge (UEC): 2024 — People's Choice Online Vote Award, Lassonde Founders Program Scholarship ($100); 2026 —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place, People's Choice Online Vote Award, Lassonde Founders Program Scholarship ($3,200)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Utah Chinese Bridge, International Chinese Language Day, 2026 Utah Tech University Language Fair— Outstanding Award Chinese-Language Speech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Utah Chinese Science and Technology Association — Outstanding High School Student Scholarship — Winner (2024, 2025); Excellence in Research Award —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place (2024),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vertAlign w:val="baseline"/>
          <w:rtl w:val="0"/>
        </w:rPr>
        <w:t xml:space="preserve"> place (2025)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National &amp; International Piano Competition Awards and Honors: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Music Teachers National Association (MTNA) — Piano Duet: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Utah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(2024), Southwest Region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(2025), National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(2025)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7th World Piano Teachers Association International Piano Competition (WPTA): Gold Award (2025)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American Virtuoso International Music Competition (AVIMC): Chamber Music —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(2025); Winner's Recital at Weill Recital Hall, Carnegie Hall (planned for January 15, 2026)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Helen Taylor Johannesen International Piano Festival &amp; Competition: Solo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(2024); Piano Concerto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place (2024)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American West and Utah Symphony Orchestras: Piano Concerto Performer (2023-2024)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Language Certification – ASL Proficiency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American Sign Language Functional Assessment Interview (ASLFAI) 2026 — Intermediate High 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State Seal of Biliteracy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National AVANT STAMP ASL Assessment 2026 — Receptive: Advanced Mid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Expressive: Advanced Low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right" w:leader="none" w:pos="10800"/>
        </w:tabs>
        <w:rPr>
          <w:b w:val="1"/>
          <w:b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u w:val="single"/>
          <w:rtl w:val="0"/>
        </w:rPr>
        <w:t xml:space="preserve">SCHOOL CLUBS</w:t>
      </w:r>
    </w:p>
    <w:p w:rsidR="00000000" w:rsidDel="00000000" w:rsidP="00000000" w:rsidRDefault="00000000" w:rsidRPr="00000000" w14:paraId="000000C1">
      <w:pPr>
        <w:tabs>
          <w:tab w:val="right" w:leader="none" w:pos="10800"/>
        </w:tabs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Member, American Sign Language (ASL)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tabs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Organized annual ASL cultural outreach through ASL Play, Sign-a-Song, and World Language Night, creating original signed stories, song interpretations, and theatrical performances that reached 100+ audience members annually at school assemblies, the Jean Massieu School of the Deaf, and Deaf community venues.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tabs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Placed 1</w:t>
      </w:r>
      <w:r w:rsidDel="00000000" w:rsidR="00000000" w:rsidRPr="00000000">
        <w:rPr>
          <w:sz w:val="21"/>
          <w:szCs w:val="21"/>
          <w:highlight w:val="white"/>
          <w:vertAlign w:val="superscript"/>
          <w:rtl w:val="0"/>
        </w:rPr>
        <w:t xml:space="preserve">st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(2025, 2026) as the Deaf Culture &amp; History Team Leader at the Utah High School ASL State Competition</w:t>
      </w:r>
    </w:p>
    <w:p w:rsidR="00000000" w:rsidDel="00000000" w:rsidP="00000000" w:rsidRDefault="00000000" w:rsidRPr="00000000" w14:paraId="000000C4">
      <w:pPr>
        <w:tabs>
          <w:tab w:val="right" w:leader="none" w:pos="10800"/>
        </w:tabs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Medical Innovation Team &amp; Competitor, Core Member, HOSA – Future Health Professionals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9"/>
        </w:numPr>
        <w:tabs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Led the design and experimental evaluation of an improved medical infusion (blood) bag, benchmarking commercial products and demonstrating potential savings of 0.7–5.7 mL of medication or blood per use.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9"/>
        </w:numPr>
        <w:tabs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Developed research reports and innovation proposals analyzing clinical impact, feasibility, and cost-effectiveness; and obtained clinical validation and feedback from medical professionals at the University of Utah Infusion Center.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9"/>
        </w:numPr>
        <w:tabs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Participated in various chapter activities and community volunteer services and as a team in the medical innovation category of the district competition.</w:t>
      </w:r>
    </w:p>
    <w:p w:rsidR="00000000" w:rsidDel="00000000" w:rsidP="00000000" w:rsidRDefault="00000000" w:rsidRPr="00000000" w14:paraId="000000C9">
      <w:pPr>
        <w:tabs>
          <w:tab w:val="right" w:leader="none" w:pos="10800"/>
        </w:tabs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right" w:leader="none" w:pos="10800"/>
        </w:tabs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Core member, National Honor Society (NHS)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tabs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Helped younger students in strengthening their academic performance at NHS Tutoring.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tabs>
          <w:tab w:val="left" w:leader="none" w:pos="720"/>
        </w:tabs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Committed to complete 20 hours of membership services.</w:t>
      </w:r>
    </w:p>
    <w:p w:rsidR="00000000" w:rsidDel="00000000" w:rsidP="00000000" w:rsidRDefault="00000000" w:rsidRPr="00000000" w14:paraId="000000CD">
      <w:pPr>
        <w:tabs>
          <w:tab w:val="right" w:leader="none" w:pos="10800"/>
        </w:tabs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right" w:leader="none" w:pos="10800"/>
        </w:tabs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Core member, Debate Club</w:t>
      </w:r>
      <w:r w:rsidDel="00000000" w:rsidR="00000000" w:rsidRPr="00000000">
        <w:rPr>
          <w:sz w:val="21"/>
          <w:szCs w:val="21"/>
          <w:highlight w:val="white"/>
          <w:rtl w:val="0"/>
        </w:rPr>
        <w:tab/>
      </w:r>
    </w:p>
    <w:p w:rsidR="00000000" w:rsidDel="00000000" w:rsidP="00000000" w:rsidRDefault="00000000" w:rsidRPr="00000000" w14:paraId="000000CF">
      <w:pPr>
        <w:tabs>
          <w:tab w:val="left" w:leader="none" w:pos="720"/>
        </w:tabs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sz w:val="21"/>
          <w:szCs w:val="21"/>
          <w:highlight w:val="white"/>
          <w:vertAlign w:val="superscript"/>
          <w:rtl w:val="0"/>
        </w:rPr>
        <w:t xml:space="preserve">nd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place at the Utah debate championship (2025).</w:t>
      </w:r>
    </w:p>
    <w:p w:rsidR="00000000" w:rsidDel="00000000" w:rsidP="00000000" w:rsidRDefault="00000000" w:rsidRPr="00000000" w14:paraId="000000D0">
      <w:pPr>
        <w:tabs>
          <w:tab w:val="right" w:leader="none" w:pos="10800"/>
        </w:tabs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right" w:leader="none" w:pos="10800"/>
        </w:tabs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Competitor, Math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One of the only students in Skyline history to qualify for both USAMO and USAJMO.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nyniu197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3076-12.1.0.28485</vt:lpwstr>
  </property>
  <property fmtid="{D5CDD505-2E9C-101B-9397-08002B2CF9AE}" pid="3" name="ICV">
    <vt:lpwstr>7CC617CFF8C74D68994B83937A85B443_13</vt:lpwstr>
  </property>
  <property fmtid="{D5CDD505-2E9C-101B-9397-08002B2CF9AE}" pid="4" name="KSOTemplateDocerSaveRecord">
    <vt:lpwstr>eyJoZGlkIjoiZjM2Nzc2YTIyNzZiOWE2ZjQzNzkzNGQ4MTMxNmIwMmMiLCJ1c2VySWQiOiIxNjY3MDE1MTUzNTcwIn0=</vt:lpwstr>
  </property>
</Properties>
</file>