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Block"/>
      </w:pPr>
      <w:r>
        <w:rPr>
          <w:rFonts w:ascii="Calibri" w:hAnsi="Calibri"/>
          <w:b/>
          <w:color w:val="0B2545"/>
          <w:sz w:val="48"/>
        </w:rPr>
        <w:t>GCON 2027 Nursing Intake Platform</w:t>
      </w:r>
    </w:p>
    <w:p>
      <w:pPr>
        <w:spacing w:before="0" w:after="240"/>
      </w:pPr>
      <w:r>
        <w:rPr>
          <w:rFonts w:ascii="Calibri" w:hAnsi="Calibri"/>
          <w:color w:val="5F6B76"/>
          <w:sz w:val="28"/>
        </w:rPr>
        <w:t>System handover and operating guide</w:t>
      </w:r>
    </w:p>
    <w:tbl>
      <w:tblPr>
        <w:tblStyle w:val="TableGrid"/>
        <w:tblW w:type="dxa" w:w="9360"/>
        <w:jc w:val="left"/>
        <w:tblLayout w:type="fixed"/>
        <w:tblLook w:firstColumn="1" w:firstRow="1" w:lastColumn="0" w:lastRow="0" w:noHBand="0" w:noVBand="1" w:val="04A0"/>
        <w:tblInd w:type="dxa" w:w="120"/>
        <w:tblBorders>
          <w:top w:val="single" w:sz="4" w:space="0" w:color="D6DDE5"/>
          <w:left w:val="single" w:sz="4" w:space="0" w:color="D6DDE5"/>
          <w:bottom w:val="single" w:sz="4" w:space="0" w:color="D6DDE5"/>
          <w:right w:val="single" w:sz="4" w:space="0" w:color="D6DDE5"/>
          <w:insideH w:val="single" w:sz="4" w:space="0" w:color="D6DDE5"/>
          <w:insideV w:val="single" w:sz="4" w:space="0" w:color="D6DDE5"/>
        </w:tblBorders>
      </w:tblPr>
      <w:tblGrid>
        <w:gridCol w:w="2700"/>
        <w:gridCol w:w="6660"/>
      </w:tblGrid>
      <w:tr>
        <w:trPr>
          <w:tblHeader/>
        </w:trPr>
        <w:tc>
          <w:tcPr>
            <w:tcW w:type="dxa" w:w="2700"/>
            <w:vAlign w:val="center"/>
            <w:shd w:fill="F2F4F7" w:val="clear"/>
            <w:tcMar>
              <w:top w:w="80" w:type="dxa"/>
              <w:bottom w:w="80" w:type="dxa"/>
              <w:start w:w="120" w:type="dxa"/>
              <w:end w:w="120" w:type="dxa"/>
            </w:tcMar>
          </w:tcPr>
          <w:p>
            <w:pPr>
              <w:spacing w:before="0" w:after="0" w:line="269" w:lineRule="auto"/>
            </w:pPr>
            <w:r/>
            <w:r>
              <w:rPr>
                <w:rFonts w:ascii="Calibri" w:hAnsi="Calibri"/>
                <w:b/>
                <w:color w:val="0B2545"/>
                <w:sz w:val="20"/>
              </w:rPr>
              <w:t>Prepared for</w:t>
            </w:r>
          </w:p>
        </w:tc>
        <w:tc>
          <w:tcPr>
            <w:tcW w:type="dxa" w:w="6660"/>
            <w:vAlign w:val="center"/>
            <w:tcMar>
              <w:top w:w="80" w:type="dxa"/>
              <w:bottom w:w="80" w:type="dxa"/>
              <w:start w:w="120" w:type="dxa"/>
              <w:end w:w="120" w:type="dxa"/>
            </w:tcMar>
          </w:tcPr>
          <w:p>
            <w:pPr>
              <w:spacing w:before="0" w:after="0" w:line="269" w:lineRule="auto"/>
            </w:pPr>
            <w:r/>
            <w:r>
              <w:rPr>
                <w:rFonts w:ascii="Calibri" w:hAnsi="Calibri"/>
                <w:b w:val="0"/>
                <w:color w:val="1F2933"/>
                <w:sz w:val="20"/>
              </w:rPr>
              <w:t>eGovernment technical, infrastructure, security and operations teams</w:t>
            </w:r>
          </w:p>
        </w:tc>
      </w:tr>
    </w:tbl>
    <w:tbl>
      <w:tblPr>
        <w:tblStyle w:val="TableGrid"/>
        <w:tblW w:type="dxa" w:w="9360"/>
        <w:jc w:val="left"/>
        <w:tblLayout w:type="fixed"/>
        <w:tblLook w:firstColumn="1" w:firstRow="1" w:lastColumn="0" w:lastRow="0" w:noHBand="0" w:noVBand="1" w:val="04A0"/>
        <w:tblInd w:type="dxa" w:w="120"/>
        <w:tblBorders>
          <w:top w:val="single" w:sz="4" w:space="0" w:color="D6DDE5"/>
          <w:left w:val="single" w:sz="4" w:space="0" w:color="D6DDE5"/>
          <w:bottom w:val="single" w:sz="4" w:space="0" w:color="D6DDE5"/>
          <w:right w:val="single" w:sz="4" w:space="0" w:color="D6DDE5"/>
          <w:insideH w:val="single" w:sz="4" w:space="0" w:color="D6DDE5"/>
          <w:insideV w:val="single" w:sz="4" w:space="0" w:color="D6DDE5"/>
        </w:tblBorders>
      </w:tblPr>
      <w:tblGrid>
        <w:gridCol w:w="2700"/>
        <w:gridCol w:w="6660"/>
      </w:tblGrid>
      <w:tr>
        <w:trPr>
          <w:tblHeader/>
        </w:trPr>
        <w:tc>
          <w:tcPr>
            <w:tcW w:type="dxa" w:w="2700"/>
            <w:vAlign w:val="center"/>
            <w:shd w:fill="F2F4F7" w:val="clear"/>
            <w:tcMar>
              <w:top w:w="80" w:type="dxa"/>
              <w:bottom w:w="80" w:type="dxa"/>
              <w:start w:w="120" w:type="dxa"/>
              <w:end w:w="120" w:type="dxa"/>
            </w:tcMar>
          </w:tcPr>
          <w:p>
            <w:pPr>
              <w:spacing w:before="0" w:after="0" w:line="269" w:lineRule="auto"/>
            </w:pPr>
            <w:r/>
            <w:r>
              <w:rPr>
                <w:rFonts w:ascii="Calibri" w:hAnsi="Calibri"/>
                <w:b/>
                <w:color w:val="0B2545"/>
                <w:sz w:val="20"/>
              </w:rPr>
              <w:t>Application</w:t>
            </w:r>
          </w:p>
        </w:tc>
        <w:tc>
          <w:tcPr>
            <w:tcW w:type="dxa" w:w="6660"/>
            <w:vAlign w:val="center"/>
            <w:tcMar>
              <w:top w:w="80" w:type="dxa"/>
              <w:bottom w:w="80" w:type="dxa"/>
              <w:start w:w="120" w:type="dxa"/>
              <w:end w:w="120" w:type="dxa"/>
            </w:tcMar>
          </w:tcPr>
          <w:p>
            <w:pPr>
              <w:spacing w:before="0" w:after="0" w:line="269" w:lineRule="auto"/>
            </w:pPr>
            <w:r/>
            <w:r>
              <w:rPr>
                <w:rFonts w:ascii="Calibri" w:hAnsi="Calibri"/>
                <w:b w:val="0"/>
                <w:color w:val="1F2933"/>
                <w:sz w:val="20"/>
              </w:rPr>
              <w:t>GCON 2027 Student Nurse Intake platform</w:t>
            </w:r>
          </w:p>
        </w:tc>
      </w:tr>
    </w:tbl>
    <w:tbl>
      <w:tblPr>
        <w:tblStyle w:val="TableGrid"/>
        <w:tblW w:type="dxa" w:w="9360"/>
        <w:jc w:val="left"/>
        <w:tblLayout w:type="fixed"/>
        <w:tblLook w:firstColumn="1" w:firstRow="1" w:lastColumn="0" w:lastRow="0" w:noHBand="0" w:noVBand="1" w:val="04A0"/>
        <w:tblInd w:type="dxa" w:w="120"/>
        <w:tblBorders>
          <w:top w:val="single" w:sz="4" w:space="0" w:color="D6DDE5"/>
          <w:left w:val="single" w:sz="4" w:space="0" w:color="D6DDE5"/>
          <w:bottom w:val="single" w:sz="4" w:space="0" w:color="D6DDE5"/>
          <w:right w:val="single" w:sz="4" w:space="0" w:color="D6DDE5"/>
          <w:insideH w:val="single" w:sz="4" w:space="0" w:color="D6DDE5"/>
          <w:insideV w:val="single" w:sz="4" w:space="0" w:color="D6DDE5"/>
        </w:tblBorders>
      </w:tblPr>
      <w:tblGrid>
        <w:gridCol w:w="2700"/>
        <w:gridCol w:w="6660"/>
      </w:tblGrid>
      <w:tr>
        <w:trPr>
          <w:tblHeader/>
        </w:trPr>
        <w:tc>
          <w:tcPr>
            <w:tcW w:type="dxa" w:w="2700"/>
            <w:vAlign w:val="center"/>
            <w:shd w:fill="F2F4F7" w:val="clear"/>
            <w:tcMar>
              <w:top w:w="80" w:type="dxa"/>
              <w:bottom w:w="80" w:type="dxa"/>
              <w:start w:w="120" w:type="dxa"/>
              <w:end w:w="120" w:type="dxa"/>
            </w:tcMar>
          </w:tcPr>
          <w:p>
            <w:pPr>
              <w:spacing w:before="0" w:after="0" w:line="269" w:lineRule="auto"/>
            </w:pPr>
            <w:r/>
            <w:r>
              <w:rPr>
                <w:rFonts w:ascii="Calibri" w:hAnsi="Calibri"/>
                <w:b/>
                <w:color w:val="0B2545"/>
                <w:sz w:val="20"/>
              </w:rPr>
              <w:t>Source checkout</w:t>
            </w:r>
          </w:p>
        </w:tc>
        <w:tc>
          <w:tcPr>
            <w:tcW w:type="dxa" w:w="6660"/>
            <w:vAlign w:val="center"/>
            <w:tcMar>
              <w:top w:w="80" w:type="dxa"/>
              <w:bottom w:w="80" w:type="dxa"/>
              <w:start w:w="120" w:type="dxa"/>
              <w:end w:w="120" w:type="dxa"/>
            </w:tcMar>
          </w:tcPr>
          <w:p>
            <w:pPr>
              <w:spacing w:before="0" w:after="0" w:line="269" w:lineRule="auto"/>
            </w:pPr>
            <w:r/>
            <w:r>
              <w:rPr>
                <w:rFonts w:ascii="Calibri" w:hAnsi="Calibri"/>
                <w:b w:val="0"/>
                <w:color w:val="1F2933"/>
                <w:sz w:val="20"/>
              </w:rPr>
              <w:t>C:\GCRA\nurse</w:t>
            </w:r>
          </w:p>
        </w:tc>
      </w:tr>
    </w:tbl>
    <w:tbl>
      <w:tblPr>
        <w:tblStyle w:val="TableGrid"/>
        <w:tblW w:type="dxa" w:w="9360"/>
        <w:jc w:val="left"/>
        <w:tblLayout w:type="fixed"/>
        <w:tblLook w:firstColumn="1" w:firstRow="1" w:lastColumn="0" w:lastRow="0" w:noHBand="0" w:noVBand="1" w:val="04A0"/>
        <w:tblInd w:type="dxa" w:w="120"/>
        <w:tblBorders>
          <w:top w:val="single" w:sz="4" w:space="0" w:color="D6DDE5"/>
          <w:left w:val="single" w:sz="4" w:space="0" w:color="D6DDE5"/>
          <w:bottom w:val="single" w:sz="4" w:space="0" w:color="D6DDE5"/>
          <w:right w:val="single" w:sz="4" w:space="0" w:color="D6DDE5"/>
          <w:insideH w:val="single" w:sz="4" w:space="0" w:color="D6DDE5"/>
          <w:insideV w:val="single" w:sz="4" w:space="0" w:color="D6DDE5"/>
        </w:tblBorders>
      </w:tblPr>
      <w:tblGrid>
        <w:gridCol w:w="2700"/>
        <w:gridCol w:w="6660"/>
      </w:tblGrid>
      <w:tr>
        <w:trPr>
          <w:tblHeader/>
        </w:trPr>
        <w:tc>
          <w:tcPr>
            <w:tcW w:type="dxa" w:w="2700"/>
            <w:vAlign w:val="center"/>
            <w:shd w:fill="F2F4F7" w:val="clear"/>
            <w:tcMar>
              <w:top w:w="80" w:type="dxa"/>
              <w:bottom w:w="80" w:type="dxa"/>
              <w:start w:w="120" w:type="dxa"/>
              <w:end w:w="120" w:type="dxa"/>
            </w:tcMar>
          </w:tcPr>
          <w:p>
            <w:pPr>
              <w:spacing w:before="0" w:after="0" w:line="269" w:lineRule="auto"/>
            </w:pPr>
            <w:r/>
            <w:r>
              <w:rPr>
                <w:rFonts w:ascii="Calibri" w:hAnsi="Calibri"/>
                <w:b/>
                <w:color w:val="0B2545"/>
                <w:sz w:val="20"/>
              </w:rPr>
              <w:t>Document date</w:t>
            </w:r>
          </w:p>
        </w:tc>
        <w:tc>
          <w:tcPr>
            <w:tcW w:type="dxa" w:w="6660"/>
            <w:vAlign w:val="center"/>
            <w:tcMar>
              <w:top w:w="80" w:type="dxa"/>
              <w:bottom w:w="80" w:type="dxa"/>
              <w:start w:w="120" w:type="dxa"/>
              <w:end w:w="120" w:type="dxa"/>
            </w:tcMar>
          </w:tcPr>
          <w:p>
            <w:r>
              <w:t>6 September 2026</w:t>
            </w:r>
          </w:p>
        </w:tc>
      </w:tr>
    </w:tbl>
    <w:tbl>
      <w:tblPr>
        <w:tblStyle w:val="TableGrid"/>
        <w:tblW w:type="dxa" w:w="9360"/>
        <w:jc w:val="left"/>
        <w:tblLayout w:type="fixed"/>
        <w:tblLook w:firstColumn="1" w:firstRow="1" w:lastColumn="0" w:lastRow="0" w:noHBand="0" w:noVBand="1" w:val="04A0"/>
        <w:tblInd w:type="dxa" w:w="120"/>
        <w:tblBorders>
          <w:top w:val="single" w:sz="4" w:space="0" w:color="D6DDE5"/>
          <w:left w:val="single" w:sz="4" w:space="0" w:color="D6DDE5"/>
          <w:bottom w:val="single" w:sz="4" w:space="0" w:color="D6DDE5"/>
          <w:right w:val="single" w:sz="4" w:space="0" w:color="D6DDE5"/>
          <w:insideH w:val="single" w:sz="4" w:space="0" w:color="D6DDE5"/>
          <w:insideV w:val="single" w:sz="4" w:space="0" w:color="D6DDE5"/>
        </w:tblBorders>
      </w:tblPr>
      <w:tblGrid>
        <w:gridCol w:w="2700"/>
        <w:gridCol w:w="6660"/>
      </w:tblGrid>
      <w:tr>
        <w:trPr>
          <w:tblHeader/>
        </w:trPr>
        <w:tc>
          <w:tcPr>
            <w:tcW w:type="dxa" w:w="2700"/>
            <w:vAlign w:val="center"/>
            <w:shd w:fill="F2F4F7" w:val="clear"/>
            <w:tcMar>
              <w:top w:w="80" w:type="dxa"/>
              <w:bottom w:w="80" w:type="dxa"/>
              <w:start w:w="120" w:type="dxa"/>
              <w:end w:w="120" w:type="dxa"/>
            </w:tcMar>
          </w:tcPr>
          <w:p>
            <w:pPr>
              <w:spacing w:before="0" w:after="0" w:line="269" w:lineRule="auto"/>
            </w:pPr>
            <w:r/>
            <w:r>
              <w:rPr>
                <w:rFonts w:ascii="Calibri" w:hAnsi="Calibri"/>
                <w:b/>
                <w:color w:val="0B2545"/>
                <w:sz w:val="20"/>
              </w:rPr>
              <w:t>Document status</w:t>
            </w:r>
          </w:p>
        </w:tc>
        <w:tc>
          <w:tcPr>
            <w:tcW w:type="dxa" w:w="6660"/>
            <w:vAlign w:val="center"/>
            <w:tcMar>
              <w:top w:w="80" w:type="dxa"/>
              <w:bottom w:w="80" w:type="dxa"/>
              <w:start w:w="120" w:type="dxa"/>
              <w:end w:w="120" w:type="dxa"/>
            </w:tcMar>
          </w:tcPr>
          <w:p>
            <w:r>
              <w:t>Updated operational handover; eGov production binding and acceptance still required</w:t>
            </w:r>
          </w:p>
        </w:tc>
      </w:tr>
    </w:tbl>
    <w:tbl>
      <w:tblPr>
        <w:tblStyle w:val="TableGrid"/>
        <w:tblW w:type="dxa" w:w="9360"/>
        <w:jc w:val="left"/>
        <w:tblLayout w:type="fixed"/>
        <w:tblLook w:firstColumn="1" w:firstRow="1" w:lastColumn="0" w:lastRow="0" w:noHBand="0" w:noVBand="1" w:val="04A0"/>
        <w:tblInd w:type="dxa" w:w="120"/>
        <w:tblBorders>
          <w:top w:val="single" w:sz="4" w:space="0" w:color="D6DDE5"/>
          <w:left w:val="single" w:sz="4" w:space="0" w:color="D6DDE5"/>
          <w:bottom w:val="single" w:sz="4" w:space="0" w:color="D6DDE5"/>
          <w:right w:val="single" w:sz="4" w:space="0" w:color="D6DDE5"/>
          <w:insideH w:val="single" w:sz="4" w:space="0" w:color="D6DDE5"/>
          <w:insideV w:val="single" w:sz="4" w:space="0" w:color="D6DDE5"/>
        </w:tblBorders>
      </w:tblPr>
      <w:tblGrid>
        <w:gridCol w:w="2700"/>
        <w:gridCol w:w="6660"/>
      </w:tblGrid>
      <w:tr>
        <w:trPr>
          <w:tblHeader/>
        </w:trPr>
        <w:tc>
          <w:tcPr>
            <w:tcW w:type="dxa" w:w="2700"/>
            <w:vAlign w:val="center"/>
            <w:shd w:fill="F2F4F7" w:val="clear"/>
            <w:tcMar>
              <w:top w:w="80" w:type="dxa"/>
              <w:bottom w:w="80" w:type="dxa"/>
              <w:start w:w="120" w:type="dxa"/>
              <w:end w:w="120" w:type="dxa"/>
            </w:tcMar>
          </w:tcPr>
          <w:p>
            <w:pPr>
              <w:spacing w:before="0" w:after="0" w:line="269" w:lineRule="auto"/>
            </w:pPr>
            <w:r/>
            <w:r>
              <w:rPr>
                <w:rFonts w:ascii="Calibri" w:hAnsi="Calibri"/>
                <w:b/>
                <w:color w:val="0B2545"/>
                <w:sz w:val="20"/>
              </w:rPr>
              <w:t>Current public demo</w:t>
            </w:r>
          </w:p>
        </w:tc>
        <w:tc>
          <w:tcPr>
            <w:tcW w:type="dxa" w:w="6660"/>
            <w:vAlign w:val="center"/>
            <w:tcMar>
              <w:top w:w="80" w:type="dxa"/>
              <w:bottom w:w="80" w:type="dxa"/>
              <w:start w:w="120" w:type="dxa"/>
              <w:end w:w="120" w:type="dxa"/>
            </w:tcMar>
          </w:tcPr>
          <w:p>
            <w:pPr>
              <w:spacing w:before="0" w:after="0" w:line="269" w:lineRule="auto"/>
            </w:pPr>
            <w:r/>
            <w:r>
              <w:rPr>
                <w:rFonts w:ascii="Calibri" w:hAnsi="Calibri"/>
                <w:b w:val="0"/>
                <w:color w:val="1F2933"/>
                <w:sz w:val="20"/>
              </w:rPr>
              <w:t>https://gcon-nursing-intake.alistairljohanson.chatgpt.site/</w:t>
            </w:r>
          </w:p>
        </w:tc>
      </w:tr>
    </w:tbl>
    <w:tbl>
      <w:tblPr>
        <w:tblStyle w:val="TableGrid"/>
        <w:tblW w:type="dxa" w:w="9360"/>
        <w:jc w:val="left"/>
        <w:tblLayout w:type="fixed"/>
        <w:tblLook w:firstColumn="1" w:firstRow="1" w:lastColumn="0" w:lastRow="0" w:noHBand="0" w:noVBand="1" w:val="04A0"/>
        <w:tblInd w:type="dxa" w:w="120"/>
        <w:tblBorders>
          <w:top w:val="single" w:sz="4" w:space="0" w:color="D1D9E2"/>
          <w:left w:val="single" w:sz="4" w:space="0" w:color="D1D9E2"/>
          <w:bottom w:val="single" w:sz="4" w:space="0" w:color="D1D9E2"/>
          <w:right w:val="single" w:sz="4" w:space="0" w:color="D1D9E2"/>
          <w:insideH w:val="single" w:sz="4" w:space="0" w:color="D1D9E2"/>
          <w:insideV w:val="single" w:sz="4" w:space="0" w:color="D1D9E2"/>
        </w:tblBorders>
      </w:tblPr>
      <w:tblGrid>
        <w:gridCol w:w="9360"/>
      </w:tblGrid>
      <w:tr>
        <w:trPr>
          <w:tblHeader/>
        </w:trPr>
        <w:tc>
          <w:tcPr>
            <w:tcW w:type="dxa" w:w="9360"/>
            <w:shd w:fill="FFF8E8" w:val="clear"/>
            <w:tcMar>
              <w:top w:w="80" w:type="dxa"/>
              <w:bottom w:w="80" w:type="dxa"/>
              <w:start w:w="120" w:type="dxa"/>
              <w:end w:w="120" w:type="dxa"/>
            </w:tcMar>
          </w:tcPr>
          <w:p>
            <w:pPr>
              <w:spacing w:before="0" w:after="0" w:line="276" w:lineRule="auto"/>
            </w:pPr>
            <w:r/>
            <w:r>
              <w:rPr>
                <w:rFonts w:ascii="Calibri" w:hAnsi="Calibri"/>
                <w:b/>
                <w:color w:val="7A5A00"/>
                <w:sz w:val="21"/>
              </w:rPr>
              <w:t xml:space="preserve">Important production boundary: </w:t>
            </w:r>
            <w:r>
              <w:rPr>
                <w:rFonts w:ascii="Calibri" w:hAnsi="Calibri"/>
                <w:color w:val="1F2933"/>
                <w:sz w:val="21"/>
              </w:rPr>
              <w:t>The public ChatGPT Sites deployment is a stakeholder demonstration only. It uses a hosted in-memory worker and demo role sessions. It is not the production database, document store, identity provider or security boundary that eGov should operate.</w:t>
            </w:r>
          </w:p>
        </w:tc>
      </w:tr>
    </w:tbl>
    <w:p>
      <w:pPr>
        <w:spacing w:after="20"/>
      </w:pPr>
    </w:p>
    <w:p>
      <w:pPr>
        <w:spacing w:before="0" w:after="160" w:line="300" w:lineRule="auto"/>
      </w:pPr>
      <w:r>
        <w:rPr>
          <w:rFonts w:ascii="Calibri" w:hAnsi="Calibri"/>
          <w:b w:val="0"/>
          <w:i w:val="0"/>
          <w:color w:val="1F2933"/>
          <w:sz w:val="22"/>
        </w:rPr>
        <w:t>This document describes the current application structure, the setup that can be reproduced from the repository, the role model, the intended user journeys, and the work that must be completed before production service acceptance.</w:t>
      </w:r>
    </w:p>
    <w:p>
      <w:pPr>
        <w:pStyle w:val="Heading1"/>
        <w:keepNext/>
      </w:pPr>
      <w:r>
        <w:rPr>
          <w:rFonts w:ascii="Calibri" w:hAnsi="Calibri"/>
          <w:b/>
          <w:color w:val="2E74B5"/>
          <w:sz w:val="32"/>
        </w:rPr>
        <w:t>1. Purpose and scope</w:t>
      </w:r>
    </w:p>
    <w:p>
      <w:pPr>
        <w:spacing w:before="0" w:after="120" w:line="300" w:lineRule="auto"/>
      </w:pPr>
      <w:r>
        <w:rPr>
          <w:rFonts w:ascii="Calibri" w:hAnsi="Calibri"/>
          <w:b w:val="0"/>
          <w:i w:val="0"/>
          <w:color w:val="1F2933"/>
          <w:sz w:val="22"/>
        </w:rPr>
        <w:t>This handover gives eGov enough information to assess, deploy, configure, operate and support the GCON 2027 nursing intake application on eGov-managed infrastructure. It covers the React/Vite user interface, the Node API, authentication boundaries, persistence expectations, document handling, user roles, workflow states, operational checks and known limitations.</w:t>
      </w:r>
    </w:p>
    <w:p>
      <w:pPr>
        <w:spacing w:before="0" w:after="120" w:line="300" w:lineRule="auto"/>
      </w:pPr>
      <w:r>
        <w:rPr>
          <w:rFonts w:ascii="Calibri" w:hAnsi="Calibri"/>
          <w:b w:val="0"/>
          <w:i w:val="0"/>
          <w:color w:val="1F2933"/>
          <w:sz w:val="22"/>
        </w:rPr>
        <w:t>The current repository is an MVP and workflow reference implementation. It contains a local encrypted development adapter and a hosted demo worker. Production PostgreSQL, private object storage, Key Vault integration, external identity, malware scanning and operational observability remain eGov implementation and acceptance responsibilities.</w:t>
      </w:r>
    </w:p>
    <w:p>
      <w:pPr>
        <w:pStyle w:val="Heading1"/>
        <w:keepNext/>
      </w:pPr>
      <w:r>
        <w:rPr>
          <w:rFonts w:ascii="Calibri" w:hAnsi="Calibri"/>
          <w:b/>
          <w:color w:val="2E74B5"/>
          <w:sz w:val="32"/>
        </w:rPr>
        <w:t>2. System at a glance</w:t>
      </w:r>
    </w:p>
    <w:tbl>
      <w:tblPr>
        <w:tblStyle w:val="TableGrid"/>
        <w:tblW w:type="dxa" w:w="9360"/>
        <w:jc w:val="left"/>
        <w:tblLayout w:type="fixed"/>
        <w:tblLook w:firstColumn="1" w:firstRow="1" w:lastColumn="0" w:lastRow="0" w:noHBand="0" w:noVBand="1" w:val="04A0"/>
        <w:tblInd w:type="dxa" w:w="120"/>
        <w:tblBorders>
          <w:top w:val="single" w:sz="4" w:space="0" w:color="C8D1DB"/>
          <w:left w:val="single" w:sz="4" w:space="0" w:color="C8D1DB"/>
          <w:bottom w:val="single" w:sz="4" w:space="0" w:color="C8D1DB"/>
          <w:right w:val="single" w:sz="4" w:space="0" w:color="C8D1DB"/>
          <w:insideH w:val="single" w:sz="4" w:space="0" w:color="C8D1DB"/>
          <w:insideV w:val="single" w:sz="4" w:space="0" w:color="C8D1DB"/>
        </w:tblBorders>
      </w:tblPr>
      <w:tblGrid>
        <w:gridCol w:w="1800"/>
        <w:gridCol w:w="7560"/>
      </w:tblGrid>
      <w:tr>
        <w:trPr>
          <w:tblHeader/>
        </w:trPr>
        <w:tc>
          <w:tcPr>
            <w:tcW w:type="dxa" w:w="1800"/>
            <w:vAlign w:val="center"/>
            <w:shd w:fill="E8EEF5" w:val="clear"/>
            <w:tcMar>
              <w:top w:w="80" w:type="dxa"/>
              <w:bottom w:w="80" w:type="dxa"/>
              <w:start w:w="120" w:type="dxa"/>
              <w:end w:w="120" w:type="dxa"/>
            </w:tcMar>
          </w:tcPr>
          <w:p>
            <w:pPr>
              <w:spacing w:before="0" w:after="0" w:line="269" w:lineRule="auto"/>
            </w:pPr>
            <w:r/>
            <w:r>
              <w:rPr>
                <w:rFonts w:ascii="Calibri" w:hAnsi="Calibri"/>
                <w:b/>
                <w:color w:val="0B2545"/>
                <w:sz w:val="19"/>
              </w:rPr>
              <w:t>Area</w:t>
            </w:r>
          </w:p>
        </w:tc>
        <w:tc>
          <w:tcPr>
            <w:tcW w:type="dxa" w:w="7560"/>
            <w:vAlign w:val="center"/>
            <w:shd w:fill="E8EEF5" w:val="clear"/>
            <w:tcMar>
              <w:top w:w="80" w:type="dxa"/>
              <w:bottom w:w="80" w:type="dxa"/>
              <w:start w:w="120" w:type="dxa"/>
              <w:end w:w="120" w:type="dxa"/>
            </w:tcMar>
          </w:tcPr>
          <w:p>
            <w:pPr>
              <w:spacing w:before="0" w:after="0" w:line="269" w:lineRule="auto"/>
            </w:pPr>
            <w:r/>
            <w:r>
              <w:rPr>
                <w:rFonts w:ascii="Calibri" w:hAnsi="Calibri"/>
                <w:b/>
                <w:color w:val="0B2545"/>
                <w:sz w:val="19"/>
              </w:rPr>
              <w:t>Current implementation / handover note</w:t>
            </w:r>
          </w:p>
        </w:tc>
      </w:tr>
      <w:tr>
        <w:trPr/>
        <w:tc>
          <w:tcPr>
            <w:tcW w:type="dxa" w:w="1800"/>
            <w:vAlign w:val="center"/>
            <w:tcMar>
              <w:top w:w="80" w:type="dxa"/>
              <w:bottom w:w="80" w:type="dxa"/>
              <w:start w:w="120" w:type="dxa"/>
              <w:end w:w="120" w:type="dxa"/>
            </w:tcMar>
          </w:tcPr>
          <w:p>
            <w:pPr>
              <w:spacing w:before="0" w:after="0" w:line="269" w:lineRule="auto"/>
            </w:pPr>
            <w:r/>
            <w:r>
              <w:rPr>
                <w:rFonts w:ascii="Calibri" w:hAnsi="Calibri"/>
                <w:b w:val="0"/>
                <w:color w:val="1F2933"/>
                <w:sz w:val="19"/>
              </w:rPr>
              <w:t>Frontend</w:t>
            </w:r>
          </w:p>
        </w:tc>
        <w:tc>
          <w:tcPr>
            <w:tcW w:type="dxa" w:w="7560"/>
            <w:vAlign w:val="center"/>
            <w:tcMar>
              <w:top w:w="80" w:type="dxa"/>
              <w:bottom w:w="80" w:type="dxa"/>
              <w:start w:w="120" w:type="dxa"/>
              <w:end w:w="120" w:type="dxa"/>
            </w:tcMar>
          </w:tcPr>
          <w:p>
            <w:pPr>
              <w:spacing w:before="0" w:after="0" w:line="269" w:lineRule="auto"/>
            </w:pPr>
            <w:r/>
            <w:r>
              <w:rPr>
                <w:rFonts w:ascii="Calibri" w:hAnsi="Calibri"/>
                <w:b w:val="0"/>
                <w:color w:val="1F2933"/>
                <w:sz w:val="19"/>
              </w:rPr>
              <w:t>React and Vite application. Source entry point is src/main.jsx. Production build output is dist/.</w:t>
            </w:r>
          </w:p>
        </w:tc>
      </w:tr>
      <w:tr>
        <w:trPr/>
        <w:tc>
          <w:tcPr>
            <w:tcW w:type="dxa" w:w="1800"/>
            <w:vAlign w:val="center"/>
            <w:tcMar>
              <w:top w:w="80" w:type="dxa"/>
              <w:bottom w:w="80" w:type="dxa"/>
              <w:start w:w="120" w:type="dxa"/>
              <w:end w:w="120" w:type="dxa"/>
            </w:tcMar>
          </w:tcPr>
          <w:p>
            <w:pPr>
              <w:spacing w:before="0" w:after="0" w:line="269" w:lineRule="auto"/>
            </w:pPr>
            <w:r/>
            <w:r>
              <w:rPr>
                <w:rFonts w:ascii="Calibri" w:hAnsi="Calibri"/>
                <w:b w:val="0"/>
                <w:color w:val="1F2933"/>
                <w:sz w:val="19"/>
              </w:rPr>
              <w:t>API</w:t>
            </w:r>
          </w:p>
        </w:tc>
        <w:tc>
          <w:tcPr>
            <w:tcW w:type="dxa" w:w="7560"/>
            <w:vAlign w:val="center"/>
            <w:tcMar>
              <w:top w:w="80" w:type="dxa"/>
              <w:bottom w:w="80" w:type="dxa"/>
              <w:start w:w="120" w:type="dxa"/>
              <w:end w:w="120" w:type="dxa"/>
            </w:tcMar>
          </w:tcPr>
          <w:p>
            <w:pPr>
              <w:spacing w:before="0" w:after="0" w:line="269" w:lineRule="auto"/>
            </w:pPr>
            <w:r/>
            <w:r>
              <w:rPr>
                <w:rFonts w:ascii="Calibri" w:hAnsi="Calibri"/>
                <w:b w:val="0"/>
                <w:color w:val="1F2933"/>
                <w:sz w:val="19"/>
              </w:rPr>
              <w:t>Node.js HTTP API in server.mjs with /v1 endpoints and /api/health compatibility endpoint. Default local bind is 127.0.0.1:4000.</w:t>
            </w:r>
          </w:p>
        </w:tc>
      </w:tr>
      <w:tr>
        <w:trPr/>
        <w:tc>
          <w:tcPr>
            <w:tcW w:type="dxa" w:w="1800"/>
            <w:vAlign w:val="center"/>
            <w:tcMar>
              <w:top w:w="80" w:type="dxa"/>
              <w:bottom w:w="80" w:type="dxa"/>
              <w:start w:w="120" w:type="dxa"/>
              <w:end w:w="120" w:type="dxa"/>
            </w:tcMar>
          </w:tcPr>
          <w:p>
            <w:pPr>
              <w:spacing w:before="0" w:after="0" w:line="269" w:lineRule="auto"/>
            </w:pPr>
            <w:r/>
            <w:r>
              <w:rPr>
                <w:rFonts w:ascii="Calibri" w:hAnsi="Calibri"/>
                <w:b w:val="0"/>
                <w:color w:val="1F2933"/>
                <w:sz w:val="19"/>
              </w:rPr>
              <w:t>Development persistence</w:t>
            </w:r>
          </w:p>
        </w:tc>
        <w:tc>
          <w:tcPr>
            <w:tcW w:type="dxa" w:w="7560"/>
            <w:vAlign w:val="center"/>
            <w:tcMar>
              <w:top w:w="80" w:type="dxa"/>
              <w:bottom w:w="80" w:type="dxa"/>
              <w:start w:w="120" w:type="dxa"/>
              <w:end w:w="120" w:type="dxa"/>
            </w:tcMar>
          </w:tcPr>
          <w:p>
            <w:pPr>
              <w:spacing w:before="0" w:after="0" w:line="269" w:lineRule="auto"/>
            </w:pPr>
            <w:r/>
            <w:r>
              <w:rPr>
                <w:rFonts w:ascii="Calibri" w:hAnsi="Calibri"/>
                <w:b w:val="0"/>
                <w:color w:val="1F2933"/>
                <w:sz w:val="19"/>
              </w:rPr>
              <w:t>AES-256-GCM encrypted state file at data/gcon-local-store.enc; uploaded document bytes under data/documents/.</w:t>
            </w:r>
          </w:p>
        </w:tc>
      </w:tr>
      <w:tr>
        <w:trPr/>
        <w:tc>
          <w:tcPr>
            <w:tcW w:type="dxa" w:w="1800"/>
            <w:vAlign w:val="center"/>
            <w:tcMar>
              <w:top w:w="80" w:type="dxa"/>
              <w:bottom w:w="80" w:type="dxa"/>
              <w:start w:w="120" w:type="dxa"/>
              <w:end w:w="120" w:type="dxa"/>
            </w:tcMar>
          </w:tcPr>
          <w:p>
            <w:pPr>
              <w:spacing w:before="0" w:after="0" w:line="269" w:lineRule="auto"/>
            </w:pPr>
            <w:r/>
            <w:r>
              <w:rPr>
                <w:rFonts w:ascii="Calibri" w:hAnsi="Calibri"/>
                <w:b w:val="0"/>
                <w:color w:val="1F2933"/>
                <w:sz w:val="19"/>
              </w:rPr>
              <w:t>Production persistence</w:t>
            </w:r>
          </w:p>
        </w:tc>
        <w:tc>
          <w:tcPr>
            <w:tcW w:type="dxa" w:w="7560"/>
            <w:vAlign w:val="center"/>
            <w:tcMar>
              <w:top w:w="80" w:type="dxa"/>
              <w:bottom w:w="80" w:type="dxa"/>
              <w:start w:w="120" w:type="dxa"/>
              <w:end w:w="120" w:type="dxa"/>
            </w:tcMar>
          </w:tcPr>
          <w:p>
            <w:pPr>
              <w:spacing w:before="0" w:after="0" w:line="269" w:lineRule="auto"/>
            </w:pPr>
            <w:r/>
            <w:r>
              <w:rPr>
                <w:rFonts w:ascii="Calibri" w:hAnsi="Calibri"/>
                <w:b w:val="0"/>
                <w:color w:val="1F2933"/>
                <w:sz w:val="19"/>
              </w:rPr>
              <w:t>Must be bound to PostgreSQL and private Blob/object storage through approved adapters before go-live.</w:t>
            </w:r>
          </w:p>
        </w:tc>
      </w:tr>
      <w:tr>
        <w:trPr/>
        <w:tc>
          <w:tcPr>
            <w:tcW w:type="dxa" w:w="1800"/>
            <w:vAlign w:val="center"/>
            <w:tcMar>
              <w:top w:w="80" w:type="dxa"/>
              <w:bottom w:w="80" w:type="dxa"/>
              <w:start w:w="120" w:type="dxa"/>
              <w:end w:w="120" w:type="dxa"/>
            </w:tcMar>
          </w:tcPr>
          <w:p>
            <w:pPr>
              <w:spacing w:before="0" w:after="0" w:line="269" w:lineRule="auto"/>
            </w:pPr>
            <w:r/>
            <w:r>
              <w:rPr>
                <w:rFonts w:ascii="Calibri" w:hAnsi="Calibri"/>
                <w:b w:val="0"/>
                <w:color w:val="1F2933"/>
                <w:sz w:val="19"/>
              </w:rPr>
              <w:t>Authentication</w:t>
            </w:r>
          </w:p>
        </w:tc>
        <w:tc>
          <w:tcPr>
            <w:tcW w:type="dxa" w:w="7560"/>
            <w:vAlign w:val="center"/>
            <w:tcMar>
              <w:top w:w="80" w:type="dxa"/>
              <w:bottom w:w="80" w:type="dxa"/>
              <w:start w:w="120" w:type="dxa"/>
              <w:end w:w="120" w:type="dxa"/>
            </w:tcMar>
          </w:tcPr>
          <w:p>
            <w:pPr>
              <w:spacing w:before="0" w:after="0" w:line="269" w:lineRule="auto"/>
            </w:pPr>
            <w:r/>
            <w:r>
              <w:rPr>
                <w:rFonts w:ascii="Calibri" w:hAnsi="Calibri"/>
                <w:b w:val="0"/>
                <w:color w:val="1F2933"/>
                <w:sz w:val="19"/>
              </w:rPr>
              <w:t>Local email/password and demo role sessions exist for the MVP. Production must use an approved external identity provider and JWT validation adapter.</w:t>
            </w:r>
          </w:p>
        </w:tc>
      </w:tr>
      <w:tr>
        <w:trPr/>
        <w:tc>
          <w:tcPr>
            <w:tcW w:type="dxa" w:w="1800"/>
            <w:vAlign w:val="center"/>
            <w:tcMar>
              <w:top w:w="80" w:type="dxa"/>
              <w:bottom w:w="80" w:type="dxa"/>
              <w:start w:w="120" w:type="dxa"/>
              <w:end w:w="120" w:type="dxa"/>
            </w:tcMar>
          </w:tcPr>
          <w:p>
            <w:pPr>
              <w:spacing w:before="0" w:after="0" w:line="269" w:lineRule="auto"/>
            </w:pPr>
            <w:r/>
            <w:r>
              <w:rPr>
                <w:rFonts w:ascii="Calibri" w:hAnsi="Calibri"/>
                <w:b w:val="0"/>
                <w:color w:val="1F2933"/>
                <w:sz w:val="19"/>
              </w:rPr>
              <w:t>Documents</w:t>
            </w:r>
          </w:p>
        </w:tc>
        <w:tc>
          <w:tcPr>
            <w:tcW w:type="dxa" w:w="7560"/>
            <w:vAlign w:val="center"/>
            <w:tcMar>
              <w:top w:w="80" w:type="dxa"/>
              <w:bottom w:w="80" w:type="dxa"/>
              <w:start w:w="120" w:type="dxa"/>
              <w:end w:w="120" w:type="dxa"/>
            </w:tcMar>
          </w:tcPr>
          <w:p>
            <w:pPr>
              <w:spacing w:before="0" w:after="0" w:line="269" w:lineRule="auto"/>
            </w:pPr>
            <w:r/>
            <w:r>
              <w:rPr>
                <w:rFonts w:ascii="Calibri" w:hAnsi="Calibri"/>
                <w:b w:val="0"/>
                <w:color w:val="1F2933"/>
                <w:sz w:val="19"/>
              </w:rPr>
              <w:t>ID and statement/certificate evidence use upload-intent, content-upload and completion steps, followed by staff document review.</w:t>
            </w:r>
          </w:p>
        </w:tc>
      </w:tr>
      <w:tr>
        <w:trPr/>
        <w:tc>
          <w:tcPr>
            <w:tcW w:type="dxa" w:w="1800"/>
            <w:vAlign w:val="center"/>
            <w:tcMar>
              <w:top w:w="80" w:type="dxa"/>
              <w:bottom w:w="80" w:type="dxa"/>
              <w:start w:w="120" w:type="dxa"/>
              <w:end w:w="120" w:type="dxa"/>
            </w:tcMar>
          </w:tcPr>
          <w:p>
            <w:pPr>
              <w:spacing w:before="0" w:after="0" w:line="269" w:lineRule="auto"/>
            </w:pPr>
            <w:r/>
            <w:r>
              <w:rPr>
                <w:rFonts w:ascii="Calibri" w:hAnsi="Calibri"/>
                <w:b w:val="0"/>
                <w:color w:val="1F2933"/>
                <w:sz w:val="19"/>
              </w:rPr>
              <w:t>Auditability</w:t>
            </w:r>
          </w:p>
        </w:tc>
        <w:tc>
          <w:tcPr>
            <w:tcW w:type="dxa" w:w="7560"/>
            <w:vAlign w:val="center"/>
            <w:tcMar>
              <w:top w:w="80" w:type="dxa"/>
              <w:bottom w:w="80" w:type="dxa"/>
              <w:start w:w="120" w:type="dxa"/>
              <w:end w:w="120" w:type="dxa"/>
            </w:tcMar>
          </w:tcPr>
          <w:p>
            <w:pPr>
              <w:spacing w:before="0" w:after="0" w:line="269" w:lineRule="auto"/>
            </w:pPr>
            <w:r/>
            <w:r>
              <w:rPr>
                <w:rFonts w:ascii="Calibri" w:hAnsi="Calibri"/>
                <w:b w:val="0"/>
                <w:color w:val="1F2933"/>
                <w:sz w:val="19"/>
              </w:rPr>
              <w:t>State-changing actions are designed to create audit events and apply role, organisation, release and workflow-state checks.</w:t>
            </w:r>
          </w:p>
        </w:tc>
      </w:tr>
      <w:tr>
        <w:trPr/>
        <w:tc>
          <w:tcPr>
            <w:tcW w:type="dxa" w:w="1800"/>
            <w:vAlign w:val="center"/>
            <w:tcMar>
              <w:top w:w="80" w:type="dxa"/>
              <w:bottom w:w="80" w:type="dxa"/>
              <w:start w:w="120" w:type="dxa"/>
              <w:end w:w="120" w:type="dxa"/>
            </w:tcMar>
          </w:tcPr>
          <w:p>
            <w:pPr>
              <w:spacing w:before="0" w:after="0" w:line="269" w:lineRule="auto"/>
            </w:pPr>
            <w:r/>
            <w:r>
              <w:rPr>
                <w:rFonts w:ascii="Calibri" w:hAnsi="Calibri"/>
                <w:b w:val="0"/>
                <w:color w:val="1F2933"/>
                <w:sz w:val="19"/>
              </w:rPr>
              <w:t>Hosted demo</w:t>
            </w:r>
          </w:p>
        </w:tc>
        <w:tc>
          <w:tcPr>
            <w:tcW w:type="dxa" w:w="7560"/>
            <w:vAlign w:val="center"/>
            <w:tcMar>
              <w:top w:w="80" w:type="dxa"/>
              <w:bottom w:w="80" w:type="dxa"/>
              <w:start w:w="120" w:type="dxa"/>
              <w:end w:w="120" w:type="dxa"/>
            </w:tcMar>
          </w:tcPr>
          <w:p>
            <w:pPr>
              <w:spacing w:before="0" w:after="0" w:line="269" w:lineRule="auto"/>
            </w:pPr>
            <w:r/>
            <w:r>
              <w:rPr>
                <w:rFonts w:ascii="Calibri" w:hAnsi="Calibri"/>
                <w:b w:val="0"/>
                <w:color w:val="1F2933"/>
                <w:sz w:val="19"/>
              </w:rPr>
              <w:t>ChatGPT Sites worker with seeded presentation data and runtime-memory state. Do not use it for real applicant data.</w:t>
            </w:r>
          </w:p>
        </w:tc>
      </w:tr>
    </w:tbl>
    <w:p>
      <w:pPr>
        <w:spacing w:after="20"/>
      </w:pPr>
    </w:p>
    <w:p>
      <w:pPr>
        <w:pStyle w:val="Heading1"/>
        <w:keepNext/>
      </w:pPr>
      <w:r>
        <w:rPr>
          <w:rFonts w:ascii="Calibri" w:hAnsi="Calibri"/>
          <w:b/>
          <w:color w:val="2E74B5"/>
          <w:sz w:val="32"/>
        </w:rPr>
        <w:t>3. Target operating architecture</w:t>
      </w:r>
    </w:p>
    <w:p>
      <w:pPr>
        <w:spacing w:before="0" w:after="120" w:line="300" w:lineRule="auto"/>
      </w:pPr>
      <w:r>
        <w:rPr>
          <w:rFonts w:ascii="Calibri" w:hAnsi="Calibri"/>
          <w:b w:val="0"/>
          <w:i w:val="0"/>
          <w:color w:val="1F2933"/>
          <w:sz w:val="22"/>
        </w:rPr>
        <w:t>The recommended eGov deployment is a two-tier service behind the eGov network edge:</w:t>
      </w:r>
    </w:p>
    <w:p>
      <w:pPr>
        <w:pStyle w:val="ListBullet"/>
        <w:spacing w:before="0" w:after="80" w:line="300" w:lineRule="auto"/>
        <w:ind w:left="540" w:hanging="271"/>
      </w:pPr>
      <w:r>
        <w:rPr>
          <w:rFonts w:ascii="Calibri" w:hAnsi="Calibri"/>
          <w:color w:val="1F2933"/>
          <w:sz w:val="22"/>
        </w:rPr>
        <w:t>TLS-terminating reverse proxy or web application firewall in front of the public intake hostname.</w:t>
      </w:r>
    </w:p>
    <w:p>
      <w:pPr>
        <w:pStyle w:val="ListBullet"/>
        <w:spacing w:before="0" w:after="80" w:line="300" w:lineRule="auto"/>
        <w:ind w:left="540" w:hanging="271"/>
      </w:pPr>
      <w:r>
        <w:rPr>
          <w:rFonts w:ascii="Calibri" w:hAnsi="Calibri"/>
          <w:color w:val="1F2933"/>
          <w:sz w:val="22"/>
        </w:rPr>
        <w:t>Static frontend served from dist/ by the approved web server. Cache immutable assets, but revalidate index.html on release.</w:t>
      </w:r>
    </w:p>
    <w:p>
      <w:pPr>
        <w:pStyle w:val="ListBullet"/>
        <w:spacing w:before="0" w:after="80" w:line="300" w:lineRule="auto"/>
        <w:ind w:left="540" w:hanging="271"/>
      </w:pPr>
      <w:r>
        <w:rPr>
          <w:rFonts w:ascii="Calibri" w:hAnsi="Calibri"/>
          <w:color w:val="1F2933"/>
          <w:sz w:val="22"/>
        </w:rPr>
        <w:t>Node API service on a private application subnet, bound to loopback or a private interface and exposed through the reverse proxy under the same origin /v1 path.</w:t>
      </w:r>
    </w:p>
    <w:p>
      <w:pPr>
        <w:pStyle w:val="ListBullet"/>
        <w:spacing w:before="0" w:after="80" w:line="300" w:lineRule="auto"/>
        <w:ind w:left="540" w:hanging="271"/>
      </w:pPr>
      <w:r>
        <w:rPr>
          <w:rFonts w:ascii="Calibri" w:hAnsi="Calibri"/>
          <w:color w:val="1F2933"/>
          <w:sz w:val="22"/>
        </w:rPr>
        <w:t>PostgreSQL database for transactional application, identity, workflow, communication and audit state.</w:t>
      </w:r>
    </w:p>
    <w:p>
      <w:pPr>
        <w:pStyle w:val="ListBullet"/>
        <w:spacing w:before="0" w:after="80" w:line="300" w:lineRule="auto"/>
        <w:ind w:left="540" w:hanging="271"/>
      </w:pPr>
      <w:r>
        <w:rPr>
          <w:rFonts w:ascii="Calibri" w:hAnsi="Calibri"/>
          <w:color w:val="1F2933"/>
          <w:sz w:val="22"/>
        </w:rPr>
        <w:t>Private object storage for applicant documents, with malware scanning, encryption, retention and access logging.</w:t>
      </w:r>
    </w:p>
    <w:p>
      <w:pPr>
        <w:pStyle w:val="ListBullet"/>
        <w:spacing w:before="0" w:after="80" w:line="300" w:lineRule="auto"/>
        <w:ind w:left="540" w:hanging="271"/>
      </w:pPr>
      <w:r>
        <w:rPr>
          <w:rFonts w:ascii="Calibri" w:hAnsi="Calibri"/>
          <w:color w:val="1F2933"/>
          <w:sz w:val="22"/>
        </w:rPr>
        <w:t>External identity provider and JWT validation adapter for learners, staff and employer users, with organisation-scoped claims.</w:t>
      </w:r>
    </w:p>
    <w:p>
      <w:pPr>
        <w:pStyle w:val="ListBullet"/>
        <w:spacing w:before="0" w:after="80" w:line="300" w:lineRule="auto"/>
        <w:ind w:left="540" w:hanging="271"/>
      </w:pPr>
      <w:r>
        <w:rPr>
          <w:rFonts w:ascii="Calibri" w:hAnsi="Calibri"/>
          <w:color w:val="1F2933"/>
          <w:sz w:val="22"/>
        </w:rPr>
        <w:t>Central logs, metrics, alerting, backup and recovery controls managed under eGov operational policy.</w:t>
      </w:r>
    </w:p>
    <w:tbl>
      <w:tblPr>
        <w:tblStyle w:val="TableGrid"/>
        <w:tblW w:type="dxa" w:w="9360"/>
        <w:jc w:val="left"/>
        <w:tblLayout w:type="fixed"/>
        <w:tblLook w:firstColumn="1" w:firstRow="1" w:lastColumn="0" w:lastRow="0" w:noHBand="0" w:noVBand="1" w:val="04A0"/>
        <w:tblInd w:type="dxa" w:w="120"/>
        <w:tblBorders>
          <w:top w:val="single" w:sz="4" w:space="0" w:color="D1D9E2"/>
          <w:left w:val="single" w:sz="4" w:space="0" w:color="D1D9E2"/>
          <w:bottom w:val="single" w:sz="4" w:space="0" w:color="D1D9E2"/>
          <w:right w:val="single" w:sz="4" w:space="0" w:color="D1D9E2"/>
          <w:insideH w:val="single" w:sz="4" w:space="0" w:color="D1D9E2"/>
          <w:insideV w:val="single" w:sz="4" w:space="0" w:color="D1D9E2"/>
        </w:tblBorders>
      </w:tblPr>
      <w:tblGrid>
        <w:gridCol w:w="9360"/>
      </w:tblGrid>
      <w:tr>
        <w:trPr>
          <w:tblHeader/>
        </w:trPr>
        <w:tc>
          <w:tcPr>
            <w:tcW w:type="dxa" w:w="9360"/>
            <w:shd w:fill="FDECEC" w:val="clear"/>
            <w:tcMar>
              <w:top w:w="80" w:type="dxa"/>
              <w:bottom w:w="80" w:type="dxa"/>
              <w:start w:w="120" w:type="dxa"/>
              <w:end w:w="120" w:type="dxa"/>
            </w:tcMar>
          </w:tcPr>
          <w:p>
            <w:pPr>
              <w:spacing w:before="0" w:after="0" w:line="276" w:lineRule="auto"/>
            </w:pPr>
            <w:r/>
            <w:r>
              <w:rPr>
                <w:rFonts w:ascii="Calibri" w:hAnsi="Calibri"/>
                <w:b/>
                <w:color w:val="9B1C1C"/>
                <w:sz w:val="21"/>
              </w:rPr>
              <w:t xml:space="preserve">Do not copy this demo architecture into production: </w:t>
            </w:r>
            <w:r>
              <w:rPr>
                <w:rFonts w:ascii="Calibri" w:hAnsi="Calibri"/>
                <w:color w:val="1F2933"/>
                <w:sz w:val="21"/>
              </w:rPr>
              <w:t>The local encrypted file, demo bearer tokens, seeded presentation records and hosted worker state are useful for testing only. They must not be treated as a production data or identity solution.</w:t>
            </w:r>
          </w:p>
        </w:tc>
      </w:tr>
    </w:tbl>
    <w:p>
      <w:pPr>
        <w:spacing w:after="20"/>
      </w:pPr>
    </w:p>
    <w:p>
      <w:pPr>
        <w:pStyle w:val="Heading1"/>
        <w:keepNext/>
      </w:pPr>
      <w:r>
        <w:rPr>
          <w:rFonts w:ascii="Calibri" w:hAnsi="Calibri"/>
          <w:b/>
          <w:color w:val="2E74B5"/>
          <w:sz w:val="32"/>
        </w:rPr>
        <w:t>4. Prerequisites and eGov-owned decisions</w:t>
      </w:r>
    </w:p>
    <w:tbl>
      <w:tblPr>
        <w:tblStyle w:val="TableGrid"/>
        <w:tblW w:type="dxa" w:w="9360"/>
        <w:jc w:val="left"/>
        <w:tblLayout w:type="fixed"/>
        <w:tblLook w:firstColumn="1" w:firstRow="1" w:lastColumn="0" w:lastRow="0" w:noHBand="0" w:noVBand="1" w:val="04A0"/>
        <w:tblInd w:type="dxa" w:w="120"/>
        <w:tblBorders>
          <w:top w:val="single" w:sz="4" w:space="0" w:color="C8D1DB"/>
          <w:left w:val="single" w:sz="4" w:space="0" w:color="C8D1DB"/>
          <w:bottom w:val="single" w:sz="4" w:space="0" w:color="C8D1DB"/>
          <w:right w:val="single" w:sz="4" w:space="0" w:color="C8D1DB"/>
          <w:insideH w:val="single" w:sz="4" w:space="0" w:color="C8D1DB"/>
          <w:insideV w:val="single" w:sz="4" w:space="0" w:color="C8D1DB"/>
        </w:tblBorders>
      </w:tblPr>
      <w:tblGrid>
        <w:gridCol w:w="2300"/>
        <w:gridCol w:w="7060"/>
      </w:tblGrid>
      <w:tr>
        <w:trPr>
          <w:tblHeader/>
        </w:trPr>
        <w:tc>
          <w:tcPr>
            <w:tcW w:type="dxa" w:w="2300"/>
            <w:vAlign w:val="center"/>
            <w:shd w:fill="E8EEF5" w:val="clear"/>
            <w:tcMar>
              <w:top w:w="80" w:type="dxa"/>
              <w:bottom w:w="80" w:type="dxa"/>
              <w:start w:w="120" w:type="dxa"/>
              <w:end w:w="120" w:type="dxa"/>
            </w:tcMar>
          </w:tcPr>
          <w:p>
            <w:pPr>
              <w:spacing w:before="0" w:after="0" w:line="269" w:lineRule="auto"/>
            </w:pPr>
            <w:r/>
            <w:r>
              <w:rPr>
                <w:rFonts w:ascii="Calibri" w:hAnsi="Calibri"/>
                <w:b/>
                <w:color w:val="0B2545"/>
                <w:sz w:val="19"/>
              </w:rPr>
              <w:t>Requirement</w:t>
            </w:r>
          </w:p>
        </w:tc>
        <w:tc>
          <w:tcPr>
            <w:tcW w:type="dxa" w:w="7060"/>
            <w:vAlign w:val="center"/>
            <w:shd w:fill="E8EEF5" w:val="clear"/>
            <w:tcMar>
              <w:top w:w="80" w:type="dxa"/>
              <w:bottom w:w="80" w:type="dxa"/>
              <w:start w:w="120" w:type="dxa"/>
              <w:end w:w="120" w:type="dxa"/>
            </w:tcMar>
          </w:tcPr>
          <w:p>
            <w:pPr>
              <w:spacing w:before="0" w:after="0" w:line="269" w:lineRule="auto"/>
            </w:pPr>
            <w:r/>
            <w:r>
              <w:rPr>
                <w:rFonts w:ascii="Calibri" w:hAnsi="Calibri"/>
                <w:b/>
                <w:color w:val="0B2545"/>
                <w:sz w:val="19"/>
              </w:rPr>
              <w:t>eGov must provide or approve</w:t>
            </w:r>
          </w:p>
        </w:tc>
      </w:tr>
      <w:tr>
        <w:trPr/>
        <w:tc>
          <w:tcPr>
            <w:tcW w:type="dxa" w:w="2300"/>
            <w:vAlign w:val="center"/>
            <w:tcMar>
              <w:top w:w="80" w:type="dxa"/>
              <w:bottom w:w="80" w:type="dxa"/>
              <w:start w:w="120" w:type="dxa"/>
              <w:end w:w="120" w:type="dxa"/>
            </w:tcMar>
          </w:tcPr>
          <w:p>
            <w:pPr>
              <w:spacing w:before="0" w:after="0" w:line="269" w:lineRule="auto"/>
            </w:pPr>
            <w:r/>
            <w:r>
              <w:rPr>
                <w:rFonts w:ascii="Calibri" w:hAnsi="Calibri"/>
                <w:b w:val="0"/>
                <w:color w:val="1F2933"/>
                <w:sz w:val="19"/>
              </w:rPr>
              <w:t>Runtime</w:t>
            </w:r>
          </w:p>
        </w:tc>
        <w:tc>
          <w:tcPr>
            <w:tcW w:type="dxa" w:w="7060"/>
            <w:vAlign w:val="center"/>
            <w:tcMar>
              <w:top w:w="80" w:type="dxa"/>
              <w:bottom w:w="80" w:type="dxa"/>
              <w:start w:w="120" w:type="dxa"/>
              <w:end w:w="120" w:type="dxa"/>
            </w:tcMar>
          </w:tcPr>
          <w:p>
            <w:pPr>
              <w:spacing w:before="0" w:after="0" w:line="269" w:lineRule="auto"/>
            </w:pPr>
            <w:r/>
            <w:r>
              <w:rPr>
                <w:rFonts w:ascii="Calibri" w:hAnsi="Calibri"/>
                <w:b w:val="0"/>
                <w:color w:val="1F2933"/>
                <w:sz w:val="19"/>
              </w:rPr>
              <w:t>Supported Node.js LTS version, package installation policy, service account, process supervisor and patching schedule.</w:t>
            </w:r>
          </w:p>
        </w:tc>
      </w:tr>
      <w:tr>
        <w:trPr/>
        <w:tc>
          <w:tcPr>
            <w:tcW w:type="dxa" w:w="2300"/>
            <w:vAlign w:val="center"/>
            <w:tcMar>
              <w:top w:w="80" w:type="dxa"/>
              <w:bottom w:w="80" w:type="dxa"/>
              <w:start w:w="120" w:type="dxa"/>
              <w:end w:w="120" w:type="dxa"/>
            </w:tcMar>
          </w:tcPr>
          <w:p>
            <w:pPr>
              <w:spacing w:before="0" w:after="0" w:line="269" w:lineRule="auto"/>
            </w:pPr>
            <w:r/>
            <w:r>
              <w:rPr>
                <w:rFonts w:ascii="Calibri" w:hAnsi="Calibri"/>
                <w:b w:val="0"/>
                <w:color w:val="1F2933"/>
                <w:sz w:val="19"/>
              </w:rPr>
              <w:t>Web server</w:t>
            </w:r>
          </w:p>
        </w:tc>
        <w:tc>
          <w:tcPr>
            <w:tcW w:type="dxa" w:w="7060"/>
            <w:vAlign w:val="center"/>
            <w:tcMar>
              <w:top w:w="80" w:type="dxa"/>
              <w:bottom w:w="80" w:type="dxa"/>
              <w:start w:w="120" w:type="dxa"/>
              <w:end w:w="120" w:type="dxa"/>
            </w:tcMar>
          </w:tcPr>
          <w:p>
            <w:pPr>
              <w:spacing w:before="0" w:after="0" w:line="269" w:lineRule="auto"/>
            </w:pPr>
            <w:r/>
            <w:r>
              <w:rPr>
                <w:rFonts w:ascii="Calibri" w:hAnsi="Calibri"/>
                <w:b w:val="0"/>
                <w:color w:val="1F2933"/>
                <w:sz w:val="19"/>
              </w:rPr>
              <w:t>Approved Nginx, Apache, IIS or equivalent configuration for dist/ and reverse proxying /v1 to the API.</w:t>
            </w:r>
          </w:p>
        </w:tc>
      </w:tr>
      <w:tr>
        <w:trPr/>
        <w:tc>
          <w:tcPr>
            <w:tcW w:type="dxa" w:w="2300"/>
            <w:vAlign w:val="center"/>
            <w:tcMar>
              <w:top w:w="80" w:type="dxa"/>
              <w:bottom w:w="80" w:type="dxa"/>
              <w:start w:w="120" w:type="dxa"/>
              <w:end w:w="120" w:type="dxa"/>
            </w:tcMar>
          </w:tcPr>
          <w:p>
            <w:pPr>
              <w:spacing w:before="0" w:after="0" w:line="269" w:lineRule="auto"/>
            </w:pPr>
            <w:r/>
            <w:r>
              <w:rPr>
                <w:rFonts w:ascii="Calibri" w:hAnsi="Calibri"/>
                <w:b w:val="0"/>
                <w:color w:val="1F2933"/>
                <w:sz w:val="19"/>
              </w:rPr>
              <w:t>Database</w:t>
            </w:r>
          </w:p>
        </w:tc>
        <w:tc>
          <w:tcPr>
            <w:tcW w:type="dxa" w:w="7060"/>
            <w:vAlign w:val="center"/>
            <w:tcMar>
              <w:top w:w="80" w:type="dxa"/>
              <w:bottom w:w="80" w:type="dxa"/>
              <w:start w:w="120" w:type="dxa"/>
              <w:end w:w="120" w:type="dxa"/>
            </w:tcMar>
          </w:tcPr>
          <w:p>
            <w:pPr>
              <w:spacing w:before="0" w:after="0" w:line="269" w:lineRule="auto"/>
            </w:pPr>
            <w:r/>
            <w:r>
              <w:rPr>
                <w:rFonts w:ascii="Calibri" w:hAnsi="Calibri"/>
                <w:b w:val="0"/>
                <w:color w:val="1F2933"/>
                <w:sz w:val="19"/>
              </w:rPr>
              <w:t>PostgreSQL instance, database/schema owner, migrations strategy, connection secret rotation and backup schedule.</w:t>
            </w:r>
          </w:p>
        </w:tc>
      </w:tr>
      <w:tr>
        <w:trPr/>
        <w:tc>
          <w:tcPr>
            <w:tcW w:type="dxa" w:w="2300"/>
            <w:vAlign w:val="center"/>
            <w:tcMar>
              <w:top w:w="80" w:type="dxa"/>
              <w:bottom w:w="80" w:type="dxa"/>
              <w:start w:w="120" w:type="dxa"/>
              <w:end w:w="120" w:type="dxa"/>
            </w:tcMar>
          </w:tcPr>
          <w:p>
            <w:pPr>
              <w:spacing w:before="0" w:after="0" w:line="269" w:lineRule="auto"/>
            </w:pPr>
            <w:r/>
            <w:r>
              <w:rPr>
                <w:rFonts w:ascii="Calibri" w:hAnsi="Calibri"/>
                <w:b w:val="0"/>
                <w:color w:val="1F2933"/>
                <w:sz w:val="19"/>
              </w:rPr>
              <w:t>Object storage</w:t>
            </w:r>
          </w:p>
        </w:tc>
        <w:tc>
          <w:tcPr>
            <w:tcW w:type="dxa" w:w="7060"/>
            <w:vAlign w:val="center"/>
            <w:tcMar>
              <w:top w:w="80" w:type="dxa"/>
              <w:bottom w:w="80" w:type="dxa"/>
              <w:start w:w="120" w:type="dxa"/>
              <w:end w:w="120" w:type="dxa"/>
            </w:tcMar>
          </w:tcPr>
          <w:p>
            <w:pPr>
              <w:spacing w:before="0" w:after="0" w:line="269" w:lineRule="auto"/>
            </w:pPr>
            <w:r/>
            <w:r>
              <w:rPr>
                <w:rFonts w:ascii="Calibri" w:hAnsi="Calibri"/>
                <w:b w:val="0"/>
                <w:color w:val="1F2933"/>
                <w:sz w:val="19"/>
              </w:rPr>
              <w:t>Private Blob/object-storage container, server-side encryption, lifecycle policy, malware-scan quarantine and access logs.</w:t>
            </w:r>
          </w:p>
        </w:tc>
      </w:tr>
      <w:tr>
        <w:trPr/>
        <w:tc>
          <w:tcPr>
            <w:tcW w:type="dxa" w:w="2300"/>
            <w:vAlign w:val="center"/>
            <w:tcMar>
              <w:top w:w="80" w:type="dxa"/>
              <w:bottom w:w="80" w:type="dxa"/>
              <w:start w:w="120" w:type="dxa"/>
              <w:end w:w="120" w:type="dxa"/>
            </w:tcMar>
          </w:tcPr>
          <w:p>
            <w:pPr>
              <w:spacing w:before="0" w:after="0" w:line="269" w:lineRule="auto"/>
            </w:pPr>
            <w:r/>
            <w:r>
              <w:rPr>
                <w:rFonts w:ascii="Calibri" w:hAnsi="Calibri"/>
                <w:b w:val="0"/>
                <w:color w:val="1F2933"/>
                <w:sz w:val="19"/>
              </w:rPr>
              <w:t>Secrets</w:t>
            </w:r>
          </w:p>
        </w:tc>
        <w:tc>
          <w:tcPr>
            <w:tcW w:type="dxa" w:w="7060"/>
            <w:vAlign w:val="center"/>
            <w:tcMar>
              <w:top w:w="80" w:type="dxa"/>
              <w:bottom w:w="80" w:type="dxa"/>
              <w:start w:w="120" w:type="dxa"/>
              <w:end w:w="120" w:type="dxa"/>
            </w:tcMar>
          </w:tcPr>
          <w:p>
            <w:pPr>
              <w:spacing w:before="0" w:after="0" w:line="269" w:lineRule="auto"/>
            </w:pPr>
            <w:r/>
            <w:r>
              <w:rPr>
                <w:rFonts w:ascii="Calibri" w:hAnsi="Calibri"/>
                <w:b w:val="0"/>
                <w:color w:val="1F2933"/>
                <w:sz w:val="19"/>
              </w:rPr>
              <w:t>Key Vault or approved secret manager for database, storage, JWT validation and encryption secrets.</w:t>
            </w:r>
          </w:p>
        </w:tc>
      </w:tr>
      <w:tr>
        <w:trPr/>
        <w:tc>
          <w:tcPr>
            <w:tcW w:type="dxa" w:w="2300"/>
            <w:vAlign w:val="center"/>
            <w:tcMar>
              <w:top w:w="80" w:type="dxa"/>
              <w:bottom w:w="80" w:type="dxa"/>
              <w:start w:w="120" w:type="dxa"/>
              <w:end w:w="120" w:type="dxa"/>
            </w:tcMar>
          </w:tcPr>
          <w:p>
            <w:pPr>
              <w:spacing w:before="0" w:after="0" w:line="269" w:lineRule="auto"/>
            </w:pPr>
            <w:r/>
            <w:r>
              <w:rPr>
                <w:rFonts w:ascii="Calibri" w:hAnsi="Calibri"/>
                <w:b w:val="0"/>
                <w:color w:val="1F2933"/>
                <w:sz w:val="19"/>
              </w:rPr>
              <w:t>Identity</w:t>
            </w:r>
          </w:p>
        </w:tc>
        <w:tc>
          <w:tcPr>
            <w:tcW w:type="dxa" w:w="7060"/>
            <w:vAlign w:val="center"/>
            <w:tcMar>
              <w:top w:w="80" w:type="dxa"/>
              <w:bottom w:w="80" w:type="dxa"/>
              <w:start w:w="120" w:type="dxa"/>
              <w:end w:w="120" w:type="dxa"/>
            </w:tcMar>
          </w:tcPr>
          <w:p>
            <w:pPr>
              <w:spacing w:before="0" w:after="0" w:line="269" w:lineRule="auto"/>
            </w:pPr>
            <w:r/>
            <w:r>
              <w:rPr>
                <w:rFonts w:ascii="Calibri" w:hAnsi="Calibri"/>
                <w:b w:val="0"/>
                <w:color w:val="1F2933"/>
                <w:sz w:val="19"/>
              </w:rPr>
              <w:t>External identity provider, MFA policy for staff/employers, organisation memberships, JWT issuer/audience and key rotation.</w:t>
            </w:r>
          </w:p>
        </w:tc>
      </w:tr>
      <w:tr>
        <w:trPr/>
        <w:tc>
          <w:tcPr>
            <w:tcW w:type="dxa" w:w="2300"/>
            <w:vAlign w:val="center"/>
            <w:tcMar>
              <w:top w:w="80" w:type="dxa"/>
              <w:bottom w:w="80" w:type="dxa"/>
              <w:start w:w="120" w:type="dxa"/>
              <w:end w:w="120" w:type="dxa"/>
            </w:tcMar>
          </w:tcPr>
          <w:p>
            <w:pPr>
              <w:spacing w:before="0" w:after="0" w:line="269" w:lineRule="auto"/>
            </w:pPr>
            <w:r/>
            <w:r>
              <w:rPr>
                <w:rFonts w:ascii="Calibri" w:hAnsi="Calibri"/>
                <w:b w:val="0"/>
                <w:color w:val="1F2933"/>
                <w:sz w:val="19"/>
              </w:rPr>
              <w:t>Email/SMS</w:t>
            </w:r>
          </w:p>
        </w:tc>
        <w:tc>
          <w:tcPr>
            <w:tcW w:type="dxa" w:w="7060"/>
            <w:vAlign w:val="center"/>
            <w:tcMar>
              <w:top w:w="80" w:type="dxa"/>
              <w:bottom w:w="80" w:type="dxa"/>
              <w:start w:w="120" w:type="dxa"/>
              <w:end w:w="120" w:type="dxa"/>
            </w:tcMar>
          </w:tcPr>
          <w:p>
            <w:pPr>
              <w:spacing w:before="0" w:after="0" w:line="269" w:lineRule="auto"/>
            </w:pPr>
            <w:r/>
            <w:r>
              <w:rPr>
                <w:rFonts w:ascii="Calibri" w:hAnsi="Calibri"/>
                <w:b w:val="0"/>
                <w:color w:val="1F2933"/>
                <w:sz w:val="19"/>
              </w:rPr>
              <w:t>Approved notification provider if communications are extended beyond the current in-app notification path.</w:t>
            </w:r>
          </w:p>
        </w:tc>
      </w:tr>
      <w:tr>
        <w:trPr/>
        <w:tc>
          <w:tcPr>
            <w:tcW w:type="dxa" w:w="2300"/>
            <w:vAlign w:val="center"/>
            <w:tcMar>
              <w:top w:w="80" w:type="dxa"/>
              <w:bottom w:w="80" w:type="dxa"/>
              <w:start w:w="120" w:type="dxa"/>
              <w:end w:w="120" w:type="dxa"/>
            </w:tcMar>
          </w:tcPr>
          <w:p>
            <w:pPr>
              <w:spacing w:before="0" w:after="0" w:line="269" w:lineRule="auto"/>
            </w:pPr>
            <w:r/>
            <w:r>
              <w:rPr>
                <w:rFonts w:ascii="Calibri" w:hAnsi="Calibri"/>
                <w:b w:val="0"/>
                <w:color w:val="1F2933"/>
                <w:sz w:val="19"/>
              </w:rPr>
              <w:t>Operations</w:t>
            </w:r>
          </w:p>
        </w:tc>
        <w:tc>
          <w:tcPr>
            <w:tcW w:type="dxa" w:w="7060"/>
            <w:vAlign w:val="center"/>
            <w:tcMar>
              <w:top w:w="80" w:type="dxa"/>
              <w:bottom w:w="80" w:type="dxa"/>
              <w:start w:w="120" w:type="dxa"/>
              <w:end w:w="120" w:type="dxa"/>
            </w:tcMar>
          </w:tcPr>
          <w:p>
            <w:pPr>
              <w:spacing w:before="0" w:after="0" w:line="269" w:lineRule="auto"/>
            </w:pPr>
            <w:r/>
            <w:r>
              <w:rPr>
                <w:rFonts w:ascii="Calibri" w:hAnsi="Calibri"/>
                <w:b w:val="0"/>
                <w:color w:val="1F2933"/>
                <w:sz w:val="19"/>
              </w:rPr>
              <w:t>Monitoring, alert thresholds, on-call ownership, incident process, retention periods and disaster-recovery objectives.</w:t>
            </w:r>
          </w:p>
        </w:tc>
      </w:tr>
      <w:tr>
        <w:trPr/>
        <w:tc>
          <w:tcPr>
            <w:tcW w:type="dxa" w:w="2300"/>
            <w:vAlign w:val="center"/>
            <w:tcMar>
              <w:top w:w="80" w:type="dxa"/>
              <w:bottom w:w="80" w:type="dxa"/>
              <w:start w:w="120" w:type="dxa"/>
              <w:end w:w="120" w:type="dxa"/>
            </w:tcMar>
          </w:tcPr>
          <w:p>
            <w:pPr>
              <w:spacing w:before="0" w:after="0" w:line="269" w:lineRule="auto"/>
            </w:pPr>
            <w:r/>
            <w:r>
              <w:rPr>
                <w:rFonts w:ascii="Calibri" w:hAnsi="Calibri"/>
                <w:b w:val="0"/>
                <w:color w:val="1F2933"/>
                <w:sz w:val="19"/>
              </w:rPr>
              <w:t>Policy</w:t>
            </w:r>
          </w:p>
        </w:tc>
        <w:tc>
          <w:tcPr>
            <w:tcW w:type="dxa" w:w="7060"/>
            <w:vAlign w:val="center"/>
            <w:tcMar>
              <w:top w:w="80" w:type="dxa"/>
              <w:bottom w:w="80" w:type="dxa"/>
              <w:start w:w="120" w:type="dxa"/>
              <w:end w:w="120" w:type="dxa"/>
            </w:tcMar>
          </w:tcPr>
          <w:p>
            <w:pPr>
              <w:spacing w:before="0" w:after="0" w:line="269" w:lineRule="auto"/>
            </w:pPr>
            <w:r/>
            <w:r>
              <w:rPr>
                <w:rFonts w:ascii="Calibri" w:hAnsi="Calibri"/>
                <w:b w:val="0"/>
                <w:color w:val="1F2933"/>
                <w:sz w:val="19"/>
              </w:rPr>
              <w:t>Final eligibility rules, equivalency policy, appeals, retention, POPIA controls, accessibility target and release approval authority.</w:t>
            </w:r>
          </w:p>
        </w:tc>
      </w:tr>
    </w:tbl>
    <w:p>
      <w:pPr>
        <w:spacing w:after="20"/>
      </w:pPr>
    </w:p>
    <w:p>
      <w:pPr>
        <w:pStyle w:val="Heading1"/>
        <w:keepNext/>
      </w:pPr>
      <w:r>
        <w:rPr>
          <w:rFonts w:ascii="Calibri" w:hAnsi="Calibri"/>
          <w:b/>
          <w:color w:val="2E74B5"/>
          <w:sz w:val="32"/>
        </w:rPr>
        <w:t>5. Installation and release procedure</w:t>
      </w:r>
    </w:p>
    <w:p>
      <w:pPr>
        <w:pStyle w:val="Heading2"/>
        <w:keepNext/>
      </w:pPr>
      <w:r>
        <w:rPr>
          <w:rFonts w:ascii="Calibri" w:hAnsi="Calibri"/>
          <w:b/>
          <w:color w:val="2E74B5"/>
          <w:sz w:val="26"/>
        </w:rPr>
        <w:t>5.1 Obtain and verify the release</w:t>
      </w:r>
    </w:p>
    <w:p>
      <w:pPr>
        <w:pStyle w:val="ListNumber"/>
        <w:numPr>
          <w:ilvl w:val="0"/>
          <w:numId w:val="10"/>
        </w:numPr>
        <w:spacing w:before="0" w:after="80" w:line="300" w:lineRule="auto"/>
        <w:ind w:left="540" w:hanging="271"/>
      </w:pPr>
      <w:r>
        <w:rPr>
          <w:rFonts w:ascii="Calibri" w:hAnsi="Calibri"/>
          <w:color w:val="1F2933"/>
          <w:sz w:val="22"/>
        </w:rPr>
        <w:t>Obtain the approved source release from the eGov-controlled repository or release archive. Verify the commit, tag or checksum against the release record.</w:t>
      </w:r>
    </w:p>
    <w:p>
      <w:pPr>
        <w:pStyle w:val="ListNumber"/>
        <w:numPr>
          <w:ilvl w:val="0"/>
          <w:numId w:val="10"/>
        </w:numPr>
        <w:spacing w:before="0" w:after="80" w:line="300" w:lineRule="auto"/>
        <w:ind w:left="540" w:hanging="271"/>
      </w:pPr>
      <w:r>
        <w:rPr>
          <w:rFonts w:ascii="Calibri" w:hAnsi="Calibri"/>
          <w:color w:val="1F2933"/>
          <w:sz w:val="22"/>
        </w:rPr>
        <w:t>Confirm that uploaded applicant documents and local data files are not present in the source archive. The data/ directory is runtime data and must be provisioned separately.</w:t>
      </w:r>
    </w:p>
    <w:p>
      <w:pPr>
        <w:pStyle w:val="ListNumber"/>
        <w:numPr>
          <w:ilvl w:val="0"/>
          <w:numId w:val="10"/>
        </w:numPr>
        <w:spacing w:before="0" w:after="80" w:line="300" w:lineRule="auto"/>
        <w:ind w:left="540" w:hanging="271"/>
      </w:pPr>
      <w:r>
        <w:rPr>
          <w:rFonts w:ascii="Calibri" w:hAnsi="Calibri"/>
          <w:color w:val="1F2933"/>
          <w:sz w:val="22"/>
        </w:rPr>
        <w:t>Review package-lock.json and use npm ci under the approved Node.js LTS runtime. Do not install dependencies into a production server from an unapproved global location.</w:t>
      </w:r>
    </w:p>
    <w:p>
      <w:pPr>
        <w:pStyle w:val="ListNumber"/>
        <w:numPr>
          <w:ilvl w:val="0"/>
          <w:numId w:val="10"/>
        </w:numPr>
        <w:spacing w:before="0" w:after="80" w:line="300" w:lineRule="auto"/>
        <w:ind w:left="540" w:hanging="271"/>
      </w:pPr>
      <w:r>
        <w:rPr>
          <w:rFonts w:ascii="Calibri" w:hAnsi="Calibri"/>
          <w:color w:val="1F2933"/>
          <w:sz w:val="22"/>
        </w:rPr>
        <w:t>Record the release identifier, source checksum, Node.js version, dependency audit result and approver in the eGov change record.</w:t>
      </w:r>
    </w:p>
    <w:p>
      <w:pPr>
        <w:pStyle w:val="Heading2"/>
        <w:keepNext/>
      </w:pPr>
      <w:r>
        <w:rPr>
          <w:rFonts w:ascii="Calibri" w:hAnsi="Calibri"/>
          <w:b/>
          <w:color w:val="2E74B5"/>
          <w:sz w:val="26"/>
        </w:rPr>
        <w:t>5.2 Build the frontend</w:t>
      </w:r>
    </w:p>
    <w:p>
      <w:pPr>
        <w:spacing w:before="0" w:after="120" w:line="300" w:lineRule="auto"/>
      </w:pPr>
      <w:r>
        <w:rPr>
          <w:rFonts w:ascii="Calibri" w:hAnsi="Calibri"/>
          <w:b w:val="0"/>
          <w:i w:val="0"/>
          <w:color w:val="1F2933"/>
          <w:sz w:val="22"/>
        </w:rPr>
        <w:t>From the repository root:</w:t>
      </w:r>
    </w:p>
    <w:tbl>
      <w:tblPr>
        <w:tblStyle w:val="TableGrid"/>
        <w:tblW w:type="dxa" w:w="9360"/>
        <w:jc w:val="left"/>
        <w:tblLayout w:type="fixed"/>
        <w:tblLook w:firstColumn="1" w:firstRow="1" w:lastColumn="0" w:lastRow="0" w:noHBand="0" w:noVBand="1" w:val="04A0"/>
        <w:tblInd w:type="dxa" w:w="120"/>
        <w:tblBorders>
          <w:top w:val="single" w:sz="4" w:space="0" w:color="D1D9E2"/>
          <w:left w:val="single" w:sz="4" w:space="0" w:color="D1D9E2"/>
          <w:bottom w:val="single" w:sz="4" w:space="0" w:color="D1D9E2"/>
          <w:right w:val="single" w:sz="4" w:space="0" w:color="D1D9E2"/>
          <w:insideH w:val="single" w:sz="4" w:space="0" w:color="D1D9E2"/>
          <w:insideV w:val="single" w:sz="4" w:space="0" w:color="D1D9E2"/>
        </w:tblBorders>
      </w:tblPr>
      <w:tblGrid>
        <w:gridCol w:w="9360"/>
      </w:tblGrid>
      <w:tr>
        <w:trPr>
          <w:tblHeader/>
        </w:trPr>
        <w:tc>
          <w:tcPr>
            <w:tcW w:type="dxa" w:w="9360"/>
            <w:shd w:fill="F2F4F7" w:val="clear"/>
            <w:tcMar>
              <w:top w:w="80" w:type="dxa"/>
              <w:bottom w:w="80" w:type="dxa"/>
              <w:start w:w="120" w:type="dxa"/>
              <w:end w:w="120" w:type="dxa"/>
            </w:tcMar>
          </w:tcPr>
          <w:p>
            <w:pPr>
              <w:spacing w:before="0" w:after="0" w:line="276" w:lineRule="auto"/>
            </w:pPr>
            <w:r/>
            <w:r>
              <w:rPr>
                <w:rFonts w:ascii="Calibri" w:hAnsi="Calibri"/>
                <w:b/>
                <w:color w:val="0B2545"/>
                <w:sz w:val="21"/>
              </w:rPr>
              <w:t xml:space="preserve">Build command: </w:t>
            </w:r>
            <w:r>
              <w:rPr>
                <w:rFonts w:ascii="Calibri" w:hAnsi="Calibri"/>
                <w:color w:val="1F2933"/>
                <w:sz w:val="21"/>
              </w:rPr>
              <w:t>npm ci  then  npm run build</w:t>
            </w:r>
          </w:p>
        </w:tc>
      </w:tr>
    </w:tbl>
    <w:p>
      <w:pPr>
        <w:spacing w:after="20"/>
      </w:pPr>
    </w:p>
    <w:p>
      <w:pPr>
        <w:spacing w:before="0" w:after="120" w:line="300" w:lineRule="auto"/>
      </w:pPr>
      <w:r>
        <w:rPr>
          <w:rFonts w:ascii="Calibri" w:hAnsi="Calibri"/>
          <w:b w:val="0"/>
          <w:i w:val="0"/>
          <w:color w:val="1F2933"/>
          <w:sz w:val="22"/>
        </w:rPr>
        <w:t>The build runs Vite and then tools/build-sites-worker.mjs. The static frontend is emitted under dist/. The generated hosted worker under dist/server/ is for the Sites demo and is not a replacement for the eGov Node API service.</w:t>
      </w:r>
    </w:p>
    <w:p>
      <w:pPr>
        <w:pStyle w:val="Heading2"/>
        <w:keepNext/>
      </w:pPr>
      <w:r>
        <w:rPr>
          <w:rFonts w:ascii="Calibri" w:hAnsi="Calibri"/>
          <w:b/>
          <w:color w:val="2E74B5"/>
          <w:sz w:val="26"/>
        </w:rPr>
        <w:t>5.3 Configure the API service</w:t>
      </w:r>
    </w:p>
    <w:tbl>
      <w:tblPr>
        <w:tblStyle w:val="TableGrid"/>
        <w:tblW w:type="dxa" w:w="9360"/>
        <w:jc w:val="left"/>
        <w:tblLayout w:type="fixed"/>
        <w:tblLook w:firstColumn="1" w:firstRow="1" w:lastColumn="0" w:lastRow="0" w:noHBand="0" w:noVBand="1" w:val="04A0"/>
        <w:tblInd w:type="dxa" w:w="120"/>
        <w:tblBorders>
          <w:top w:val="single" w:sz="4" w:space="0" w:color="C8D1DB"/>
          <w:left w:val="single" w:sz="4" w:space="0" w:color="C8D1DB"/>
          <w:bottom w:val="single" w:sz="4" w:space="0" w:color="C8D1DB"/>
          <w:right w:val="single" w:sz="4" w:space="0" w:color="C8D1DB"/>
          <w:insideH w:val="single" w:sz="4" w:space="0" w:color="C8D1DB"/>
          <w:insideV w:val="single" w:sz="4" w:space="0" w:color="C8D1DB"/>
        </w:tblBorders>
      </w:tblPr>
      <w:tblGrid>
        <w:gridCol w:w="2450"/>
        <w:gridCol w:w="3150"/>
        <w:gridCol w:w="3760"/>
      </w:tblGrid>
      <w:tr>
        <w:trPr>
          <w:tblHeader/>
        </w:trPr>
        <w:tc>
          <w:tcPr>
            <w:tcW w:type="dxa" w:w="2450"/>
            <w:vAlign w:val="center"/>
            <w:shd w:fill="E8EEF5" w:val="clear"/>
            <w:tcMar>
              <w:top w:w="80" w:type="dxa"/>
              <w:bottom w:w="80" w:type="dxa"/>
              <w:start w:w="120" w:type="dxa"/>
              <w:end w:w="120" w:type="dxa"/>
            </w:tcMar>
          </w:tcPr>
          <w:p>
            <w:pPr>
              <w:spacing w:before="0" w:after="0" w:line="269" w:lineRule="auto"/>
            </w:pPr>
            <w:r/>
            <w:r>
              <w:rPr>
                <w:rFonts w:ascii="Calibri" w:hAnsi="Calibri"/>
                <w:b/>
                <w:color w:val="0B2545"/>
                <w:sz w:val="19"/>
              </w:rPr>
              <w:t>Variable</w:t>
            </w:r>
          </w:p>
        </w:tc>
        <w:tc>
          <w:tcPr>
            <w:tcW w:type="dxa" w:w="3150"/>
            <w:vAlign w:val="center"/>
            <w:shd w:fill="E8EEF5" w:val="clear"/>
            <w:tcMar>
              <w:top w:w="80" w:type="dxa"/>
              <w:bottom w:w="80" w:type="dxa"/>
              <w:start w:w="120" w:type="dxa"/>
              <w:end w:w="120" w:type="dxa"/>
            </w:tcMar>
          </w:tcPr>
          <w:p>
            <w:pPr>
              <w:spacing w:before="0" w:after="0" w:line="269" w:lineRule="auto"/>
            </w:pPr>
            <w:r/>
            <w:r>
              <w:rPr>
                <w:rFonts w:ascii="Calibri" w:hAnsi="Calibri"/>
                <w:b/>
                <w:color w:val="0B2545"/>
                <w:sz w:val="19"/>
              </w:rPr>
              <w:t>Development default / meaning</w:t>
            </w:r>
          </w:p>
        </w:tc>
        <w:tc>
          <w:tcPr>
            <w:tcW w:type="dxa" w:w="3760"/>
            <w:vAlign w:val="center"/>
            <w:shd w:fill="E8EEF5" w:val="clear"/>
            <w:tcMar>
              <w:top w:w="80" w:type="dxa"/>
              <w:bottom w:w="80" w:type="dxa"/>
              <w:start w:w="120" w:type="dxa"/>
              <w:end w:w="120" w:type="dxa"/>
            </w:tcMar>
          </w:tcPr>
          <w:p>
            <w:pPr>
              <w:spacing w:before="0" w:after="0" w:line="269" w:lineRule="auto"/>
            </w:pPr>
            <w:r/>
            <w:r>
              <w:rPr>
                <w:rFonts w:ascii="Calibri" w:hAnsi="Calibri"/>
                <w:b/>
                <w:color w:val="0B2545"/>
                <w:sz w:val="19"/>
              </w:rPr>
              <w:t>Production handling</w:t>
            </w:r>
          </w:p>
        </w:tc>
      </w:tr>
      <w:tr>
        <w:trPr/>
        <w:tc>
          <w:tcPr>
            <w:tcW w:type="dxa" w:w="2450"/>
            <w:vAlign w:val="center"/>
            <w:tcMar>
              <w:top w:w="80" w:type="dxa"/>
              <w:bottom w:w="80" w:type="dxa"/>
              <w:start w:w="120" w:type="dxa"/>
              <w:end w:w="120" w:type="dxa"/>
            </w:tcMar>
          </w:tcPr>
          <w:p>
            <w:pPr>
              <w:spacing w:before="0" w:after="0" w:line="269" w:lineRule="auto"/>
            </w:pPr>
            <w:r/>
            <w:r>
              <w:rPr>
                <w:rFonts w:ascii="Calibri" w:hAnsi="Calibri"/>
                <w:b w:val="0"/>
                <w:color w:val="1F2933"/>
                <w:sz w:val="19"/>
              </w:rPr>
              <w:t>HOST</w:t>
            </w:r>
          </w:p>
        </w:tc>
        <w:tc>
          <w:tcPr>
            <w:tcW w:type="dxa" w:w="3150"/>
            <w:vAlign w:val="center"/>
            <w:tcMar>
              <w:top w:w="80" w:type="dxa"/>
              <w:bottom w:w="80" w:type="dxa"/>
              <w:start w:w="120" w:type="dxa"/>
              <w:end w:w="120" w:type="dxa"/>
            </w:tcMar>
          </w:tcPr>
          <w:p>
            <w:pPr>
              <w:spacing w:before="0" w:after="0" w:line="269" w:lineRule="auto"/>
            </w:pPr>
            <w:r/>
            <w:r>
              <w:rPr>
                <w:rFonts w:ascii="Calibri" w:hAnsi="Calibri"/>
                <w:b w:val="0"/>
                <w:color w:val="1F2933"/>
                <w:sz w:val="19"/>
              </w:rPr>
              <w:t>127.0.0.1</w:t>
            </w:r>
          </w:p>
        </w:tc>
        <w:tc>
          <w:tcPr>
            <w:tcW w:type="dxa" w:w="3760"/>
            <w:vAlign w:val="center"/>
            <w:tcMar>
              <w:top w:w="80" w:type="dxa"/>
              <w:bottom w:w="80" w:type="dxa"/>
              <w:start w:w="120" w:type="dxa"/>
              <w:end w:w="120" w:type="dxa"/>
            </w:tcMar>
          </w:tcPr>
          <w:p>
            <w:pPr>
              <w:spacing w:before="0" w:after="0" w:line="269" w:lineRule="auto"/>
            </w:pPr>
            <w:r/>
            <w:r>
              <w:rPr>
                <w:rFonts w:ascii="Calibri" w:hAnsi="Calibri"/>
                <w:b w:val="0"/>
                <w:color w:val="1F2933"/>
                <w:sz w:val="19"/>
              </w:rPr>
              <w:t>Bind to loopback or a private interface behind the reverse proxy.</w:t>
            </w:r>
          </w:p>
        </w:tc>
      </w:tr>
      <w:tr>
        <w:trPr/>
        <w:tc>
          <w:tcPr>
            <w:tcW w:type="dxa" w:w="2450"/>
            <w:vAlign w:val="center"/>
            <w:tcMar>
              <w:top w:w="80" w:type="dxa"/>
              <w:bottom w:w="80" w:type="dxa"/>
              <w:start w:w="120" w:type="dxa"/>
              <w:end w:w="120" w:type="dxa"/>
            </w:tcMar>
          </w:tcPr>
          <w:p>
            <w:pPr>
              <w:spacing w:before="0" w:after="0" w:line="269" w:lineRule="auto"/>
            </w:pPr>
            <w:r/>
            <w:r>
              <w:rPr>
                <w:rFonts w:ascii="Calibri" w:hAnsi="Calibri"/>
                <w:b w:val="0"/>
                <w:color w:val="1F2933"/>
                <w:sz w:val="19"/>
              </w:rPr>
              <w:t>PORT</w:t>
            </w:r>
          </w:p>
        </w:tc>
        <w:tc>
          <w:tcPr>
            <w:tcW w:type="dxa" w:w="3150"/>
            <w:vAlign w:val="center"/>
            <w:tcMar>
              <w:top w:w="80" w:type="dxa"/>
              <w:bottom w:w="80" w:type="dxa"/>
              <w:start w:w="120" w:type="dxa"/>
              <w:end w:w="120" w:type="dxa"/>
            </w:tcMar>
          </w:tcPr>
          <w:p>
            <w:pPr>
              <w:spacing w:before="0" w:after="0" w:line="269" w:lineRule="auto"/>
            </w:pPr>
            <w:r/>
            <w:r>
              <w:rPr>
                <w:rFonts w:ascii="Calibri" w:hAnsi="Calibri"/>
                <w:b w:val="0"/>
                <w:color w:val="1F2933"/>
                <w:sz w:val="19"/>
              </w:rPr>
              <w:t>4000</w:t>
            </w:r>
          </w:p>
        </w:tc>
        <w:tc>
          <w:tcPr>
            <w:tcW w:type="dxa" w:w="3760"/>
            <w:vAlign w:val="center"/>
            <w:tcMar>
              <w:top w:w="80" w:type="dxa"/>
              <w:bottom w:w="80" w:type="dxa"/>
              <w:start w:w="120" w:type="dxa"/>
              <w:end w:w="120" w:type="dxa"/>
            </w:tcMar>
          </w:tcPr>
          <w:p>
            <w:pPr>
              <w:spacing w:before="0" w:after="0" w:line="269" w:lineRule="auto"/>
            </w:pPr>
            <w:r/>
            <w:r>
              <w:rPr>
                <w:rFonts w:ascii="Calibri" w:hAnsi="Calibri"/>
                <w:b w:val="0"/>
                <w:color w:val="1F2933"/>
                <w:sz w:val="19"/>
              </w:rPr>
              <w:t>Use the eGov-approved private service port.</w:t>
            </w:r>
          </w:p>
        </w:tc>
      </w:tr>
      <w:tr>
        <w:trPr/>
        <w:tc>
          <w:tcPr>
            <w:tcW w:type="dxa" w:w="2450"/>
            <w:vAlign w:val="center"/>
            <w:tcMar>
              <w:top w:w="80" w:type="dxa"/>
              <w:bottom w:w="80" w:type="dxa"/>
              <w:start w:w="120" w:type="dxa"/>
              <w:end w:w="120" w:type="dxa"/>
            </w:tcMar>
          </w:tcPr>
          <w:p>
            <w:pPr>
              <w:spacing w:before="0" w:after="0" w:line="269" w:lineRule="auto"/>
            </w:pPr>
            <w:r/>
            <w:r>
              <w:rPr>
                <w:rFonts w:ascii="Calibri" w:hAnsi="Calibri"/>
                <w:b w:val="0"/>
                <w:color w:val="1F2933"/>
                <w:sz w:val="19"/>
              </w:rPr>
              <w:t>GCON_AUTH_MODE</w:t>
            </w:r>
          </w:p>
        </w:tc>
        <w:tc>
          <w:tcPr>
            <w:tcW w:type="dxa" w:w="3150"/>
            <w:vAlign w:val="center"/>
            <w:tcMar>
              <w:top w:w="80" w:type="dxa"/>
              <w:bottom w:w="80" w:type="dxa"/>
              <w:start w:w="120" w:type="dxa"/>
              <w:end w:w="120" w:type="dxa"/>
            </w:tcMar>
          </w:tcPr>
          <w:p>
            <w:pPr>
              <w:spacing w:before="0" w:after="0" w:line="269" w:lineRule="auto"/>
            </w:pPr>
            <w:r/>
            <w:r>
              <w:rPr>
                <w:rFonts w:ascii="Calibri" w:hAnsi="Calibri"/>
                <w:b w:val="0"/>
                <w:color w:val="1F2933"/>
                <w:sz w:val="19"/>
              </w:rPr>
              <w:t>demo</w:t>
            </w:r>
          </w:p>
        </w:tc>
        <w:tc>
          <w:tcPr>
            <w:tcW w:type="dxa" w:w="3760"/>
            <w:vAlign w:val="center"/>
            <w:tcMar>
              <w:top w:w="80" w:type="dxa"/>
              <w:bottom w:w="80" w:type="dxa"/>
              <w:start w:w="120" w:type="dxa"/>
              <w:end w:w="120" w:type="dxa"/>
            </w:tcMar>
          </w:tcPr>
          <w:p>
            <w:pPr>
              <w:spacing w:before="0" w:after="0" w:line="269" w:lineRule="auto"/>
            </w:pPr>
            <w:r/>
            <w:r>
              <w:rPr>
                <w:rFonts w:ascii="Calibri" w:hAnsi="Calibri"/>
                <w:b w:val="0"/>
                <w:color w:val="1F2933"/>
                <w:sz w:val="19"/>
              </w:rPr>
              <w:t>Do not use demo in production. Non-demo mode must be paired with an active external JWT adapter.</w:t>
            </w:r>
          </w:p>
        </w:tc>
      </w:tr>
      <w:tr>
        <w:trPr/>
        <w:tc>
          <w:tcPr>
            <w:tcW w:type="dxa" w:w="2450"/>
            <w:vAlign w:val="center"/>
            <w:tcMar>
              <w:top w:w="80" w:type="dxa"/>
              <w:bottom w:w="80" w:type="dxa"/>
              <w:start w:w="120" w:type="dxa"/>
              <w:end w:w="120" w:type="dxa"/>
            </w:tcMar>
          </w:tcPr>
          <w:p>
            <w:pPr>
              <w:spacing w:before="0" w:after="0" w:line="269" w:lineRule="auto"/>
            </w:pPr>
            <w:r/>
            <w:r>
              <w:rPr>
                <w:rFonts w:ascii="Calibri" w:hAnsi="Calibri"/>
                <w:b w:val="0"/>
                <w:color w:val="1F2933"/>
                <w:sz w:val="19"/>
              </w:rPr>
              <w:t>GCON_LOCAL_ENCRYPTION_KEY</w:t>
            </w:r>
          </w:p>
        </w:tc>
        <w:tc>
          <w:tcPr>
            <w:tcW w:type="dxa" w:w="3150"/>
            <w:vAlign w:val="center"/>
            <w:tcMar>
              <w:top w:w="80" w:type="dxa"/>
              <w:bottom w:w="80" w:type="dxa"/>
              <w:start w:w="120" w:type="dxa"/>
              <w:end w:w="120" w:type="dxa"/>
            </w:tcMar>
          </w:tcPr>
          <w:p>
            <w:pPr>
              <w:spacing w:before="0" w:after="0" w:line="269" w:lineRule="auto"/>
            </w:pPr>
            <w:r/>
            <w:r>
              <w:rPr>
                <w:rFonts w:ascii="Calibri" w:hAnsi="Calibri"/>
                <w:b w:val="0"/>
                <w:color w:val="1F2933"/>
                <w:sz w:val="19"/>
              </w:rPr>
              <w:t>Development fallback exists</w:t>
            </w:r>
          </w:p>
        </w:tc>
        <w:tc>
          <w:tcPr>
            <w:tcW w:type="dxa" w:w="3760"/>
            <w:vAlign w:val="center"/>
            <w:tcMar>
              <w:top w:w="80" w:type="dxa"/>
              <w:bottom w:w="80" w:type="dxa"/>
              <w:start w:w="120" w:type="dxa"/>
              <w:end w:w="120" w:type="dxa"/>
            </w:tcMar>
          </w:tcPr>
          <w:p>
            <w:pPr>
              <w:spacing w:before="0" w:after="0" w:line="269" w:lineRule="auto"/>
            </w:pPr>
            <w:r/>
            <w:r>
              <w:rPr>
                <w:rFonts w:ascii="Calibri" w:hAnsi="Calibri"/>
                <w:b w:val="0"/>
                <w:color w:val="1F2933"/>
                <w:sz w:val="19"/>
              </w:rPr>
              <w:t>Set a strong secret from Key Vault if the local adapter is used for controlled testing; never use the fallback in production.</w:t>
            </w:r>
          </w:p>
        </w:tc>
      </w:tr>
      <w:tr>
        <w:trPr/>
        <w:tc>
          <w:tcPr>
            <w:tcW w:type="dxa" w:w="2450"/>
            <w:vAlign w:val="center"/>
            <w:tcMar>
              <w:top w:w="80" w:type="dxa"/>
              <w:bottom w:w="80" w:type="dxa"/>
              <w:start w:w="120" w:type="dxa"/>
              <w:end w:w="120" w:type="dxa"/>
            </w:tcMar>
          </w:tcPr>
          <w:p>
            <w:pPr>
              <w:spacing w:before="0" w:after="0" w:line="269" w:lineRule="auto"/>
            </w:pPr>
            <w:r/>
            <w:r>
              <w:rPr>
                <w:rFonts w:ascii="Calibri" w:hAnsi="Calibri"/>
                <w:b w:val="0"/>
                <w:color w:val="1F2933"/>
                <w:sz w:val="19"/>
              </w:rPr>
              <w:t>DATABASE_URL</w:t>
            </w:r>
          </w:p>
        </w:tc>
        <w:tc>
          <w:tcPr>
            <w:tcW w:type="dxa" w:w="3150"/>
            <w:vAlign w:val="center"/>
            <w:tcMar>
              <w:top w:w="80" w:type="dxa"/>
              <w:bottom w:w="80" w:type="dxa"/>
              <w:start w:w="120" w:type="dxa"/>
              <w:end w:w="120" w:type="dxa"/>
            </w:tcMar>
          </w:tcPr>
          <w:p>
            <w:pPr>
              <w:spacing w:before="0" w:after="0" w:line="269" w:lineRule="auto"/>
            </w:pPr>
            <w:r/>
            <w:r>
              <w:rPr>
                <w:rFonts w:ascii="Calibri" w:hAnsi="Calibri"/>
                <w:b w:val="0"/>
                <w:color w:val="1F2933"/>
                <w:sz w:val="19"/>
              </w:rPr>
              <w:t>Unset; local encrypted state is used</w:t>
            </w:r>
          </w:p>
        </w:tc>
        <w:tc>
          <w:tcPr>
            <w:tcW w:type="dxa" w:w="3760"/>
            <w:vAlign w:val="center"/>
            <w:tcMar>
              <w:top w:w="80" w:type="dxa"/>
              <w:bottom w:w="80" w:type="dxa"/>
              <w:start w:w="120" w:type="dxa"/>
              <w:end w:w="120" w:type="dxa"/>
            </w:tcMar>
          </w:tcPr>
          <w:p>
            <w:pPr>
              <w:spacing w:before="0" w:after="0" w:line="269" w:lineRule="auto"/>
            </w:pPr>
            <w:r/>
            <w:r>
              <w:rPr>
                <w:rFonts w:ascii="Calibri" w:hAnsi="Calibri"/>
                <w:b w:val="0"/>
                <w:color w:val="1F2933"/>
                <w:sz w:val="19"/>
              </w:rPr>
              <w:t>Required for the PostgreSQL production adapter; adapter activation and migrations remain required.</w:t>
            </w:r>
          </w:p>
        </w:tc>
      </w:tr>
      <w:tr>
        <w:trPr/>
        <w:tc>
          <w:tcPr>
            <w:tcW w:type="dxa" w:w="2450"/>
            <w:vAlign w:val="center"/>
            <w:tcMar>
              <w:top w:w="80" w:type="dxa"/>
              <w:bottom w:w="80" w:type="dxa"/>
              <w:start w:w="120" w:type="dxa"/>
              <w:end w:w="120" w:type="dxa"/>
            </w:tcMar>
          </w:tcPr>
          <w:p>
            <w:pPr>
              <w:spacing w:before="0" w:after="0" w:line="269" w:lineRule="auto"/>
            </w:pPr>
            <w:r/>
            <w:r>
              <w:rPr>
                <w:rFonts w:ascii="Calibri" w:hAnsi="Calibri"/>
                <w:b w:val="0"/>
                <w:color w:val="1F2933"/>
                <w:sz w:val="19"/>
              </w:rPr>
              <w:t>AZURE_STORAGE_CONNECTION_STRING</w:t>
            </w:r>
          </w:p>
        </w:tc>
        <w:tc>
          <w:tcPr>
            <w:tcW w:type="dxa" w:w="3150"/>
            <w:vAlign w:val="center"/>
            <w:tcMar>
              <w:top w:w="80" w:type="dxa"/>
              <w:bottom w:w="80" w:type="dxa"/>
              <w:start w:w="120" w:type="dxa"/>
              <w:end w:w="120" w:type="dxa"/>
            </w:tcMar>
          </w:tcPr>
          <w:p>
            <w:pPr>
              <w:spacing w:before="0" w:after="0" w:line="269" w:lineRule="auto"/>
            </w:pPr>
            <w:r/>
            <w:r>
              <w:rPr>
                <w:rFonts w:ascii="Calibri" w:hAnsi="Calibri"/>
                <w:b w:val="0"/>
                <w:color w:val="1F2933"/>
                <w:sz w:val="19"/>
              </w:rPr>
              <w:t>Unset; local document adapter is used</w:t>
            </w:r>
          </w:p>
        </w:tc>
        <w:tc>
          <w:tcPr>
            <w:tcW w:type="dxa" w:w="3760"/>
            <w:vAlign w:val="center"/>
            <w:tcMar>
              <w:top w:w="80" w:type="dxa"/>
              <w:bottom w:w="80" w:type="dxa"/>
              <w:start w:w="120" w:type="dxa"/>
              <w:end w:w="120" w:type="dxa"/>
            </w:tcMar>
          </w:tcPr>
          <w:p>
            <w:pPr>
              <w:spacing w:before="0" w:after="0" w:line="269" w:lineRule="auto"/>
            </w:pPr>
            <w:r/>
            <w:r>
              <w:rPr>
                <w:rFonts w:ascii="Calibri" w:hAnsi="Calibri"/>
                <w:b w:val="0"/>
                <w:color w:val="1F2933"/>
                <w:sz w:val="19"/>
              </w:rPr>
              <w:t>Required for private Blob storage binding; adapter activation and access policy remain required.</w:t>
            </w:r>
          </w:p>
        </w:tc>
      </w:tr>
      <w:tr>
        <w:trPr/>
        <w:tc>
          <w:tcPr>
            <w:tcW w:type="dxa" w:w="2450"/>
            <w:vAlign w:val="center"/>
            <w:tcMar>
              <w:top w:w="80" w:type="dxa"/>
              <w:bottom w:w="80" w:type="dxa"/>
              <w:start w:w="120" w:type="dxa"/>
              <w:end w:w="120" w:type="dxa"/>
            </w:tcMar>
          </w:tcPr>
          <w:p>
            <w:pPr>
              <w:spacing w:before="0" w:after="0" w:line="269" w:lineRule="auto"/>
            </w:pPr>
            <w:r/>
            <w:r>
              <w:rPr>
                <w:rFonts w:ascii="Calibri" w:hAnsi="Calibri"/>
                <w:b w:val="0"/>
                <w:color w:val="1F2933"/>
                <w:sz w:val="19"/>
              </w:rPr>
              <w:t>AZURE_KEY_VAULT_URI</w:t>
            </w:r>
          </w:p>
        </w:tc>
        <w:tc>
          <w:tcPr>
            <w:tcW w:type="dxa" w:w="3150"/>
            <w:vAlign w:val="center"/>
            <w:tcMar>
              <w:top w:w="80" w:type="dxa"/>
              <w:bottom w:w="80" w:type="dxa"/>
              <w:start w:w="120" w:type="dxa"/>
              <w:end w:w="120" w:type="dxa"/>
            </w:tcMar>
          </w:tcPr>
          <w:p>
            <w:pPr>
              <w:spacing w:before="0" w:after="0" w:line="269" w:lineRule="auto"/>
            </w:pPr>
            <w:r/>
            <w:r>
              <w:rPr>
                <w:rFonts w:ascii="Calibri" w:hAnsi="Calibri"/>
                <w:b w:val="0"/>
                <w:color w:val="1F2933"/>
                <w:sz w:val="19"/>
              </w:rPr>
              <w:t>Unset; environment fallback is used</w:t>
            </w:r>
          </w:p>
        </w:tc>
        <w:tc>
          <w:tcPr>
            <w:tcW w:type="dxa" w:w="3760"/>
            <w:vAlign w:val="center"/>
            <w:tcMar>
              <w:top w:w="80" w:type="dxa"/>
              <w:bottom w:w="80" w:type="dxa"/>
              <w:start w:w="120" w:type="dxa"/>
              <w:end w:w="120" w:type="dxa"/>
            </w:tcMar>
          </w:tcPr>
          <w:p>
            <w:pPr>
              <w:spacing w:before="0" w:after="0" w:line="269" w:lineRule="auto"/>
            </w:pPr>
            <w:r/>
            <w:r>
              <w:rPr>
                <w:rFonts w:ascii="Calibri" w:hAnsi="Calibri"/>
                <w:b w:val="0"/>
                <w:color w:val="1F2933"/>
                <w:sz w:val="19"/>
              </w:rPr>
              <w:t>Required for the approved secret-management binding.</w:t>
            </w:r>
          </w:p>
        </w:tc>
      </w:tr>
    </w:tbl>
    <w:p>
      <w:pPr>
        <w:spacing w:after="20"/>
      </w:pPr>
    </w:p>
    <w:p>
      <w:pPr>
        <w:pStyle w:val="Heading2"/>
        <w:keepNext/>
      </w:pPr>
      <w:r>
        <w:rPr>
          <w:rFonts w:ascii="Calibri" w:hAnsi="Calibri"/>
          <w:b/>
          <w:color w:val="2E74B5"/>
          <w:sz w:val="26"/>
        </w:rPr>
        <w:t>5.4 Start and expose the services</w:t>
      </w:r>
    </w:p>
    <w:p>
      <w:pPr>
        <w:spacing w:before="0" w:after="120" w:line="300" w:lineRule="auto"/>
      </w:pPr>
      <w:r>
        <w:rPr>
          <w:rFonts w:ascii="Calibri" w:hAnsi="Calibri"/>
          <w:b w:val="0"/>
          <w:i w:val="0"/>
          <w:color w:val="1F2933"/>
          <w:sz w:val="22"/>
        </w:rPr>
        <w:t>Run the API under the eGov process supervisor, using a non-login service account and a working directory that contains the approved release. Serve dist/ from the approved web server. Proxy /v1/* to the API. Keep API and static assets on the same public origin unless the eGov security design explicitly approves a separate origin and CORS policy.</w:t>
      </w:r>
    </w:p>
    <w:p>
      <w:pPr>
        <w:spacing w:before="0" w:after="120" w:line="300" w:lineRule="auto"/>
      </w:pPr>
      <w:r>
        <w:rPr>
          <w:rFonts w:ascii="Calibri" w:hAnsi="Calibri"/>
          <w:b w:val="0"/>
          <w:i w:val="0"/>
          <w:color w:val="1F2933"/>
          <w:sz w:val="22"/>
        </w:rPr>
        <w:t>For a local acceptance run, the repository documents:</w:t>
      </w:r>
    </w:p>
    <w:tbl>
      <w:tblPr>
        <w:tblStyle w:val="TableGrid"/>
        <w:tblW w:type="dxa" w:w="9360"/>
        <w:jc w:val="left"/>
        <w:tblLayout w:type="fixed"/>
        <w:tblLook w:firstColumn="1" w:firstRow="1" w:lastColumn="0" w:lastRow="0" w:noHBand="0" w:noVBand="1" w:val="04A0"/>
        <w:tblInd w:type="dxa" w:w="120"/>
        <w:tblBorders>
          <w:top w:val="single" w:sz="4" w:space="0" w:color="D1D9E2"/>
          <w:left w:val="single" w:sz="4" w:space="0" w:color="D1D9E2"/>
          <w:bottom w:val="single" w:sz="4" w:space="0" w:color="D1D9E2"/>
          <w:right w:val="single" w:sz="4" w:space="0" w:color="D1D9E2"/>
          <w:insideH w:val="single" w:sz="4" w:space="0" w:color="D1D9E2"/>
          <w:insideV w:val="single" w:sz="4" w:space="0" w:color="D1D9E2"/>
        </w:tblBorders>
      </w:tblPr>
      <w:tblGrid>
        <w:gridCol w:w="9360"/>
      </w:tblGrid>
      <w:tr>
        <w:trPr>
          <w:tblHeader/>
        </w:trPr>
        <w:tc>
          <w:tcPr>
            <w:tcW w:type="dxa" w:w="9360"/>
            <w:shd w:fill="F2F4F7" w:val="clear"/>
            <w:tcMar>
              <w:top w:w="80" w:type="dxa"/>
              <w:bottom w:w="80" w:type="dxa"/>
              <w:start w:w="120" w:type="dxa"/>
              <w:end w:w="120" w:type="dxa"/>
            </w:tcMar>
          </w:tcPr>
          <w:p>
            <w:pPr>
              <w:spacing w:before="0" w:after="0" w:line="276" w:lineRule="auto"/>
            </w:pPr>
            <w:r/>
            <w:r>
              <w:rPr>
                <w:rFonts w:ascii="Calibri" w:hAnsi="Calibri"/>
                <w:b/>
                <w:color w:val="0B2545"/>
                <w:sz w:val="21"/>
              </w:rPr>
              <w:t xml:space="preserve">Local acceptance commands: </w:t>
            </w:r>
            <w:r>
              <w:rPr>
                <w:rFonts w:ascii="Calibri" w:hAnsi="Calibri"/>
                <w:color w:val="1F2933"/>
                <w:sz w:val="21"/>
              </w:rPr>
              <w:t>npm run dev:api  and, in a second terminal,  npm run dev -- --host 127.0.0.1 --port 4173</w:t>
            </w:r>
          </w:p>
        </w:tc>
      </w:tr>
    </w:tbl>
    <w:p>
      <w:pPr>
        <w:spacing w:after="20"/>
      </w:pPr>
    </w:p>
    <w:p>
      <w:pPr>
        <w:pStyle w:val="Heading1"/>
        <w:keepNext/>
      </w:pPr>
      <w:r>
        <w:rPr>
          <w:rFonts w:ascii="Calibri" w:hAnsi="Calibri"/>
          <w:b/>
          <w:color w:val="2E74B5"/>
          <w:sz w:val="32"/>
        </w:rPr>
        <w:t>6. First-start verification</w:t>
      </w:r>
    </w:p>
    <w:p>
      <w:pPr>
        <w:spacing w:before="0" w:after="120" w:line="300" w:lineRule="auto"/>
      </w:pPr>
      <w:r>
        <w:rPr>
          <w:rFonts w:ascii="Calibri" w:hAnsi="Calibri"/>
          <w:b w:val="0"/>
          <w:i w:val="0"/>
          <w:color w:val="1F2933"/>
          <w:sz w:val="22"/>
        </w:rPr>
        <w:t>Run these checks after installation, after every release, and after infrastructure changes:</w:t>
      </w:r>
    </w:p>
    <w:tbl>
      <w:tblPr>
        <w:tblStyle w:val="TableGrid"/>
        <w:tblW w:type="dxa" w:w="9360"/>
        <w:jc w:val="left"/>
        <w:tblLayout w:type="fixed"/>
        <w:tblLook w:firstColumn="1" w:firstRow="1" w:lastColumn="0" w:lastRow="0" w:noHBand="0" w:noVBand="1" w:val="04A0"/>
        <w:tblInd w:type="dxa" w:w="120"/>
        <w:tblBorders>
          <w:top w:val="single" w:sz="4" w:space="0" w:color="C8D1DB"/>
          <w:left w:val="single" w:sz="4" w:space="0" w:color="C8D1DB"/>
          <w:bottom w:val="single" w:sz="4" w:space="0" w:color="C8D1DB"/>
          <w:right w:val="single" w:sz="4" w:space="0" w:color="C8D1DB"/>
          <w:insideH w:val="single" w:sz="4" w:space="0" w:color="C8D1DB"/>
          <w:insideV w:val="single" w:sz="4" w:space="0" w:color="C8D1DB"/>
        </w:tblBorders>
      </w:tblPr>
      <w:tblGrid>
        <w:gridCol w:w="2200"/>
        <w:gridCol w:w="4750"/>
        <w:gridCol w:w="2410"/>
      </w:tblGrid>
      <w:tr>
        <w:trPr>
          <w:tblHeader/>
        </w:trPr>
        <w:tc>
          <w:tcPr>
            <w:tcW w:type="dxa" w:w="2200"/>
            <w:vAlign w:val="center"/>
            <w:shd w:fill="E8EEF5" w:val="clear"/>
            <w:tcMar>
              <w:top w:w="80" w:type="dxa"/>
              <w:bottom w:w="80" w:type="dxa"/>
              <w:start w:w="120" w:type="dxa"/>
              <w:end w:w="120" w:type="dxa"/>
            </w:tcMar>
          </w:tcPr>
          <w:p>
            <w:pPr>
              <w:spacing w:before="0" w:after="0" w:line="269" w:lineRule="auto"/>
            </w:pPr>
            <w:r/>
            <w:r>
              <w:rPr>
                <w:rFonts w:ascii="Calibri" w:hAnsi="Calibri"/>
                <w:b/>
                <w:color w:val="0B2545"/>
                <w:sz w:val="19"/>
              </w:rPr>
              <w:t>Check</w:t>
            </w:r>
          </w:p>
        </w:tc>
        <w:tc>
          <w:tcPr>
            <w:tcW w:type="dxa" w:w="4750"/>
            <w:vAlign w:val="center"/>
            <w:shd w:fill="E8EEF5" w:val="clear"/>
            <w:tcMar>
              <w:top w:w="80" w:type="dxa"/>
              <w:bottom w:w="80" w:type="dxa"/>
              <w:start w:w="120" w:type="dxa"/>
              <w:end w:w="120" w:type="dxa"/>
            </w:tcMar>
          </w:tcPr>
          <w:p>
            <w:pPr>
              <w:spacing w:before="0" w:after="0" w:line="269" w:lineRule="auto"/>
            </w:pPr>
            <w:r/>
            <w:r>
              <w:rPr>
                <w:rFonts w:ascii="Calibri" w:hAnsi="Calibri"/>
                <w:b/>
                <w:color w:val="0B2545"/>
                <w:sz w:val="19"/>
              </w:rPr>
              <w:t>Expected result</w:t>
            </w:r>
          </w:p>
        </w:tc>
        <w:tc>
          <w:tcPr>
            <w:tcW w:type="dxa" w:w="2410"/>
            <w:vAlign w:val="center"/>
            <w:shd w:fill="E8EEF5" w:val="clear"/>
            <w:tcMar>
              <w:top w:w="80" w:type="dxa"/>
              <w:bottom w:w="80" w:type="dxa"/>
              <w:start w:w="120" w:type="dxa"/>
              <w:end w:w="120" w:type="dxa"/>
            </w:tcMar>
          </w:tcPr>
          <w:p>
            <w:pPr>
              <w:spacing w:before="0" w:after="0" w:line="269" w:lineRule="auto"/>
            </w:pPr>
            <w:r/>
            <w:r>
              <w:rPr>
                <w:rFonts w:ascii="Calibri" w:hAnsi="Calibri"/>
                <w:b/>
                <w:color w:val="0B2545"/>
                <w:sz w:val="19"/>
              </w:rPr>
              <w:t>Failure response</w:t>
            </w:r>
          </w:p>
        </w:tc>
      </w:tr>
      <w:tr>
        <w:trPr/>
        <w:tc>
          <w:tcPr>
            <w:tcW w:type="dxa" w:w="2200"/>
            <w:vAlign w:val="center"/>
            <w:tcMar>
              <w:top w:w="80" w:type="dxa"/>
              <w:bottom w:w="80" w:type="dxa"/>
              <w:start w:w="120" w:type="dxa"/>
              <w:end w:w="120" w:type="dxa"/>
            </w:tcMar>
          </w:tcPr>
          <w:p>
            <w:pPr>
              <w:spacing w:before="0" w:after="0" w:line="269" w:lineRule="auto"/>
            </w:pPr>
            <w:r/>
            <w:r>
              <w:rPr>
                <w:rFonts w:ascii="Calibri" w:hAnsi="Calibri"/>
                <w:b w:val="0"/>
                <w:color w:val="1F2933"/>
                <w:sz w:val="19"/>
              </w:rPr>
              <w:t>GET /v1/health</w:t>
            </w:r>
          </w:p>
        </w:tc>
        <w:tc>
          <w:tcPr>
            <w:tcW w:type="dxa" w:w="4750"/>
            <w:vAlign w:val="center"/>
            <w:tcMar>
              <w:top w:w="80" w:type="dxa"/>
              <w:bottom w:w="80" w:type="dxa"/>
              <w:start w:w="120" w:type="dxa"/>
              <w:end w:w="120" w:type="dxa"/>
            </w:tcMar>
          </w:tcPr>
          <w:p>
            <w:pPr>
              <w:spacing w:before="0" w:after="0" w:line="269" w:lineRule="auto"/>
            </w:pPr>
            <w:r/>
            <w:r>
              <w:rPr>
                <w:rFonts w:ascii="Calibri" w:hAnsi="Calibri"/>
                <w:b w:val="0"/>
                <w:color w:val="1F2933"/>
                <w:sz w:val="19"/>
              </w:rPr>
              <w:t>HTTP 200, service gcon-api, version v1, storage status present.</w:t>
            </w:r>
          </w:p>
        </w:tc>
        <w:tc>
          <w:tcPr>
            <w:tcW w:type="dxa" w:w="2410"/>
            <w:vAlign w:val="center"/>
            <w:tcMar>
              <w:top w:w="80" w:type="dxa"/>
              <w:bottom w:w="80" w:type="dxa"/>
              <w:start w:w="120" w:type="dxa"/>
              <w:end w:w="120" w:type="dxa"/>
            </w:tcMar>
          </w:tcPr>
          <w:p>
            <w:pPr>
              <w:spacing w:before="0" w:after="0" w:line="269" w:lineRule="auto"/>
            </w:pPr>
            <w:r/>
            <w:r>
              <w:rPr>
                <w:rFonts w:ascii="Calibri" w:hAnsi="Calibri"/>
                <w:b w:val="0"/>
                <w:color w:val="1F2933"/>
                <w:sz w:val="19"/>
              </w:rPr>
              <w:t>Inspect service logs, environment variables and database/storage adapter.</w:t>
            </w:r>
          </w:p>
        </w:tc>
      </w:tr>
      <w:tr>
        <w:trPr/>
        <w:tc>
          <w:tcPr>
            <w:tcW w:type="dxa" w:w="2200"/>
            <w:vAlign w:val="center"/>
            <w:tcMar>
              <w:top w:w="80" w:type="dxa"/>
              <w:bottom w:w="80" w:type="dxa"/>
              <w:start w:w="120" w:type="dxa"/>
              <w:end w:w="120" w:type="dxa"/>
            </w:tcMar>
          </w:tcPr>
          <w:p>
            <w:pPr>
              <w:spacing w:before="0" w:after="0" w:line="269" w:lineRule="auto"/>
            </w:pPr>
            <w:r/>
            <w:r>
              <w:rPr>
                <w:rFonts w:ascii="Calibri" w:hAnsi="Calibri"/>
                <w:b w:val="0"/>
                <w:color w:val="1F2933"/>
                <w:sz w:val="19"/>
              </w:rPr>
              <w:t>GET /api/health</w:t>
            </w:r>
          </w:p>
        </w:tc>
        <w:tc>
          <w:tcPr>
            <w:tcW w:type="dxa" w:w="4750"/>
            <w:vAlign w:val="center"/>
            <w:tcMar>
              <w:top w:w="80" w:type="dxa"/>
              <w:bottom w:w="80" w:type="dxa"/>
              <w:start w:w="120" w:type="dxa"/>
              <w:end w:w="120" w:type="dxa"/>
            </w:tcMar>
          </w:tcPr>
          <w:p>
            <w:pPr>
              <w:spacing w:before="0" w:after="0" w:line="269" w:lineRule="auto"/>
            </w:pPr>
            <w:r/>
            <w:r>
              <w:rPr>
                <w:rFonts w:ascii="Calibri" w:hAnsi="Calibri"/>
                <w:b w:val="0"/>
                <w:color w:val="1F2933"/>
                <w:sz w:val="19"/>
              </w:rPr>
              <w:t>HTTP 200 compatibility response for local checks.</w:t>
            </w:r>
          </w:p>
        </w:tc>
        <w:tc>
          <w:tcPr>
            <w:tcW w:type="dxa" w:w="2410"/>
            <w:vAlign w:val="center"/>
            <w:tcMar>
              <w:top w:w="80" w:type="dxa"/>
              <w:bottom w:w="80" w:type="dxa"/>
              <w:start w:w="120" w:type="dxa"/>
              <w:end w:w="120" w:type="dxa"/>
            </w:tcMar>
          </w:tcPr>
          <w:p>
            <w:pPr>
              <w:spacing w:before="0" w:after="0" w:line="269" w:lineRule="auto"/>
            </w:pPr>
            <w:r/>
            <w:r>
              <w:rPr>
                <w:rFonts w:ascii="Calibri" w:hAnsi="Calibri"/>
                <w:b w:val="0"/>
                <w:color w:val="1F2933"/>
                <w:sz w:val="19"/>
              </w:rPr>
              <w:t>Confirm the API process and reverse-proxy route.</w:t>
            </w:r>
          </w:p>
        </w:tc>
      </w:tr>
      <w:tr>
        <w:trPr/>
        <w:tc>
          <w:tcPr>
            <w:tcW w:type="dxa" w:w="2200"/>
            <w:vAlign w:val="center"/>
            <w:tcMar>
              <w:top w:w="80" w:type="dxa"/>
              <w:bottom w:w="80" w:type="dxa"/>
              <w:start w:w="120" w:type="dxa"/>
              <w:end w:w="120" w:type="dxa"/>
            </w:tcMar>
          </w:tcPr>
          <w:p>
            <w:pPr>
              <w:spacing w:before="0" w:after="0" w:line="269" w:lineRule="auto"/>
            </w:pPr>
            <w:r/>
            <w:r>
              <w:rPr>
                <w:rFonts w:ascii="Calibri" w:hAnsi="Calibri"/>
                <w:b w:val="0"/>
                <w:color w:val="1F2933"/>
                <w:sz w:val="19"/>
              </w:rPr>
              <w:t>GET /v1/openapi.json</w:t>
            </w:r>
          </w:p>
        </w:tc>
        <w:tc>
          <w:tcPr>
            <w:tcW w:type="dxa" w:w="4750"/>
            <w:vAlign w:val="center"/>
            <w:tcMar>
              <w:top w:w="80" w:type="dxa"/>
              <w:bottom w:w="80" w:type="dxa"/>
              <w:start w:w="120" w:type="dxa"/>
              <w:end w:w="120" w:type="dxa"/>
            </w:tcMar>
          </w:tcPr>
          <w:p>
            <w:pPr>
              <w:spacing w:before="0" w:after="0" w:line="269" w:lineRule="auto"/>
            </w:pPr>
            <w:r/>
            <w:r>
              <w:rPr>
                <w:rFonts w:ascii="Calibri" w:hAnsi="Calibri"/>
                <w:b w:val="0"/>
                <w:color w:val="1F2933"/>
                <w:sz w:val="19"/>
              </w:rPr>
              <w:t>HTTP 200 and OpenAPI 3.0.3 contract.</w:t>
            </w:r>
          </w:p>
        </w:tc>
        <w:tc>
          <w:tcPr>
            <w:tcW w:type="dxa" w:w="2410"/>
            <w:vAlign w:val="center"/>
            <w:tcMar>
              <w:top w:w="80" w:type="dxa"/>
              <w:bottom w:w="80" w:type="dxa"/>
              <w:start w:w="120" w:type="dxa"/>
              <w:end w:w="120" w:type="dxa"/>
            </w:tcMar>
          </w:tcPr>
          <w:p>
            <w:pPr>
              <w:spacing w:before="0" w:after="0" w:line="269" w:lineRule="auto"/>
            </w:pPr>
            <w:r/>
            <w:r>
              <w:rPr>
                <w:rFonts w:ascii="Calibri" w:hAnsi="Calibri"/>
                <w:b w:val="0"/>
                <w:color w:val="1F2933"/>
                <w:sz w:val="19"/>
              </w:rPr>
              <w:t>Confirm release files and static/API routing.</w:t>
            </w:r>
          </w:p>
        </w:tc>
      </w:tr>
      <w:tr>
        <w:trPr/>
        <w:tc>
          <w:tcPr>
            <w:tcW w:type="dxa" w:w="2200"/>
            <w:vAlign w:val="center"/>
            <w:tcMar>
              <w:top w:w="80" w:type="dxa"/>
              <w:bottom w:w="80" w:type="dxa"/>
              <w:start w:w="120" w:type="dxa"/>
              <w:end w:w="120" w:type="dxa"/>
            </w:tcMar>
          </w:tcPr>
          <w:p>
            <w:pPr>
              <w:spacing w:before="0" w:after="0" w:line="269" w:lineRule="auto"/>
            </w:pPr>
            <w:r/>
            <w:r>
              <w:rPr>
                <w:rFonts w:ascii="Calibri" w:hAnsi="Calibri"/>
                <w:b w:val="0"/>
                <w:color w:val="1F2933"/>
                <w:sz w:val="19"/>
              </w:rPr>
              <w:t>GET /v1/intake/current</w:t>
            </w:r>
          </w:p>
        </w:tc>
        <w:tc>
          <w:tcPr>
            <w:tcW w:type="dxa" w:w="4750"/>
            <w:vAlign w:val="center"/>
            <w:tcMar>
              <w:top w:w="80" w:type="dxa"/>
              <w:bottom w:w="80" w:type="dxa"/>
              <w:start w:w="120" w:type="dxa"/>
              <w:end w:w="120" w:type="dxa"/>
            </w:tcMar>
          </w:tcPr>
          <w:p>
            <w:pPr>
              <w:spacing w:before="0" w:after="0" w:line="269" w:lineRule="auto"/>
            </w:pPr>
            <w:r/>
            <w:r>
              <w:rPr>
                <w:rFonts w:ascii="Calibri" w:hAnsi="Calibri"/>
                <w:b w:val="0"/>
                <w:color w:val="1F2933"/>
                <w:sz w:val="19"/>
              </w:rPr>
              <w:t>Current cycle configuration is returned without authentication.</w:t>
            </w:r>
          </w:p>
        </w:tc>
        <w:tc>
          <w:tcPr>
            <w:tcW w:type="dxa" w:w="2410"/>
            <w:vAlign w:val="center"/>
            <w:tcMar>
              <w:top w:w="80" w:type="dxa"/>
              <w:bottom w:w="80" w:type="dxa"/>
              <w:start w:w="120" w:type="dxa"/>
              <w:end w:w="120" w:type="dxa"/>
            </w:tcMar>
          </w:tcPr>
          <w:p>
            <w:pPr>
              <w:spacing w:before="0" w:after="0" w:line="269" w:lineRule="auto"/>
            </w:pPr>
            <w:r/>
            <w:r>
              <w:rPr>
                <w:rFonts w:ascii="Calibri" w:hAnsi="Calibri"/>
                <w:b w:val="0"/>
                <w:color w:val="1F2933"/>
                <w:sz w:val="19"/>
              </w:rPr>
              <w:t>Check API, database binding and cycle seed/migration.</w:t>
            </w:r>
          </w:p>
        </w:tc>
      </w:tr>
      <w:tr>
        <w:trPr/>
        <w:tc>
          <w:tcPr>
            <w:tcW w:type="dxa" w:w="2200"/>
            <w:vAlign w:val="center"/>
            <w:tcMar>
              <w:top w:w="80" w:type="dxa"/>
              <w:bottom w:w="80" w:type="dxa"/>
              <w:start w:w="120" w:type="dxa"/>
              <w:end w:w="120" w:type="dxa"/>
            </w:tcMar>
          </w:tcPr>
          <w:p>
            <w:pPr>
              <w:spacing w:before="0" w:after="0" w:line="269" w:lineRule="auto"/>
            </w:pPr>
            <w:r/>
            <w:r>
              <w:rPr>
                <w:rFonts w:ascii="Calibri" w:hAnsi="Calibri"/>
                <w:b w:val="0"/>
                <w:color w:val="1F2933"/>
                <w:sz w:val="19"/>
              </w:rPr>
              <w:t>GET /v1/storage/status</w:t>
            </w:r>
          </w:p>
        </w:tc>
        <w:tc>
          <w:tcPr>
            <w:tcW w:type="dxa" w:w="4750"/>
            <w:vAlign w:val="center"/>
            <w:tcMar>
              <w:top w:w="80" w:type="dxa"/>
              <w:bottom w:w="80" w:type="dxa"/>
              <w:start w:w="120" w:type="dxa"/>
              <w:end w:w="120" w:type="dxa"/>
            </w:tcMar>
          </w:tcPr>
          <w:p>
            <w:pPr>
              <w:spacing w:before="0" w:after="0" w:line="269" w:lineRule="auto"/>
            </w:pPr>
            <w:r/>
            <w:r>
              <w:rPr>
                <w:rFonts w:ascii="Calibri" w:hAnsi="Calibri"/>
                <w:b w:val="0"/>
                <w:color w:val="1F2933"/>
                <w:sz w:val="19"/>
              </w:rPr>
              <w:t>Authenticated response identifies the active storage provider.</w:t>
            </w:r>
          </w:p>
        </w:tc>
        <w:tc>
          <w:tcPr>
            <w:tcW w:type="dxa" w:w="2410"/>
            <w:vAlign w:val="center"/>
            <w:tcMar>
              <w:top w:w="80" w:type="dxa"/>
              <w:bottom w:w="80" w:type="dxa"/>
              <w:start w:w="120" w:type="dxa"/>
              <w:end w:w="120" w:type="dxa"/>
            </w:tcMar>
          </w:tcPr>
          <w:p>
            <w:pPr>
              <w:spacing w:before="0" w:after="0" w:line="269" w:lineRule="auto"/>
            </w:pPr>
            <w:r/>
            <w:r>
              <w:rPr>
                <w:rFonts w:ascii="Calibri" w:hAnsi="Calibri"/>
                <w:b w:val="0"/>
                <w:color w:val="1F2933"/>
                <w:sz w:val="19"/>
              </w:rPr>
              <w:t>Do not accept local adapter status for production.</w:t>
            </w:r>
          </w:p>
        </w:tc>
      </w:tr>
      <w:tr>
        <w:trPr/>
        <w:tc>
          <w:tcPr>
            <w:tcW w:type="dxa" w:w="2200"/>
            <w:vAlign w:val="center"/>
            <w:tcMar>
              <w:top w:w="80" w:type="dxa"/>
              <w:bottom w:w="80" w:type="dxa"/>
              <w:start w:w="120" w:type="dxa"/>
              <w:end w:w="120" w:type="dxa"/>
            </w:tcMar>
          </w:tcPr>
          <w:p>
            <w:pPr>
              <w:spacing w:before="0" w:after="0" w:line="269" w:lineRule="auto"/>
            </w:pPr>
            <w:r/>
            <w:r>
              <w:rPr>
                <w:rFonts w:ascii="Calibri" w:hAnsi="Calibri"/>
                <w:b w:val="0"/>
                <w:color w:val="1F2933"/>
                <w:sz w:val="19"/>
              </w:rPr>
              <w:t>Public landing page</w:t>
            </w:r>
          </w:p>
        </w:tc>
        <w:tc>
          <w:tcPr>
            <w:tcW w:type="dxa" w:w="4750"/>
            <w:vAlign w:val="center"/>
            <w:tcMar>
              <w:top w:w="80" w:type="dxa"/>
              <w:bottom w:w="80" w:type="dxa"/>
              <w:start w:w="120" w:type="dxa"/>
              <w:end w:w="120" w:type="dxa"/>
            </w:tcMar>
          </w:tcPr>
          <w:p>
            <w:pPr>
              <w:spacing w:before="0" w:after="0" w:line="269" w:lineRule="auto"/>
            </w:pPr>
            <w:r/>
            <w:r>
              <w:rPr>
                <w:rFonts w:ascii="Calibri" w:hAnsi="Calibri"/>
                <w:b w:val="0"/>
                <w:color w:val="1F2933"/>
                <w:sz w:val="19"/>
              </w:rPr>
              <w:t>Title is GCON 2027 · Student Nurse Intake; logo and advert asset load.</w:t>
            </w:r>
          </w:p>
        </w:tc>
        <w:tc>
          <w:tcPr>
            <w:tcW w:type="dxa" w:w="2410"/>
            <w:vAlign w:val="center"/>
            <w:tcMar>
              <w:top w:w="80" w:type="dxa"/>
              <w:bottom w:w="80" w:type="dxa"/>
              <w:start w:w="120" w:type="dxa"/>
              <w:end w:w="120" w:type="dxa"/>
            </w:tcMar>
          </w:tcPr>
          <w:p>
            <w:pPr>
              <w:spacing w:before="0" w:after="0" w:line="269" w:lineRule="auto"/>
            </w:pPr>
            <w:r/>
            <w:r>
              <w:rPr>
                <w:rFonts w:ascii="Calibri" w:hAnsi="Calibri"/>
                <w:b w:val="0"/>
                <w:color w:val="1F2933"/>
                <w:sz w:val="19"/>
              </w:rPr>
              <w:t>Check static files, base path and browser console.</w:t>
            </w:r>
          </w:p>
        </w:tc>
      </w:tr>
      <w:tr>
        <w:trPr/>
        <w:tc>
          <w:tcPr>
            <w:tcW w:type="dxa" w:w="2200"/>
            <w:vAlign w:val="center"/>
            <w:tcMar>
              <w:top w:w="80" w:type="dxa"/>
              <w:bottom w:w="80" w:type="dxa"/>
              <w:start w:w="120" w:type="dxa"/>
              <w:end w:w="120" w:type="dxa"/>
            </w:tcMar>
          </w:tcPr>
          <w:p>
            <w:pPr>
              <w:spacing w:before="0" w:after="0" w:line="269" w:lineRule="auto"/>
            </w:pPr>
            <w:r/>
            <w:r>
              <w:rPr>
                <w:rFonts w:ascii="Calibri" w:hAnsi="Calibri"/>
                <w:b w:val="0"/>
                <w:color w:val="1F2933"/>
                <w:sz w:val="19"/>
              </w:rPr>
              <w:t>Role access</w:t>
            </w:r>
          </w:p>
        </w:tc>
        <w:tc>
          <w:tcPr>
            <w:tcW w:type="dxa" w:w="4750"/>
            <w:vAlign w:val="center"/>
            <w:tcMar>
              <w:top w:w="80" w:type="dxa"/>
              <w:bottom w:w="80" w:type="dxa"/>
              <w:start w:w="120" w:type="dxa"/>
              <w:end w:w="120" w:type="dxa"/>
            </w:tcMar>
          </w:tcPr>
          <w:p>
            <w:pPr>
              <w:spacing w:before="0" w:after="0" w:line="269" w:lineRule="auto"/>
            </w:pPr>
            <w:r/>
            <w:r>
              <w:rPr>
                <w:rFonts w:ascii="Calibri" w:hAnsi="Calibri"/>
                <w:b w:val="0"/>
                <w:color w:val="1F2933"/>
                <w:sz w:val="19"/>
              </w:rPr>
              <w:t>Learner, staff and employer access are organisation-scoped.</w:t>
            </w:r>
          </w:p>
        </w:tc>
        <w:tc>
          <w:tcPr>
            <w:tcW w:type="dxa" w:w="2410"/>
            <w:vAlign w:val="center"/>
            <w:tcMar>
              <w:top w:w="80" w:type="dxa"/>
              <w:bottom w:w="80" w:type="dxa"/>
              <w:start w:w="120" w:type="dxa"/>
              <w:end w:w="120" w:type="dxa"/>
            </w:tcMar>
          </w:tcPr>
          <w:p>
            <w:pPr>
              <w:spacing w:before="0" w:after="0" w:line="269" w:lineRule="auto"/>
            </w:pPr>
            <w:r/>
            <w:r>
              <w:rPr>
                <w:rFonts w:ascii="Calibri" w:hAnsi="Calibri"/>
                <w:b w:val="0"/>
                <w:color w:val="1F2933"/>
                <w:sz w:val="19"/>
              </w:rPr>
              <w:t>Stop release acceptance and review identity claims and API guards.</w:t>
            </w:r>
          </w:p>
        </w:tc>
      </w:tr>
      <w:tr>
        <w:trPr/>
        <w:tc>
          <w:tcPr>
            <w:tcW w:type="dxa" w:w="2200"/>
            <w:vAlign w:val="center"/>
            <w:tcMar>
              <w:top w:w="80" w:type="dxa"/>
              <w:bottom w:w="80" w:type="dxa"/>
              <w:start w:w="120" w:type="dxa"/>
              <w:end w:w="120" w:type="dxa"/>
            </w:tcMar>
          </w:tcPr>
          <w:p>
            <w:pPr>
              <w:spacing w:before="0" w:after="0" w:line="269" w:lineRule="auto"/>
            </w:pPr>
            <w:r/>
            <w:r>
              <w:rPr>
                <w:rFonts w:ascii="Calibri" w:hAnsi="Calibri"/>
                <w:b w:val="0"/>
                <w:color w:val="1F2933"/>
                <w:sz w:val="19"/>
              </w:rPr>
              <w:t>Audit event</w:t>
            </w:r>
          </w:p>
        </w:tc>
        <w:tc>
          <w:tcPr>
            <w:tcW w:type="dxa" w:w="4750"/>
            <w:vAlign w:val="center"/>
            <w:tcMar>
              <w:top w:w="80" w:type="dxa"/>
              <w:bottom w:w="80" w:type="dxa"/>
              <w:start w:w="120" w:type="dxa"/>
              <w:end w:w="120" w:type="dxa"/>
            </w:tcMar>
          </w:tcPr>
          <w:p>
            <w:pPr>
              <w:spacing w:before="0" w:after="0" w:line="269" w:lineRule="auto"/>
            </w:pPr>
            <w:r/>
            <w:r>
              <w:rPr>
                <w:rFonts w:ascii="Calibri" w:hAnsi="Calibri"/>
                <w:b w:val="0"/>
                <w:color w:val="1F2933"/>
                <w:sz w:val="19"/>
              </w:rPr>
              <w:t>Every accepted state-changing action creates the expected event.</w:t>
            </w:r>
          </w:p>
        </w:tc>
        <w:tc>
          <w:tcPr>
            <w:tcW w:type="dxa" w:w="2410"/>
            <w:vAlign w:val="center"/>
            <w:tcMar>
              <w:top w:w="80" w:type="dxa"/>
              <w:bottom w:w="80" w:type="dxa"/>
              <w:start w:w="120" w:type="dxa"/>
              <w:end w:w="120" w:type="dxa"/>
            </w:tcMar>
          </w:tcPr>
          <w:p>
            <w:pPr>
              <w:spacing w:before="0" w:after="0" w:line="269" w:lineRule="auto"/>
            </w:pPr>
            <w:r/>
            <w:r>
              <w:rPr>
                <w:rFonts w:ascii="Calibri" w:hAnsi="Calibri"/>
                <w:b w:val="0"/>
                <w:color w:val="1F2933"/>
                <w:sz w:val="19"/>
              </w:rPr>
              <w:t>Review transaction boundary and audit persistence before enabling users.</w:t>
            </w:r>
          </w:p>
        </w:tc>
      </w:tr>
    </w:tbl>
    <w:p>
      <w:pPr>
        <w:spacing w:after="20"/>
      </w:pPr>
    </w:p>
    <w:tbl>
      <w:tblPr>
        <w:tblStyle w:val="TableGrid"/>
        <w:tblW w:type="dxa" w:w="9360"/>
        <w:jc w:val="left"/>
        <w:tblLayout w:type="fixed"/>
        <w:tblLook w:firstColumn="1" w:firstRow="1" w:lastColumn="0" w:lastRow="0" w:noHBand="0" w:noVBand="1" w:val="04A0"/>
        <w:tblInd w:type="dxa" w:w="120"/>
        <w:tblBorders>
          <w:top w:val="single" w:sz="4" w:space="0" w:color="D1D9E2"/>
          <w:left w:val="single" w:sz="4" w:space="0" w:color="D1D9E2"/>
          <w:bottom w:val="single" w:sz="4" w:space="0" w:color="D1D9E2"/>
          <w:right w:val="single" w:sz="4" w:space="0" w:color="D1D9E2"/>
          <w:insideH w:val="single" w:sz="4" w:space="0" w:color="D1D9E2"/>
          <w:insideV w:val="single" w:sz="4" w:space="0" w:color="D1D9E2"/>
        </w:tblBorders>
      </w:tblPr>
      <w:tblGrid>
        <w:gridCol w:w="9360"/>
      </w:tblGrid>
      <w:tr>
        <w:trPr>
          <w:tblHeader/>
        </w:trPr>
        <w:tc>
          <w:tcPr>
            <w:tcW w:type="dxa" w:w="9360"/>
            <w:shd w:fill="FFF8E8" w:val="clear"/>
            <w:tcMar>
              <w:top w:w="80" w:type="dxa"/>
              <w:bottom w:w="80" w:type="dxa"/>
              <w:start w:w="120" w:type="dxa"/>
              <w:end w:w="120" w:type="dxa"/>
            </w:tcMar>
          </w:tcPr>
          <w:p>
            <w:pPr>
              <w:spacing w:before="0" w:after="0" w:line="276" w:lineRule="auto"/>
            </w:pPr>
            <w:r/>
            <w:r>
              <w:rPr>
                <w:rFonts w:ascii="Calibri" w:hAnsi="Calibri"/>
                <w:b/>
                <w:color w:val="7A5A00"/>
                <w:sz w:val="21"/>
              </w:rPr>
              <w:t xml:space="preserve">Health endpoint caution: </w:t>
            </w:r>
            <w:r>
              <w:rPr>
                <w:rFonts w:ascii="Calibri" w:hAnsi="Calibri"/>
                <w:color w:val="1F2933"/>
                <w:sz w:val="21"/>
              </w:rPr>
              <w:t>A healthy HTTP response alone is not production readiness. Acceptance must confirm that the response reports the approved PostgreSQL, object-storage, secret-management and identity adapters rather than the local-development-adapter.</w:t>
            </w:r>
          </w:p>
        </w:tc>
      </w:tr>
    </w:tbl>
    <w:p>
      <w:pPr>
        <w:spacing w:after="20"/>
      </w:pPr>
    </w:p>
    <w:p>
      <w:pPr>
        <w:pStyle w:val="Heading1"/>
        <w:keepNext/>
      </w:pPr>
      <w:r>
        <w:rPr>
          <w:rFonts w:ascii="Calibri" w:hAnsi="Calibri"/>
          <w:b/>
          <w:color w:val="2E74B5"/>
          <w:sz w:val="32"/>
        </w:rPr>
        <w:t>7. Users and permissions</w:t>
      </w:r>
    </w:p>
    <w:p>
      <w:pPr>
        <w:spacing w:before="0" w:after="120" w:line="300" w:lineRule="auto"/>
      </w:pPr>
      <w:r>
        <w:rPr>
          <w:rFonts w:ascii="Calibri" w:hAnsi="Calibri"/>
          <w:b w:val="0"/>
          <w:i w:val="0"/>
          <w:color w:val="1F2933"/>
          <w:sz w:val="22"/>
        </w:rPr>
        <w:t>The application uses role and organisation scope. The following names are the current domain roles; eGov identity groups should map to them explicitly rather than relying on display names.</w:t>
      </w:r>
    </w:p>
    <w:tbl>
      <w:tblPr>
        <w:tblStyle w:val="TableGrid"/>
        <w:tblW w:type="dxa" w:w="9360"/>
        <w:jc w:val="left"/>
        <w:tblLayout w:type="fixed"/>
        <w:tblLook w:firstColumn="1" w:firstRow="1" w:lastColumn="0" w:lastRow="0" w:noHBand="0" w:noVBand="1" w:val="04A0"/>
        <w:tblInd w:type="dxa" w:w="120"/>
        <w:tblBorders>
          <w:top w:val="single" w:sz="4" w:space="0" w:color="C8D1DB"/>
          <w:left w:val="single" w:sz="4" w:space="0" w:color="C8D1DB"/>
          <w:bottom w:val="single" w:sz="4" w:space="0" w:color="C8D1DB"/>
          <w:right w:val="single" w:sz="4" w:space="0" w:color="C8D1DB"/>
          <w:insideH w:val="single" w:sz="4" w:space="0" w:color="C8D1DB"/>
          <w:insideV w:val="single" w:sz="4" w:space="0" w:color="C8D1DB"/>
        </w:tblBorders>
      </w:tblPr>
      <w:tblGrid>
        <w:gridCol w:w="1900"/>
        <w:gridCol w:w="3200"/>
        <w:gridCol w:w="4260"/>
      </w:tblGrid>
      <w:tr>
        <w:trPr>
          <w:tblHeader/>
        </w:trPr>
        <w:tc>
          <w:tcPr>
            <w:tcW w:type="dxa" w:w="1900"/>
            <w:vAlign w:val="center"/>
            <w:shd w:fill="E8EEF5" w:val="clear"/>
            <w:tcMar>
              <w:top w:w="80" w:type="dxa"/>
              <w:bottom w:w="80" w:type="dxa"/>
              <w:start w:w="120" w:type="dxa"/>
              <w:end w:w="120" w:type="dxa"/>
            </w:tcMar>
          </w:tcPr>
          <w:p>
            <w:pPr>
              <w:spacing w:before="0" w:after="0" w:line="269" w:lineRule="auto"/>
            </w:pPr>
            <w:r/>
            <w:r>
              <w:rPr>
                <w:rFonts w:ascii="Calibri" w:hAnsi="Calibri"/>
                <w:b/>
                <w:color w:val="0B2545"/>
                <w:sz w:val="19"/>
              </w:rPr>
              <w:t>User / role</w:t>
            </w:r>
          </w:p>
        </w:tc>
        <w:tc>
          <w:tcPr>
            <w:tcW w:type="dxa" w:w="3200"/>
            <w:vAlign w:val="center"/>
            <w:shd w:fill="E8EEF5" w:val="clear"/>
            <w:tcMar>
              <w:top w:w="80" w:type="dxa"/>
              <w:bottom w:w="80" w:type="dxa"/>
              <w:start w:w="120" w:type="dxa"/>
              <w:end w:w="120" w:type="dxa"/>
            </w:tcMar>
          </w:tcPr>
          <w:p>
            <w:pPr>
              <w:spacing w:before="0" w:after="0" w:line="269" w:lineRule="auto"/>
            </w:pPr>
            <w:r/>
            <w:r>
              <w:rPr>
                <w:rFonts w:ascii="Calibri" w:hAnsi="Calibri"/>
                <w:b/>
                <w:color w:val="0B2545"/>
                <w:sz w:val="19"/>
              </w:rPr>
              <w:t>Primary responsibility</w:t>
            </w:r>
          </w:p>
        </w:tc>
        <w:tc>
          <w:tcPr>
            <w:tcW w:type="dxa" w:w="4260"/>
            <w:vAlign w:val="center"/>
            <w:shd w:fill="E8EEF5" w:val="clear"/>
            <w:tcMar>
              <w:top w:w="80" w:type="dxa"/>
              <w:bottom w:w="80" w:type="dxa"/>
              <w:start w:w="120" w:type="dxa"/>
              <w:end w:w="120" w:type="dxa"/>
            </w:tcMar>
          </w:tcPr>
          <w:p>
            <w:pPr>
              <w:spacing w:before="0" w:after="0" w:line="269" w:lineRule="auto"/>
            </w:pPr>
            <w:r/>
            <w:r>
              <w:rPr>
                <w:rFonts w:ascii="Calibri" w:hAnsi="Calibri"/>
                <w:b/>
                <w:color w:val="0B2545"/>
                <w:sz w:val="19"/>
              </w:rPr>
              <w:t>Main access</w:t>
            </w:r>
          </w:p>
        </w:tc>
      </w:tr>
      <w:tr>
        <w:trPr/>
        <w:tc>
          <w:tcPr>
            <w:tcW w:type="dxa" w:w="1900"/>
            <w:vAlign w:val="center"/>
            <w:tcMar>
              <w:top w:w="80" w:type="dxa"/>
              <w:bottom w:w="80" w:type="dxa"/>
              <w:start w:w="120" w:type="dxa"/>
              <w:end w:w="120" w:type="dxa"/>
            </w:tcMar>
          </w:tcPr>
          <w:p>
            <w:pPr>
              <w:spacing w:before="0" w:after="0" w:line="269" w:lineRule="auto"/>
            </w:pPr>
            <w:r/>
            <w:r>
              <w:rPr>
                <w:rFonts w:ascii="Calibri" w:hAnsi="Calibri"/>
                <w:b w:val="0"/>
                <w:color w:val="1F2933"/>
                <w:sz w:val="19"/>
              </w:rPr>
              <w:t>Applicant / learner</w:t>
            </w:r>
          </w:p>
        </w:tc>
        <w:tc>
          <w:tcPr>
            <w:tcW w:type="dxa" w:w="3200"/>
            <w:vAlign w:val="center"/>
            <w:tcMar>
              <w:top w:w="80" w:type="dxa"/>
              <w:bottom w:w="80" w:type="dxa"/>
              <w:start w:w="120" w:type="dxa"/>
              <w:end w:w="120" w:type="dxa"/>
            </w:tcMar>
          </w:tcPr>
          <w:p>
            <w:pPr>
              <w:spacing w:before="0" w:after="0" w:line="269" w:lineRule="auto"/>
            </w:pPr>
            <w:r/>
            <w:r>
              <w:rPr>
                <w:rFonts w:ascii="Calibri" w:hAnsi="Calibri"/>
                <w:b w:val="0"/>
                <w:color w:val="1F2933"/>
                <w:sz w:val="19"/>
              </w:rPr>
              <w:t>Creates and maintains one intake application and receives outcomes.</w:t>
            </w:r>
          </w:p>
        </w:tc>
        <w:tc>
          <w:tcPr>
            <w:tcW w:type="dxa" w:w="4260"/>
            <w:vAlign w:val="center"/>
            <w:tcMar>
              <w:top w:w="80" w:type="dxa"/>
              <w:bottom w:w="80" w:type="dxa"/>
              <w:start w:w="120" w:type="dxa"/>
              <w:end w:w="120" w:type="dxa"/>
            </w:tcMar>
          </w:tcPr>
          <w:p>
            <w:pPr>
              <w:spacing w:before="0" w:after="0" w:line="269" w:lineRule="auto"/>
            </w:pPr>
            <w:r/>
            <w:r>
              <w:rPr>
                <w:rFonts w:ascii="Calibri" w:hAnsi="Calibri"/>
                <w:b w:val="0"/>
                <w:color w:val="1F2933"/>
                <w:sz w:val="19"/>
              </w:rPr>
              <w:t>Qualification check, access management, profile, evidence upload, review, submission, corrections, notifications and support chat for own record.</w:t>
            </w:r>
          </w:p>
        </w:tc>
      </w:tr>
      <w:tr>
        <w:trPr/>
        <w:tc>
          <w:tcPr>
            <w:tcW w:type="dxa" w:w="1900"/>
            <w:vAlign w:val="center"/>
            <w:tcMar>
              <w:top w:w="80" w:type="dxa"/>
              <w:bottom w:w="80" w:type="dxa"/>
              <w:start w:w="120" w:type="dxa"/>
              <w:end w:w="120" w:type="dxa"/>
            </w:tcMar>
          </w:tcPr>
          <w:p>
            <w:pPr>
              <w:spacing w:before="0" w:after="0" w:line="269" w:lineRule="auto"/>
            </w:pPr>
            <w:r/>
            <w:r>
              <w:rPr>
                <w:rFonts w:ascii="Calibri" w:hAnsi="Calibri"/>
                <w:b w:val="0"/>
                <w:color w:val="1F2933"/>
                <w:sz w:val="19"/>
              </w:rPr>
              <w:t>Staff reviewer</w:t>
            </w:r>
          </w:p>
        </w:tc>
        <w:tc>
          <w:tcPr>
            <w:tcW w:type="dxa" w:w="3200"/>
            <w:vAlign w:val="center"/>
            <w:tcMar>
              <w:top w:w="80" w:type="dxa"/>
              <w:bottom w:w="80" w:type="dxa"/>
              <w:start w:w="120" w:type="dxa"/>
              <w:end w:w="120" w:type="dxa"/>
            </w:tcMar>
          </w:tcPr>
          <w:p>
            <w:pPr>
              <w:spacing w:before="0" w:after="0" w:line="269" w:lineRule="auto"/>
            </w:pPr>
            <w:r/>
            <w:r>
              <w:rPr>
                <w:rFonts w:ascii="Calibri" w:hAnsi="Calibri"/>
                <w:b w:val="0"/>
                <w:color w:val="1F2933"/>
                <w:sz w:val="19"/>
              </w:rPr>
              <w:t>Performs evidence and eligibility review.</w:t>
            </w:r>
          </w:p>
        </w:tc>
        <w:tc>
          <w:tcPr>
            <w:tcW w:type="dxa" w:w="4260"/>
            <w:vAlign w:val="center"/>
            <w:tcMar>
              <w:top w:w="80" w:type="dxa"/>
              <w:bottom w:w="80" w:type="dxa"/>
              <w:start w:w="120" w:type="dxa"/>
              <w:end w:w="120" w:type="dxa"/>
            </w:tcMar>
          </w:tcPr>
          <w:p>
            <w:pPr>
              <w:spacing w:before="0" w:after="0" w:line="269" w:lineRule="auto"/>
            </w:pPr>
            <w:r/>
            <w:r>
              <w:rPr>
                <w:rFonts w:ascii="Calibri" w:hAnsi="Calibri"/>
                <w:b w:val="0"/>
                <w:color w:val="1F2933"/>
                <w:sz w:val="19"/>
              </w:rPr>
              <w:t>Organisation-scoped review queue, document review, approve for shortlist, request correction, decline, shortlist and interview actions as assigned.</w:t>
            </w:r>
          </w:p>
        </w:tc>
      </w:tr>
      <w:tr>
        <w:trPr/>
        <w:tc>
          <w:tcPr>
            <w:tcW w:type="dxa" w:w="1900"/>
            <w:vAlign w:val="center"/>
            <w:tcMar>
              <w:top w:w="80" w:type="dxa"/>
              <w:bottom w:w="80" w:type="dxa"/>
              <w:start w:w="120" w:type="dxa"/>
              <w:end w:w="120" w:type="dxa"/>
            </w:tcMar>
          </w:tcPr>
          <w:p>
            <w:pPr>
              <w:spacing w:before="0" w:after="0" w:line="269" w:lineRule="auto"/>
            </w:pPr>
            <w:r/>
            <w:r>
              <w:rPr>
                <w:rFonts w:ascii="Calibri" w:hAnsi="Calibri"/>
                <w:b w:val="0"/>
                <w:color w:val="1F2933"/>
                <w:sz w:val="19"/>
              </w:rPr>
              <w:t>Staff supervisor</w:t>
            </w:r>
          </w:p>
        </w:tc>
        <w:tc>
          <w:tcPr>
            <w:tcW w:type="dxa" w:w="3200"/>
            <w:vAlign w:val="center"/>
            <w:tcMar>
              <w:top w:w="80" w:type="dxa"/>
              <w:bottom w:w="80" w:type="dxa"/>
              <w:start w:w="120" w:type="dxa"/>
              <w:end w:w="120" w:type="dxa"/>
            </w:tcMar>
          </w:tcPr>
          <w:p>
            <w:pPr>
              <w:spacing w:before="0" w:after="0" w:line="269" w:lineRule="auto"/>
            </w:pPr>
            <w:r/>
            <w:r>
              <w:rPr>
                <w:rFonts w:ascii="Calibri" w:hAnsi="Calibri"/>
                <w:b w:val="0"/>
                <w:color w:val="1F2933"/>
                <w:sz w:val="19"/>
              </w:rPr>
              <w:t>Owns operational review and intake configuration.</w:t>
            </w:r>
          </w:p>
        </w:tc>
        <w:tc>
          <w:tcPr>
            <w:tcW w:type="dxa" w:w="4260"/>
            <w:vAlign w:val="center"/>
            <w:tcMar>
              <w:top w:w="80" w:type="dxa"/>
              <w:bottom w:w="80" w:type="dxa"/>
              <w:start w:w="120" w:type="dxa"/>
              <w:end w:w="120" w:type="dxa"/>
            </w:tcMar>
          </w:tcPr>
          <w:p>
            <w:pPr>
              <w:spacing w:before="0" w:after="0" w:line="269" w:lineRule="auto"/>
            </w:pPr>
            <w:r/>
            <w:r>
              <w:rPr>
                <w:rFonts w:ascii="Calibri" w:hAnsi="Calibri"/>
                <w:b w:val="0"/>
                <w:color w:val="1F2933"/>
                <w:sz w:val="19"/>
              </w:rPr>
              <w:t>Reviewer access plus invitations, annual intake settings, advert state, capacity configuration and controlled communications.</w:t>
            </w:r>
          </w:p>
        </w:tc>
      </w:tr>
      <w:tr>
        <w:trPr/>
        <w:tc>
          <w:tcPr>
            <w:tcW w:type="dxa" w:w="1900"/>
            <w:vAlign w:val="center"/>
            <w:tcMar>
              <w:top w:w="80" w:type="dxa"/>
              <w:bottom w:w="80" w:type="dxa"/>
              <w:start w:w="120" w:type="dxa"/>
              <w:end w:w="120" w:type="dxa"/>
            </w:tcMar>
          </w:tcPr>
          <w:p>
            <w:pPr>
              <w:spacing w:before="0" w:after="0" w:line="269" w:lineRule="auto"/>
            </w:pPr>
            <w:r/>
            <w:r>
              <w:rPr>
                <w:rFonts w:ascii="Calibri" w:hAnsi="Calibri"/>
                <w:b w:val="0"/>
                <w:color w:val="1F2933"/>
                <w:sz w:val="19"/>
              </w:rPr>
              <w:t>Platform administrator</w:t>
            </w:r>
          </w:p>
        </w:tc>
        <w:tc>
          <w:tcPr>
            <w:tcW w:type="dxa" w:w="3200"/>
            <w:vAlign w:val="center"/>
            <w:tcMar>
              <w:top w:w="80" w:type="dxa"/>
              <w:bottom w:w="80" w:type="dxa"/>
              <w:start w:w="120" w:type="dxa"/>
              <w:end w:w="120" w:type="dxa"/>
            </w:tcMar>
          </w:tcPr>
          <w:p>
            <w:pPr>
              <w:spacing w:before="0" w:after="0" w:line="269" w:lineRule="auto"/>
            </w:pPr>
            <w:r/>
            <w:r>
              <w:rPr>
                <w:rFonts w:ascii="Calibri" w:hAnsi="Calibri"/>
                <w:b w:val="0"/>
                <w:color w:val="1F2933"/>
                <w:sz w:val="19"/>
              </w:rPr>
              <w:t>Platform-level administration and support.</w:t>
            </w:r>
          </w:p>
        </w:tc>
        <w:tc>
          <w:tcPr>
            <w:tcW w:type="dxa" w:w="4260"/>
            <w:vAlign w:val="center"/>
            <w:tcMar>
              <w:top w:w="80" w:type="dxa"/>
              <w:bottom w:w="80" w:type="dxa"/>
              <w:start w:w="120" w:type="dxa"/>
              <w:end w:w="120" w:type="dxa"/>
            </w:tcMar>
          </w:tcPr>
          <w:p>
            <w:pPr>
              <w:spacing w:before="0" w:after="0" w:line="269" w:lineRule="auto"/>
            </w:pPr>
            <w:r/>
            <w:r>
              <w:rPr>
                <w:rFonts w:ascii="Calibri" w:hAnsi="Calibri"/>
                <w:b w:val="0"/>
                <w:color w:val="1F2933"/>
                <w:sz w:val="19"/>
              </w:rPr>
              <w:t>Full administrative access subject to eGov separation-of-duties policy.</w:t>
            </w:r>
          </w:p>
        </w:tc>
      </w:tr>
      <w:tr>
        <w:trPr/>
        <w:tc>
          <w:tcPr>
            <w:tcW w:type="dxa" w:w="1900"/>
            <w:vAlign w:val="center"/>
            <w:tcMar>
              <w:top w:w="80" w:type="dxa"/>
              <w:bottom w:w="80" w:type="dxa"/>
              <w:start w:w="120" w:type="dxa"/>
              <w:end w:w="120" w:type="dxa"/>
            </w:tcMar>
          </w:tcPr>
          <w:p>
            <w:pPr>
              <w:spacing w:before="0" w:after="0" w:line="269" w:lineRule="auto"/>
            </w:pPr>
            <w:r/>
            <w:r>
              <w:rPr>
                <w:rFonts w:ascii="Calibri" w:hAnsi="Calibri"/>
                <w:b w:val="0"/>
                <w:color w:val="1F2933"/>
                <w:sz w:val="19"/>
              </w:rPr>
              <w:t>Employer member</w:t>
            </w:r>
          </w:p>
        </w:tc>
        <w:tc>
          <w:tcPr>
            <w:tcW w:type="dxa" w:w="3200"/>
            <w:vAlign w:val="center"/>
            <w:tcMar>
              <w:top w:w="80" w:type="dxa"/>
              <w:bottom w:w="80" w:type="dxa"/>
              <w:start w:w="120" w:type="dxa"/>
              <w:end w:w="120" w:type="dxa"/>
            </w:tcMar>
          </w:tcPr>
          <w:p>
            <w:pPr>
              <w:spacing w:before="0" w:after="0" w:line="269" w:lineRule="auto"/>
            </w:pPr>
            <w:r/>
            <w:r>
              <w:rPr>
                <w:rFonts w:ascii="Calibri" w:hAnsi="Calibri"/>
                <w:b w:val="0"/>
                <w:color w:val="1F2933"/>
                <w:sz w:val="19"/>
              </w:rPr>
              <w:t>Views released placement candidates and responds to offers.</w:t>
            </w:r>
          </w:p>
        </w:tc>
        <w:tc>
          <w:tcPr>
            <w:tcW w:type="dxa" w:w="4260"/>
            <w:vAlign w:val="center"/>
            <w:tcMar>
              <w:top w:w="80" w:type="dxa"/>
              <w:bottom w:w="80" w:type="dxa"/>
              <w:start w:w="120" w:type="dxa"/>
              <w:end w:w="120" w:type="dxa"/>
            </w:tcMar>
          </w:tcPr>
          <w:p>
            <w:pPr>
              <w:spacing w:before="0" w:after="0" w:line="269" w:lineRule="auto"/>
            </w:pPr>
            <w:r/>
            <w:r>
              <w:rPr>
                <w:rFonts w:ascii="Calibri" w:hAnsi="Calibri"/>
                <w:b w:val="0"/>
                <w:color w:val="1F2933"/>
                <w:sz w:val="19"/>
              </w:rPr>
              <w:t>Only candidates explicitly released to the employer organisation; no unreleased evidence or staff eligibility decisions.</w:t>
            </w:r>
          </w:p>
        </w:tc>
      </w:tr>
      <w:tr>
        <w:trPr/>
        <w:tc>
          <w:tcPr>
            <w:tcW w:type="dxa" w:w="1900"/>
            <w:vAlign w:val="center"/>
            <w:tcMar>
              <w:top w:w="80" w:type="dxa"/>
              <w:bottom w:w="80" w:type="dxa"/>
              <w:start w:w="120" w:type="dxa"/>
              <w:end w:w="120" w:type="dxa"/>
            </w:tcMar>
          </w:tcPr>
          <w:p>
            <w:pPr>
              <w:spacing w:before="0" w:after="0" w:line="269" w:lineRule="auto"/>
            </w:pPr>
            <w:r/>
            <w:r>
              <w:rPr>
                <w:rFonts w:ascii="Calibri" w:hAnsi="Calibri"/>
                <w:b w:val="0"/>
                <w:color w:val="1F2933"/>
                <w:sz w:val="19"/>
              </w:rPr>
              <w:t>Employer coordinator</w:t>
            </w:r>
          </w:p>
        </w:tc>
        <w:tc>
          <w:tcPr>
            <w:tcW w:type="dxa" w:w="3200"/>
            <w:vAlign w:val="center"/>
            <w:tcMar>
              <w:top w:w="80" w:type="dxa"/>
              <w:bottom w:w="80" w:type="dxa"/>
              <w:start w:w="120" w:type="dxa"/>
              <w:end w:w="120" w:type="dxa"/>
            </w:tcMar>
          </w:tcPr>
          <w:p>
            <w:pPr>
              <w:spacing w:before="0" w:after="0" w:line="269" w:lineRule="auto"/>
            </w:pPr>
            <w:r/>
            <w:r>
              <w:rPr>
                <w:rFonts w:ascii="Calibri" w:hAnsi="Calibri"/>
                <w:b w:val="0"/>
                <w:color w:val="1F2933"/>
                <w:sz w:val="19"/>
              </w:rPr>
              <w:t>Coordinates placement responses for the employer organisation.</w:t>
            </w:r>
          </w:p>
        </w:tc>
        <w:tc>
          <w:tcPr>
            <w:tcW w:type="dxa" w:w="4260"/>
            <w:vAlign w:val="center"/>
            <w:tcMar>
              <w:top w:w="80" w:type="dxa"/>
              <w:bottom w:w="80" w:type="dxa"/>
              <w:start w:w="120" w:type="dxa"/>
              <w:end w:w="120" w:type="dxa"/>
            </w:tcMar>
          </w:tcPr>
          <w:p>
            <w:pPr>
              <w:spacing w:before="0" w:after="0" w:line="269" w:lineRule="auto"/>
            </w:pPr>
            <w:r/>
            <w:r>
              <w:rPr>
                <w:rFonts w:ascii="Calibri" w:hAnsi="Calibri"/>
                <w:b w:val="0"/>
                <w:color w:val="1F2933"/>
                <w:sz w:val="19"/>
              </w:rPr>
              <w:t>Employer member access with organisation-scoped placement response actions.</w:t>
            </w:r>
          </w:p>
        </w:tc>
      </w:tr>
    </w:tbl>
    <w:p>
      <w:pPr>
        <w:spacing w:after="20"/>
      </w:pPr>
    </w:p>
    <w:tbl>
      <w:tblPr>
        <w:tblStyle w:val="TableGrid"/>
        <w:tblW w:type="dxa" w:w="9360"/>
        <w:jc w:val="left"/>
        <w:tblLayout w:type="fixed"/>
        <w:tblLook w:firstColumn="1" w:firstRow="1" w:lastColumn="0" w:lastRow="0" w:noHBand="0" w:noVBand="1" w:val="04A0"/>
        <w:tblInd w:type="dxa" w:w="120"/>
        <w:tblBorders>
          <w:top w:val="single" w:sz="4" w:space="0" w:color="D1D9E2"/>
          <w:left w:val="single" w:sz="4" w:space="0" w:color="D1D9E2"/>
          <w:bottom w:val="single" w:sz="4" w:space="0" w:color="D1D9E2"/>
          <w:right w:val="single" w:sz="4" w:space="0" w:color="D1D9E2"/>
          <w:insideH w:val="single" w:sz="4" w:space="0" w:color="D1D9E2"/>
          <w:insideV w:val="single" w:sz="4" w:space="0" w:color="D1D9E2"/>
        </w:tblBorders>
      </w:tblPr>
      <w:tblGrid>
        <w:gridCol w:w="9360"/>
      </w:tblGrid>
      <w:tr>
        <w:trPr>
          <w:tblHeader/>
        </w:trPr>
        <w:tc>
          <w:tcPr>
            <w:tcW w:type="dxa" w:w="9360"/>
            <w:shd w:fill="FDECEC" w:val="clear"/>
            <w:tcMar>
              <w:top w:w="80" w:type="dxa"/>
              <w:bottom w:w="80" w:type="dxa"/>
              <w:start w:w="120" w:type="dxa"/>
              <w:end w:w="120" w:type="dxa"/>
            </w:tcMar>
          </w:tcPr>
          <w:p>
            <w:pPr>
              <w:spacing w:before="0" w:after="0" w:line="276" w:lineRule="auto"/>
            </w:pPr>
            <w:r/>
            <w:r>
              <w:rPr>
                <w:rFonts w:ascii="Calibri" w:hAnsi="Calibri"/>
                <w:b/>
                <w:color w:val="9B1C1C"/>
                <w:sz w:val="21"/>
              </w:rPr>
              <w:t xml:space="preserve">Access rule: </w:t>
            </w:r>
            <w:r>
              <w:rPr>
                <w:rFonts w:ascii="Calibri" w:hAnsi="Calibri"/>
                <w:color w:val="1F2933"/>
                <w:sz w:val="21"/>
              </w:rPr>
              <w:t>A user must not see another organisation's applications, documents, contact data or placement work. Staff and employer access must be tested with users from at least two organisations before acceptance.</w:t>
            </w:r>
          </w:p>
        </w:tc>
      </w:tr>
    </w:tbl>
    <w:p>
      <w:pPr>
        <w:spacing w:after="20"/>
      </w:pPr>
    </w:p>
    <w:p>
      <w:pPr>
        <w:pStyle w:val="Heading1"/>
        <w:keepNext/>
      </w:pPr>
      <w:r>
        <w:rPr>
          <w:rFonts w:ascii="Calibri" w:hAnsi="Calibri"/>
          <w:b/>
          <w:color w:val="2E74B5"/>
          <w:sz w:val="32"/>
        </w:rPr>
        <w:t>8. User workflows</w:t>
      </w:r>
    </w:p>
    <w:p>
      <w:pPr>
        <w:pStyle w:val="Heading2"/>
        <w:keepNext/>
      </w:pPr>
      <w:r>
        <w:rPr>
          <w:rFonts w:ascii="Calibri" w:hAnsi="Calibri"/>
          <w:b/>
          <w:color w:val="2E74B5"/>
          <w:sz w:val="26"/>
        </w:rPr>
        <w:t>8.1 Applicant: qualification and access</w:t>
      </w:r>
    </w:p>
    <w:p>
      <w:pPr>
        <w:spacing w:before="0" w:after="120" w:line="300" w:lineRule="auto"/>
      </w:pPr>
      <w:r>
        <w:rPr>
          <w:rFonts w:ascii="Calibri" w:hAnsi="Calibri"/>
          <w:b w:val="0"/>
          <w:i w:val="0"/>
          <w:color w:val="1F2933"/>
          <w:sz w:val="22"/>
        </w:rPr>
        <w:t>The applicant checks one qualification pathway before creating an account. The checker preserves original values and does not convert APS, M score and NC(V) percentages into one common score.</w:t>
      </w:r>
    </w:p>
    <w:p>
      <w:pPr>
        <w:pStyle w:val="Heading3"/>
        <w:keepNext/>
      </w:pPr>
      <w:r>
        <w:rPr>
          <w:rFonts w:ascii="Calibri" w:hAnsi="Calibri"/>
          <w:b/>
          <w:color w:val="1F4D78"/>
          <w:sz w:val="24"/>
        </w:rPr>
        <w:t>Procedure</w:t>
      </w:r>
    </w:p>
    <w:p>
      <w:pPr>
        <w:pStyle w:val="ListNumber"/>
        <w:numPr>
          <w:ilvl w:val="0"/>
          <w:numId w:val="11"/>
        </w:numPr>
        <w:spacing w:before="0" w:after="80" w:line="300" w:lineRule="auto"/>
        <w:ind w:left="540" w:hanging="271"/>
      </w:pPr>
      <w:r>
        <w:rPr>
          <w:rFonts w:ascii="Calibri" w:hAnsi="Calibri"/>
          <w:color w:val="1F2933"/>
          <w:sz w:val="22"/>
        </w:rPr>
        <w:t>Open the Applicant portal and select Check my qualification.</w:t>
      </w:r>
    </w:p>
    <w:p>
      <w:pPr>
        <w:pStyle w:val="ListNumber"/>
        <w:numPr>
          <w:ilvl w:val="0"/>
          <w:numId w:val="11"/>
        </w:numPr>
        <w:spacing w:before="0" w:after="80" w:line="300" w:lineRule="auto"/>
        <w:ind w:left="540" w:hanging="271"/>
      </w:pPr>
      <w:r>
        <w:rPr>
          <w:rFonts w:ascii="Calibri" w:hAnsi="Calibri"/>
          <w:color w:val="1F2933"/>
          <w:sz w:val="22"/>
        </w:rPr>
        <w:t>Select exactly one pathway: NSC / Grade 12, Senior Certificate or NC(V) Level 4.</w:t>
      </w:r>
    </w:p>
    <w:p>
      <w:pPr>
        <w:pStyle w:val="ListNumber"/>
        <w:numPr>
          <w:ilvl w:val="0"/>
          <w:numId w:val="11"/>
        </w:numPr>
        <w:spacing w:before="0" w:after="80" w:line="300" w:lineRule="auto"/>
        <w:ind w:left="540" w:hanging="271"/>
      </w:pPr>
      <w:r>
        <w:rPr>
          <w:rFonts w:ascii="Calibri" w:hAnsi="Calibri"/>
          <w:color w:val="1F2933"/>
          <w:sz w:val="22"/>
        </w:rPr>
        <w:t>Enter the original reported values. For NSC, Mathematics and Maths Literacy are alternatives; only one is used. For Senior Certificate, HG/SG grades and M score are retained. For NC(V), fundamental and named vocational subjects use recorded percentages.</w:t>
      </w:r>
    </w:p>
    <w:p>
      <w:pPr>
        <w:pStyle w:val="ListNumber"/>
        <w:numPr>
          <w:ilvl w:val="0"/>
          <w:numId w:val="11"/>
        </w:numPr>
        <w:spacing w:before="0" w:after="80" w:line="300" w:lineRule="auto"/>
        <w:ind w:left="540" w:hanging="271"/>
      </w:pPr>
      <w:r>
        <w:rPr>
          <w:rFonts w:ascii="Calibri" w:hAnsi="Calibri"/>
          <w:color w:val="1F2933"/>
          <w:sz w:val="22"/>
        </w:rPr>
        <w:t>Submit the qualification check. The API re-evaluates the selected pathway and returns the original pathway score/result.</w:t>
      </w:r>
    </w:p>
    <w:p>
      <w:pPr>
        <w:pStyle w:val="ListNumber"/>
        <w:numPr>
          <w:ilvl w:val="0"/>
          <w:numId w:val="11"/>
        </w:numPr>
        <w:spacing w:before="0" w:after="80" w:line="300" w:lineRule="auto"/>
        <w:ind w:left="540" w:hanging="271"/>
      </w:pPr>
      <w:r>
        <w:rPr>
          <w:rFonts w:ascii="Calibri" w:hAnsi="Calibri"/>
          <w:color w:val="1F2933"/>
          <w:sz w:val="22"/>
        </w:rPr>
        <w:t>If the minimum criteria pass, continue to Access management. If the applicant does not qualify, use the separate non-qualifier path to retain the pathway values, failed criteria, result status, score and contact details.</w:t>
      </w:r>
    </w:p>
    <w:p>
      <w:pPr>
        <w:pStyle w:val="Heading3"/>
        <w:keepNext/>
      </w:pPr>
      <w:r>
        <w:rPr>
          <w:rFonts w:ascii="Calibri" w:hAnsi="Calibri"/>
          <w:b/>
          <w:color w:val="1F4D78"/>
          <w:sz w:val="24"/>
        </w:rPr>
        <w:t>Controls</w:t>
      </w:r>
    </w:p>
    <w:p>
      <w:pPr>
        <w:pStyle w:val="ListBullet"/>
        <w:spacing w:before="0" w:after="80" w:line="300" w:lineRule="auto"/>
        <w:ind w:left="540" w:hanging="271"/>
      </w:pPr>
      <w:r>
        <w:rPr>
          <w:rFonts w:ascii="Calibri" w:hAnsi="Calibri"/>
          <w:color w:val="1F2933"/>
          <w:sz w:val="22"/>
        </w:rPr>
        <w:t>Eligibility aid is not the final admissions decision; staff must verify evidence and policy conditions.</w:t>
      </w:r>
    </w:p>
    <w:p>
      <w:pPr>
        <w:pStyle w:val="ListBullet"/>
        <w:spacing w:before="0" w:after="80" w:line="300" w:lineRule="auto"/>
        <w:ind w:left="540" w:hanging="271"/>
      </w:pPr>
      <w:r>
        <w:rPr>
          <w:rFonts w:ascii="Calibri" w:hAnsi="Calibri"/>
          <w:color w:val="1F2933"/>
          <w:sz w:val="22"/>
        </w:rPr>
        <w:t>Do not compare or rank APS, Senior Certificate M score and NC(V) percentages across pathways.</w:t>
      </w:r>
    </w:p>
    <w:p>
      <w:pPr>
        <w:pStyle w:val="ListBullet"/>
        <w:spacing w:before="0" w:after="80" w:line="300" w:lineRule="auto"/>
        <w:ind w:left="540" w:hanging="271"/>
      </w:pPr>
      <w:r>
        <w:rPr>
          <w:rFonts w:ascii="Calibri" w:hAnsi="Calibri"/>
          <w:color w:val="1F2933"/>
          <w:sz w:val="22"/>
        </w:rPr>
        <w:t>Use a versioned equivalency matrix only after GCON approves the formula, weights, maxima, rounding, tie rules, appeals and effective cycle.</w:t>
      </w:r>
    </w:p>
    <w:p>
      <w:pPr>
        <w:spacing w:before="0" w:after="180" w:line="300" w:lineRule="auto"/>
      </w:pPr>
      <w:r>
        <w:rPr>
          <w:rFonts w:ascii="Calibri" w:hAnsi="Calibri"/>
          <w:b/>
          <w:i w:val="0"/>
          <w:color w:val="0B2545"/>
          <w:sz w:val="22"/>
        </w:rPr>
        <w:t>Expected outcome: The applicant has a pathway-specific result and either proceeds to registration or receives a recorded non-qualifying outcome.</w:t>
      </w:r>
    </w:p>
    <w:p>
      <w:pPr>
        <w:pStyle w:val="Heading2"/>
        <w:keepNext/>
      </w:pPr>
      <w:r>
        <w:rPr>
          <w:rFonts w:ascii="Calibri" w:hAnsi="Calibri"/>
          <w:b/>
          <w:color w:val="2E74B5"/>
          <w:sz w:val="26"/>
        </w:rPr>
        <w:t>8.2 Applicant: account and profile</w:t>
      </w:r>
    </w:p>
    <w:p>
      <w:pPr>
        <w:spacing w:before="0" w:after="120" w:line="300" w:lineRule="auto"/>
      </w:pPr>
      <w:r>
        <w:rPr>
          <w:rFonts w:ascii="Calibri" w:hAnsi="Calibri"/>
          <w:b w:val="0"/>
          <w:i w:val="0"/>
          <w:color w:val="1F2933"/>
          <w:sz w:val="22"/>
        </w:rPr>
        <w:t>A qualified applicant creates or uses an account, completes the profile, records preferences and prepares the application for review.</w:t>
      </w:r>
    </w:p>
    <w:p>
      <w:pPr>
        <w:pStyle w:val="Heading3"/>
        <w:keepNext/>
      </w:pPr>
      <w:r>
        <w:rPr>
          <w:rFonts w:ascii="Calibri" w:hAnsi="Calibri"/>
          <w:b/>
          <w:color w:val="1F4D78"/>
          <w:sz w:val="24"/>
        </w:rPr>
        <w:t>Procedure</w:t>
      </w:r>
    </w:p>
    <w:p>
      <w:pPr>
        <w:pStyle w:val="ListNumber"/>
        <w:numPr>
          <w:ilvl w:val="0"/>
          <w:numId w:val="12"/>
        </w:numPr>
        <w:spacing w:before="0" w:after="80" w:line="300" w:lineRule="auto"/>
        <w:ind w:left="540" w:hanging="271"/>
      </w:pPr>
      <w:r>
        <w:rPr>
          <w:rFonts w:ascii="Calibri" w:hAnsi="Calibri"/>
          <w:color w:val="1F2933"/>
          <w:sz w:val="22"/>
        </w:rPr>
        <w:t>Use Access management to sign in or create a learner account. The current local MVP accepts a 13-digit ID number as the username and requires a password of at least eight characters; eGov must replace this with the approved identity pattern for production.</w:t>
      </w:r>
    </w:p>
    <w:p>
      <w:pPr>
        <w:pStyle w:val="ListNumber"/>
        <w:numPr>
          <w:ilvl w:val="0"/>
          <w:numId w:val="12"/>
        </w:numPr>
        <w:spacing w:before="0" w:after="80" w:line="300" w:lineRule="auto"/>
        <w:ind w:left="540" w:hanging="271"/>
      </w:pPr>
      <w:r>
        <w:rPr>
          <w:rFonts w:ascii="Calibri" w:hAnsi="Calibri"/>
          <w:color w:val="1F2933"/>
          <w:sz w:val="22"/>
        </w:rPr>
        <w:t>Complete contact details, structured address and Gauteng location confirmation, school and result year.</w:t>
      </w:r>
    </w:p>
    <w:p>
      <w:pPr>
        <w:pStyle w:val="ListNumber"/>
        <w:numPr>
          <w:ilvl w:val="0"/>
          <w:numId w:val="12"/>
        </w:numPr>
        <w:spacing w:before="0" w:after="80" w:line="300" w:lineRule="auto"/>
        <w:ind w:left="540" w:hanging="271"/>
      </w:pPr>
      <w:r>
        <w:rPr>
          <w:rFonts w:ascii="Calibri" w:hAnsi="Calibri"/>
          <w:color w:val="1F2933"/>
          <w:sz w:val="22"/>
        </w:rPr>
        <w:t>Complete certificate-dependent subjects, previous nursing training and up to three detailed work-experience records where applicable.</w:t>
      </w:r>
    </w:p>
    <w:p>
      <w:pPr>
        <w:pStyle w:val="ListNumber"/>
        <w:numPr>
          <w:ilvl w:val="0"/>
          <w:numId w:val="12"/>
        </w:numPr>
        <w:spacing w:before="0" w:after="80" w:line="300" w:lineRule="auto"/>
        <w:ind w:left="540" w:hanging="271"/>
      </w:pPr>
      <w:r>
        <w:rPr>
          <w:rFonts w:ascii="Calibri" w:hAnsi="Calibri"/>
          <w:color w:val="1F2933"/>
          <w:sz w:val="22"/>
        </w:rPr>
        <w:t>Select college preferences from the approved campus list.</w:t>
      </w:r>
    </w:p>
    <w:p>
      <w:pPr>
        <w:pStyle w:val="ListNumber"/>
        <w:numPr>
          <w:ilvl w:val="0"/>
          <w:numId w:val="12"/>
        </w:numPr>
        <w:spacing w:before="0" w:after="80" w:line="300" w:lineRule="auto"/>
        <w:ind w:left="540" w:hanging="271"/>
      </w:pPr>
      <w:r>
        <w:rPr>
          <w:rFonts w:ascii="Calibri" w:hAnsi="Calibri"/>
          <w:color w:val="1F2933"/>
          <w:sz w:val="22"/>
        </w:rPr>
        <w:t>Save the draft and confirm that the application remains editable while it is in Draft or Correction requested state.</w:t>
      </w:r>
    </w:p>
    <w:p>
      <w:pPr>
        <w:pStyle w:val="Heading3"/>
        <w:keepNext/>
      </w:pPr>
      <w:r>
        <w:rPr>
          <w:rFonts w:ascii="Calibri" w:hAnsi="Calibri"/>
          <w:b/>
          <w:color w:val="1F4D78"/>
          <w:sz w:val="24"/>
        </w:rPr>
        <w:t>Controls</w:t>
      </w:r>
    </w:p>
    <w:p>
      <w:pPr>
        <w:pStyle w:val="ListBullet"/>
        <w:spacing w:before="0" w:after="80" w:line="300" w:lineRule="auto"/>
        <w:ind w:left="540" w:hanging="271"/>
      </w:pPr>
      <w:r>
        <w:rPr>
          <w:rFonts w:ascii="Calibri" w:hAnsi="Calibri"/>
          <w:color w:val="1F2933"/>
          <w:sz w:val="22"/>
        </w:rPr>
        <w:t>South African ID numbers and contact details are sensitive personal information.</w:t>
      </w:r>
    </w:p>
    <w:p>
      <w:pPr>
        <w:pStyle w:val="ListBullet"/>
        <w:spacing w:before="0" w:after="80" w:line="300" w:lineRule="auto"/>
        <w:ind w:left="540" w:hanging="271"/>
      </w:pPr>
      <w:r>
        <w:rPr>
          <w:rFonts w:ascii="Calibri" w:hAnsi="Calibri"/>
          <w:color w:val="1F2933"/>
          <w:sz w:val="22"/>
        </w:rPr>
        <w:t>Address and map-pin validation must be enforced by the server, not only by browser controls.</w:t>
      </w:r>
    </w:p>
    <w:p>
      <w:pPr>
        <w:pStyle w:val="ListBullet"/>
        <w:spacing w:before="0" w:after="80" w:line="300" w:lineRule="auto"/>
        <w:ind w:left="540" w:hanging="271"/>
      </w:pPr>
      <w:r>
        <w:rPr>
          <w:rFonts w:ascii="Calibri" w:hAnsi="Calibri"/>
          <w:color w:val="1F2933"/>
          <w:sz w:val="22"/>
        </w:rPr>
        <w:t>Draft editing must be blocked after a controlled state transition that no longer allows editing.</w:t>
      </w:r>
    </w:p>
    <w:p>
      <w:pPr>
        <w:spacing w:before="0" w:after="180" w:line="300" w:lineRule="auto"/>
      </w:pPr>
      <w:r>
        <w:rPr>
          <w:rFonts w:ascii="Calibri" w:hAnsi="Calibri"/>
          <w:b/>
          <w:i w:val="0"/>
          <w:color w:val="0B2545"/>
          <w:sz w:val="22"/>
        </w:rPr>
        <w:t>Expected outcome: A complete, saveable learner draft is ready for evidence upload and review.</w:t>
      </w:r>
    </w:p>
    <w:p>
      <w:pPr>
        <w:pStyle w:val="Heading2"/>
        <w:keepNext/>
      </w:pPr>
      <w:r>
        <w:rPr>
          <w:rFonts w:ascii="Calibri" w:hAnsi="Calibri"/>
          <w:b/>
          <w:color w:val="2E74B5"/>
          <w:sz w:val="26"/>
        </w:rPr>
        <w:t>8.3 Applicant: evidence upload and submission</w:t>
      </w:r>
    </w:p>
    <w:p>
      <w:pPr>
        <w:spacing w:before="0" w:after="120" w:line="300" w:lineRule="auto"/>
      </w:pPr>
      <w:r>
        <w:rPr>
          <w:rFonts w:ascii="Calibri" w:hAnsi="Calibri"/>
          <w:b w:val="0"/>
          <w:i w:val="0"/>
          <w:color w:val="1F2933"/>
          <w:sz w:val="22"/>
        </w:rPr>
        <w:t>The applicant supplies the two required evidence documents and submits one immutable intake application.</w:t>
      </w:r>
    </w:p>
    <w:p>
      <w:pPr>
        <w:pStyle w:val="Heading3"/>
        <w:keepNext/>
      </w:pPr>
      <w:r>
        <w:rPr>
          <w:rFonts w:ascii="Calibri" w:hAnsi="Calibri"/>
          <w:b/>
          <w:color w:val="1F4D78"/>
          <w:sz w:val="24"/>
        </w:rPr>
        <w:t>Procedure</w:t>
      </w:r>
    </w:p>
    <w:p>
      <w:pPr>
        <w:pStyle w:val="ListNumber"/>
        <w:numPr>
          <w:ilvl w:val="0"/>
          <w:numId w:val="13"/>
        </w:numPr>
        <w:spacing w:before="0" w:after="80" w:line="300" w:lineRule="auto"/>
        <w:ind w:left="540" w:hanging="271"/>
      </w:pPr>
      <w:r>
        <w:rPr>
          <w:rFonts w:ascii="Calibri" w:hAnsi="Calibri"/>
          <w:color w:val="1F2933"/>
          <w:sz w:val="22"/>
        </w:rPr>
        <w:t>Request an upload intent for each approved document type: Certified copy of ID and Statement of results / certificate.</w:t>
      </w:r>
    </w:p>
    <w:p>
      <w:pPr>
        <w:pStyle w:val="ListNumber"/>
        <w:numPr>
          <w:ilvl w:val="0"/>
          <w:numId w:val="13"/>
        </w:numPr>
        <w:spacing w:before="0" w:after="80" w:line="300" w:lineRule="auto"/>
        <w:ind w:left="540" w:hanging="271"/>
      </w:pPr>
      <w:r>
        <w:rPr>
          <w:rFonts w:ascii="Calibri" w:hAnsi="Calibri"/>
          <w:color w:val="1F2933"/>
          <w:sz w:val="22"/>
        </w:rPr>
        <w:t>Upload the file bytes to the short-lived content endpoint using the returned document identifier.</w:t>
      </w:r>
    </w:p>
    <w:p>
      <w:pPr>
        <w:pStyle w:val="ListNumber"/>
        <w:numPr>
          <w:ilvl w:val="0"/>
          <w:numId w:val="13"/>
        </w:numPr>
        <w:spacing w:before="0" w:after="80" w:line="300" w:lineRule="auto"/>
        <w:ind w:left="540" w:hanging="271"/>
      </w:pPr>
      <w:r>
        <w:rPr>
          <w:rFonts w:ascii="Calibri" w:hAnsi="Calibri"/>
          <w:color w:val="1F2933"/>
          <w:sz w:val="22"/>
        </w:rPr>
        <w:t>Complete each document with the returned checksum. The server retains the document state and queues it for review; a client-side success message must not mark a file complete without the API response.</w:t>
      </w:r>
    </w:p>
    <w:p>
      <w:pPr>
        <w:pStyle w:val="ListNumber"/>
        <w:numPr>
          <w:ilvl w:val="0"/>
          <w:numId w:val="13"/>
        </w:numPr>
        <w:spacing w:before="0" w:after="80" w:line="300" w:lineRule="auto"/>
        <w:ind w:left="540" w:hanging="271"/>
      </w:pPr>
      <w:r>
        <w:rPr>
          <w:rFonts w:ascii="Calibri" w:hAnsi="Calibri"/>
          <w:color w:val="1F2933"/>
          <w:sz w:val="22"/>
        </w:rPr>
        <w:t>Review the profile, pathway values, preferences, documents and declarations.</w:t>
      </w:r>
    </w:p>
    <w:p>
      <w:pPr>
        <w:pStyle w:val="ListNumber"/>
        <w:numPr>
          <w:ilvl w:val="0"/>
          <w:numId w:val="13"/>
        </w:numPr>
        <w:spacing w:before="0" w:after="80" w:line="300" w:lineRule="auto"/>
        <w:ind w:left="540" w:hanging="271"/>
      </w:pPr>
      <w:r>
        <w:rPr>
          <w:rFonts w:ascii="Calibri" w:hAnsi="Calibri"/>
          <w:color w:val="1F2933"/>
          <w:sz w:val="22"/>
        </w:rPr>
        <w:t>Submit once with an idempotency key. The API creates the immutable submission receipt and daily reference number.</w:t>
      </w:r>
    </w:p>
    <w:p>
      <w:pPr>
        <w:pStyle w:val="ListNumber"/>
        <w:numPr>
          <w:ilvl w:val="0"/>
          <w:numId w:val="13"/>
        </w:numPr>
        <w:spacing w:before="0" w:after="80" w:line="300" w:lineRule="auto"/>
        <w:ind w:left="540" w:hanging="271"/>
      </w:pPr>
      <w:r>
        <w:rPr>
          <w:rFonts w:ascii="Calibri" w:hAnsi="Calibri"/>
          <w:color w:val="1F2933"/>
          <w:sz w:val="22"/>
        </w:rPr>
        <w:t>Keep the reference number for corrections, support questions and outcomes.</w:t>
      </w:r>
    </w:p>
    <w:p>
      <w:pPr>
        <w:pStyle w:val="Heading3"/>
        <w:keepNext/>
      </w:pPr>
      <w:r>
        <w:rPr>
          <w:rFonts w:ascii="Calibri" w:hAnsi="Calibri"/>
          <w:b/>
          <w:color w:val="1F4D78"/>
          <w:sz w:val="24"/>
        </w:rPr>
        <w:t>Controls</w:t>
      </w:r>
    </w:p>
    <w:p>
      <w:pPr>
        <w:pStyle w:val="ListBullet"/>
        <w:spacing w:before="0" w:after="80" w:line="300" w:lineRule="auto"/>
        <w:ind w:left="540" w:hanging="271"/>
      </w:pPr>
      <w:r>
        <w:rPr>
          <w:rFonts w:ascii="Calibri" w:hAnsi="Calibri"/>
          <w:color w:val="1F2933"/>
          <w:sz w:val="22"/>
        </w:rPr>
        <w:t>Accept only approved content types and size limits; reject unsafe or unscanned content.</w:t>
      </w:r>
    </w:p>
    <w:p>
      <w:pPr>
        <w:pStyle w:val="ListBullet"/>
        <w:spacing w:before="0" w:after="80" w:line="300" w:lineRule="auto"/>
        <w:ind w:left="540" w:hanging="271"/>
      </w:pPr>
      <w:r>
        <w:rPr>
          <w:rFonts w:ascii="Calibri" w:hAnsi="Calibri"/>
          <w:color w:val="1F2933"/>
          <w:sz w:val="22"/>
        </w:rPr>
        <w:t>Do not place learner documents in the source repository or static demo archive.</w:t>
      </w:r>
    </w:p>
    <w:p>
      <w:pPr>
        <w:pStyle w:val="ListBullet"/>
        <w:spacing w:before="0" w:after="80" w:line="300" w:lineRule="auto"/>
        <w:ind w:left="540" w:hanging="271"/>
      </w:pPr>
      <w:r>
        <w:rPr>
          <w:rFonts w:ascii="Calibri" w:hAnsi="Calibri"/>
          <w:color w:val="1F2933"/>
          <w:sz w:val="22"/>
        </w:rPr>
        <w:t>Use private object storage, malware scanning, retention and access logs in production.</w:t>
      </w:r>
    </w:p>
    <w:p>
      <w:pPr>
        <w:spacing w:before="0" w:after="180" w:line="300" w:lineRule="auto"/>
      </w:pPr>
      <w:r>
        <w:rPr>
          <w:rFonts w:ascii="Calibri" w:hAnsi="Calibri"/>
          <w:b/>
          <w:i w:val="0"/>
          <w:color w:val="0B2545"/>
          <w:sz w:val="22"/>
        </w:rPr>
        <w:t>Expected outcome: The application is Under review and visible only to authorised staff in the correct organisation scope.</w:t>
      </w:r>
    </w:p>
    <w:p>
      <w:pPr>
        <w:pStyle w:val="Heading2"/>
        <w:keepNext/>
      </w:pPr>
      <w:r>
        <w:rPr>
          <w:rFonts w:ascii="Calibri" w:hAnsi="Calibri"/>
          <w:b/>
          <w:color w:val="2E74B5"/>
          <w:sz w:val="26"/>
        </w:rPr>
        <w:t>8.4 Staff: review, correction and decision</w:t>
      </w:r>
    </w:p>
    <w:p>
      <w:pPr>
        <w:spacing w:before="0" w:after="120" w:line="300" w:lineRule="auto"/>
      </w:pPr>
      <w:r>
        <w:rPr>
          <w:rFonts w:ascii="Calibri" w:hAnsi="Calibri"/>
          <w:b w:val="0"/>
          <w:i w:val="0"/>
          <w:color w:val="1F2933"/>
          <w:sz w:val="22"/>
        </w:rPr>
        <w:t>Staff verify the applicant record and choose a controlled next state.</w:t>
      </w:r>
    </w:p>
    <w:p>
      <w:pPr>
        <w:pStyle w:val="Heading3"/>
        <w:keepNext/>
      </w:pPr>
      <w:r>
        <w:rPr>
          <w:rFonts w:ascii="Calibri" w:hAnsi="Calibri"/>
          <w:b/>
          <w:color w:val="1F4D78"/>
          <w:sz w:val="24"/>
        </w:rPr>
        <w:t>Procedure</w:t>
      </w:r>
    </w:p>
    <w:p>
      <w:pPr>
        <w:pStyle w:val="ListNumber"/>
        <w:numPr>
          <w:ilvl w:val="0"/>
          <w:numId w:val="14"/>
        </w:numPr>
        <w:spacing w:before="0" w:after="80" w:line="300" w:lineRule="auto"/>
        <w:ind w:left="540" w:hanging="271"/>
      </w:pPr>
      <w:r>
        <w:rPr>
          <w:rFonts w:ascii="Calibri" w:hAnsi="Calibri"/>
          <w:color w:val="1F2933"/>
          <w:sz w:val="22"/>
        </w:rPr>
        <w:t>Open the Admissions workspace and use Applications or Review queue.</w:t>
      </w:r>
    </w:p>
    <w:p>
      <w:pPr>
        <w:pStyle w:val="ListNumber"/>
        <w:numPr>
          <w:ilvl w:val="0"/>
          <w:numId w:val="14"/>
        </w:numPr>
        <w:spacing w:before="0" w:after="80" w:line="300" w:lineRule="auto"/>
        <w:ind w:left="540" w:hanging="271"/>
      </w:pPr>
      <w:r>
        <w:rPr>
          <w:rFonts w:ascii="Calibri" w:hAnsi="Calibri"/>
          <w:color w:val="1F2933"/>
          <w:sz w:val="22"/>
        </w:rPr>
        <w:t>Select a candidate record and inspect the original pathway values, address verification, supplied documents and profile completeness.</w:t>
      </w:r>
    </w:p>
    <w:p>
      <w:pPr>
        <w:pStyle w:val="ListNumber"/>
        <w:numPr>
          <w:ilvl w:val="0"/>
          <w:numId w:val="14"/>
        </w:numPr>
        <w:spacing w:before="0" w:after="80" w:line="300" w:lineRule="auto"/>
        <w:ind w:left="540" w:hanging="271"/>
      </w:pPr>
      <w:r>
        <w:rPr>
          <w:rFonts w:ascii="Calibri" w:hAnsi="Calibri"/>
          <w:color w:val="1F2933"/>
          <w:sz w:val="22"/>
        </w:rPr>
        <w:t>Review each evidence document individually. Record Verify, Request correction or Reject with a controlled reason where required.</w:t>
      </w:r>
    </w:p>
    <w:p>
      <w:pPr>
        <w:pStyle w:val="ListNumber"/>
        <w:numPr>
          <w:ilvl w:val="0"/>
          <w:numId w:val="14"/>
        </w:numPr>
        <w:spacing w:before="0" w:after="80" w:line="300" w:lineRule="auto"/>
        <w:ind w:left="540" w:hanging="271"/>
      </w:pPr>
      <w:r>
        <w:rPr>
          <w:rFonts w:ascii="Calibri" w:hAnsi="Calibri"/>
          <w:color w:val="1F2933"/>
          <w:sz w:val="22"/>
        </w:rPr>
        <w:t>If evidence or information is incomplete, choose Request correction. The learner receives an in-app notification and may edit the permitted draft fields and resubmit.</w:t>
      </w:r>
    </w:p>
    <w:p>
      <w:pPr>
        <w:pStyle w:val="ListNumber"/>
        <w:numPr>
          <w:ilvl w:val="0"/>
          <w:numId w:val="14"/>
        </w:numPr>
        <w:spacing w:before="0" w:after="80" w:line="300" w:lineRule="auto"/>
        <w:ind w:left="540" w:hanging="271"/>
      </w:pPr>
      <w:r>
        <w:rPr>
          <w:rFonts w:ascii="Calibri" w:hAnsi="Calibri"/>
          <w:color w:val="1F2933"/>
          <w:sz w:val="22"/>
        </w:rPr>
        <w:t>If the record meets the current policy and evidence requirements, choose Approve for shortlist. If it cannot proceed, choose Decline and record the reason.</w:t>
      </w:r>
    </w:p>
    <w:p>
      <w:pPr>
        <w:pStyle w:val="ListNumber"/>
        <w:numPr>
          <w:ilvl w:val="0"/>
          <w:numId w:val="14"/>
        </w:numPr>
        <w:spacing w:before="0" w:after="80" w:line="300" w:lineRule="auto"/>
        <w:ind w:left="540" w:hanging="271"/>
      </w:pPr>
      <w:r>
        <w:rPr>
          <w:rFonts w:ascii="Calibri" w:hAnsi="Calibri"/>
          <w:color w:val="1F2933"/>
          <w:sz w:val="22"/>
        </w:rPr>
        <w:t>Confirm the resulting status and audit event before moving to another record.</w:t>
      </w:r>
    </w:p>
    <w:p>
      <w:pPr>
        <w:pStyle w:val="Heading3"/>
        <w:keepNext/>
      </w:pPr>
      <w:r>
        <w:rPr>
          <w:rFonts w:ascii="Calibri" w:hAnsi="Calibri"/>
          <w:b/>
          <w:color w:val="1F4D78"/>
          <w:sz w:val="24"/>
        </w:rPr>
        <w:t>Controls</w:t>
      </w:r>
    </w:p>
    <w:p>
      <w:pPr>
        <w:pStyle w:val="ListBullet"/>
        <w:spacing w:before="0" w:after="80" w:line="300" w:lineRule="auto"/>
        <w:ind w:left="540" w:hanging="271"/>
      </w:pPr>
      <w:r>
        <w:rPr>
          <w:rFonts w:ascii="Calibri" w:hAnsi="Calibri"/>
          <w:color w:val="1F2933"/>
          <w:sz w:val="22"/>
        </w:rPr>
        <w:t>Staff actions are organisation-scoped and must be enforced at the API boundary.</w:t>
      </w:r>
    </w:p>
    <w:p>
      <w:pPr>
        <w:pStyle w:val="ListBullet"/>
        <w:spacing w:before="0" w:after="80" w:line="300" w:lineRule="auto"/>
        <w:ind w:left="540" w:hanging="271"/>
      </w:pPr>
      <w:r>
        <w:rPr>
          <w:rFonts w:ascii="Calibri" w:hAnsi="Calibri"/>
          <w:color w:val="1F2933"/>
          <w:sz w:val="22"/>
        </w:rPr>
        <w:t>A final decision is a controlled transition, not a free-form status edit.</w:t>
      </w:r>
    </w:p>
    <w:p>
      <w:pPr>
        <w:pStyle w:val="ListBullet"/>
        <w:spacing w:before="0" w:after="80" w:line="300" w:lineRule="auto"/>
        <w:ind w:left="540" w:hanging="271"/>
      </w:pPr>
      <w:r>
        <w:rPr>
          <w:rFonts w:ascii="Calibri" w:hAnsi="Calibri"/>
          <w:color w:val="1F2933"/>
          <w:sz w:val="22"/>
        </w:rPr>
        <w:t>Maintain the original reported values and the evidence/decision reason in the immutable history.</w:t>
      </w:r>
    </w:p>
    <w:p>
      <w:pPr>
        <w:spacing w:before="0" w:after="180" w:line="300" w:lineRule="auto"/>
      </w:pPr>
      <w:r>
        <w:rPr>
          <w:rFonts w:ascii="Calibri" w:hAnsi="Calibri"/>
          <w:b/>
          <w:i w:val="0"/>
          <w:color w:val="0B2545"/>
          <w:sz w:val="22"/>
        </w:rPr>
        <w:t>Expected outcome: The candidate is Under review, Correction requested, Shortlisted or Declined with a traceable reason and audit event.</w:t>
      </w:r>
    </w:p>
    <w:p>
      <w:pPr>
        <w:pStyle w:val="Heading2"/>
        <w:keepNext/>
      </w:pPr>
      <w:r>
        <w:rPr>
          <w:rFonts w:ascii="Calibri" w:hAnsi="Calibri"/>
          <w:b/>
          <w:color w:val="2E74B5"/>
          <w:sz w:val="26"/>
        </w:rPr>
        <w:t>8.5 Staff: shortlist and psychometric stage</w:t>
      </w:r>
    </w:p>
    <w:p>
      <w:pPr>
        <w:spacing w:before="0" w:after="120" w:line="300" w:lineRule="auto"/>
      </w:pPr>
      <w:r>
        <w:rPr>
          <w:rFonts w:ascii="Calibri" w:hAnsi="Calibri"/>
          <w:b w:val="0"/>
          <w:i w:val="0"/>
          <w:color w:val="1F2933"/>
          <w:sz w:val="22"/>
        </w:rPr>
        <w:t>Shortlisted applicants move to evaluation actions without being conflated with final placement.</w:t>
      </w:r>
    </w:p>
    <w:p>
      <w:pPr>
        <w:pStyle w:val="Heading3"/>
        <w:keepNext/>
      </w:pPr>
      <w:r>
        <w:rPr>
          <w:rFonts w:ascii="Calibri" w:hAnsi="Calibri"/>
          <w:b/>
          <w:color w:val="1F4D78"/>
          <w:sz w:val="24"/>
        </w:rPr>
        <w:t>Procedure</w:t>
      </w:r>
    </w:p>
    <w:p>
      <w:pPr>
        <w:pStyle w:val="ListNumber"/>
        <w:numPr>
          <w:ilvl w:val="0"/>
          <w:numId w:val="15"/>
        </w:numPr>
        <w:spacing w:before="0" w:after="80" w:line="300" w:lineRule="auto"/>
        <w:ind w:left="540" w:hanging="271"/>
      </w:pPr>
      <w:r>
        <w:rPr>
          <w:rFonts w:ascii="Calibri" w:hAnsi="Calibri"/>
          <w:color w:val="1F2933"/>
          <w:sz w:val="22"/>
        </w:rPr>
        <w:t>Open Shortlist and confirm the applicant is in Shortlisted status.</w:t>
      </w:r>
    </w:p>
    <w:p>
      <w:pPr>
        <w:pStyle w:val="ListNumber"/>
        <w:numPr>
          <w:ilvl w:val="0"/>
          <w:numId w:val="15"/>
        </w:numPr>
        <w:spacing w:before="0" w:after="80" w:line="300" w:lineRule="auto"/>
        <w:ind w:left="540" w:hanging="271"/>
      </w:pPr>
      <w:r>
        <w:rPr>
          <w:rFonts w:ascii="Calibri" w:hAnsi="Calibri"/>
          <w:color w:val="1F2933"/>
          <w:sz w:val="22"/>
        </w:rPr>
        <w:t>Issue the approved psychometric or evaluation invitation through the controlled communication centre.</w:t>
      </w:r>
    </w:p>
    <w:p>
      <w:pPr>
        <w:pStyle w:val="ListNumber"/>
        <w:numPr>
          <w:ilvl w:val="0"/>
          <w:numId w:val="15"/>
        </w:numPr>
        <w:spacing w:before="0" w:after="80" w:line="300" w:lineRule="auto"/>
        <w:ind w:left="540" w:hanging="271"/>
      </w:pPr>
      <w:r>
        <w:rPr>
          <w:rFonts w:ascii="Calibri" w:hAnsi="Calibri"/>
          <w:color w:val="1F2933"/>
          <w:sz w:val="22"/>
        </w:rPr>
        <w:t>Record the invitation and any outcome against the same application reference.</w:t>
      </w:r>
    </w:p>
    <w:p>
      <w:pPr>
        <w:pStyle w:val="ListNumber"/>
        <w:numPr>
          <w:ilvl w:val="0"/>
          <w:numId w:val="15"/>
        </w:numPr>
        <w:spacing w:before="0" w:after="80" w:line="300" w:lineRule="auto"/>
        <w:ind w:left="540" w:hanging="271"/>
      </w:pPr>
      <w:r>
        <w:rPr>
          <w:rFonts w:ascii="Calibri" w:hAnsi="Calibri"/>
          <w:color w:val="1F2933"/>
          <w:sz w:val="22"/>
        </w:rPr>
        <w:t>Keep shortlist and evaluation results separate from campus placement decisions.</w:t>
      </w:r>
    </w:p>
    <w:p>
      <w:pPr>
        <w:pStyle w:val="Heading3"/>
        <w:keepNext/>
      </w:pPr>
      <w:r>
        <w:rPr>
          <w:rFonts w:ascii="Calibri" w:hAnsi="Calibri"/>
          <w:b/>
          <w:color w:val="1F4D78"/>
          <w:sz w:val="24"/>
        </w:rPr>
        <w:t>Controls</w:t>
      </w:r>
    </w:p>
    <w:p>
      <w:pPr>
        <w:pStyle w:val="ListBullet"/>
        <w:spacing w:before="0" w:after="80" w:line="300" w:lineRule="auto"/>
        <w:ind w:left="540" w:hanging="271"/>
      </w:pPr>
      <w:r>
        <w:rPr>
          <w:rFonts w:ascii="Calibri" w:hAnsi="Calibri"/>
          <w:color w:val="1F2933"/>
          <w:sz w:val="22"/>
        </w:rPr>
        <w:t>Do not treat a shortlist as a placement or final admission outcome.</w:t>
      </w:r>
    </w:p>
    <w:p>
      <w:pPr>
        <w:pStyle w:val="ListBullet"/>
        <w:spacing w:before="0" w:after="80" w:line="300" w:lineRule="auto"/>
        <w:ind w:left="540" w:hanging="271"/>
      </w:pPr>
      <w:r>
        <w:rPr>
          <w:rFonts w:ascii="Calibri" w:hAnsi="Calibri"/>
          <w:color w:val="1F2933"/>
          <w:sz w:val="22"/>
        </w:rPr>
        <w:t>Use approved audience and template controls for communications.</w:t>
      </w:r>
    </w:p>
    <w:p>
      <w:pPr>
        <w:pStyle w:val="ListBullet"/>
        <w:spacing w:before="0" w:after="80" w:line="300" w:lineRule="auto"/>
        <w:ind w:left="540" w:hanging="271"/>
      </w:pPr>
      <w:r>
        <w:rPr>
          <w:rFonts w:ascii="Calibri" w:hAnsi="Calibri"/>
          <w:color w:val="1F2933"/>
          <w:sz w:val="22"/>
        </w:rPr>
        <w:t>Record invitation, outcome and decision times in the audit trail.</w:t>
      </w:r>
    </w:p>
    <w:p>
      <w:pPr>
        <w:spacing w:before="0" w:after="180" w:line="300" w:lineRule="auto"/>
      </w:pPr>
      <w:r>
        <w:rPr>
          <w:rFonts w:ascii="Calibri" w:hAnsi="Calibri"/>
          <w:b/>
          <w:i w:val="0"/>
          <w:color w:val="0B2545"/>
          <w:sz w:val="22"/>
        </w:rPr>
        <w:t>Expected outcome: The evaluation stage is recorded and the candidate is eligible for placement preparation when policy gates are satisfied.</w:t>
      </w:r>
    </w:p>
    <w:p>
      <w:pPr>
        <w:pStyle w:val="Heading2"/>
        <w:keepNext/>
      </w:pPr>
      <w:r>
        <w:rPr>
          <w:rFonts w:ascii="Calibri" w:hAnsi="Calibri"/>
          <w:b/>
          <w:color w:val="2E74B5"/>
          <w:sz w:val="26"/>
        </w:rPr>
        <w:t>8.6 Staff and employer: placement</w:t>
      </w:r>
    </w:p>
    <w:p>
      <w:pPr>
        <w:spacing w:before="0" w:after="120" w:line="300" w:lineRule="auto"/>
      </w:pPr>
      <w:r>
        <w:rPr>
          <w:rFonts w:ascii="Calibri" w:hAnsi="Calibri"/>
          <w:b w:val="0"/>
          <w:i w:val="0"/>
          <w:color w:val="1F2933"/>
          <w:sz w:val="22"/>
        </w:rPr>
        <w:t>Placement is a controlled handoff from staff to an organisation-scoped employer.</w:t>
      </w:r>
    </w:p>
    <w:p>
      <w:pPr>
        <w:pStyle w:val="Heading3"/>
        <w:keepNext/>
      </w:pPr>
      <w:r>
        <w:rPr>
          <w:rFonts w:ascii="Calibri" w:hAnsi="Calibri"/>
          <w:b/>
          <w:color w:val="1F4D78"/>
          <w:sz w:val="24"/>
        </w:rPr>
        <w:t>Procedure</w:t>
      </w:r>
    </w:p>
    <w:p>
      <w:pPr>
        <w:pStyle w:val="ListNumber"/>
        <w:numPr>
          <w:ilvl w:val="0"/>
          <w:numId w:val="16"/>
        </w:numPr>
        <w:spacing w:before="0" w:after="80" w:line="300" w:lineRule="auto"/>
        <w:ind w:left="540" w:hanging="271"/>
      </w:pPr>
      <w:r>
        <w:rPr>
          <w:rFonts w:ascii="Calibri" w:hAnsi="Calibri"/>
          <w:color w:val="1F2933"/>
          <w:sz w:val="22"/>
        </w:rPr>
        <w:t>Staff open Placements &amp; withdrawals and select a Shortlisted candidate.</w:t>
      </w:r>
    </w:p>
    <w:p>
      <w:pPr>
        <w:pStyle w:val="ListNumber"/>
        <w:numPr>
          <w:ilvl w:val="0"/>
          <w:numId w:val="16"/>
        </w:numPr>
        <w:spacing w:before="0" w:after="80" w:line="300" w:lineRule="auto"/>
        <w:ind w:left="540" w:hanging="271"/>
      </w:pPr>
      <w:r>
        <w:rPr>
          <w:rFonts w:ascii="Calibri" w:hAnsi="Calibri"/>
          <w:color w:val="1F2933"/>
          <w:sz w:val="22"/>
        </w:rPr>
        <w:t>Choose an approved campus and prepare the placement offer. The API checks campus capacity and changes the record to Placement ready.</w:t>
      </w:r>
    </w:p>
    <w:p>
      <w:pPr>
        <w:pStyle w:val="ListNumber"/>
        <w:numPr>
          <w:ilvl w:val="0"/>
          <w:numId w:val="16"/>
        </w:numPr>
        <w:spacing w:before="0" w:after="80" w:line="300" w:lineRule="auto"/>
        <w:ind w:left="540" w:hanging="271"/>
      </w:pPr>
      <w:r>
        <w:rPr>
          <w:rFonts w:ascii="Calibri" w:hAnsi="Calibri"/>
          <w:color w:val="1F2933"/>
          <w:sz w:val="22"/>
        </w:rPr>
        <w:t>The candidate is released only to the configured employer organisation. The employer sees no unreleased applicants or staff review evidence.</w:t>
      </w:r>
    </w:p>
    <w:p>
      <w:pPr>
        <w:pStyle w:val="ListNumber"/>
        <w:numPr>
          <w:ilvl w:val="0"/>
          <w:numId w:val="16"/>
        </w:numPr>
        <w:spacing w:before="0" w:after="80" w:line="300" w:lineRule="auto"/>
        <w:ind w:left="540" w:hanging="271"/>
      </w:pPr>
      <w:r>
        <w:rPr>
          <w:rFonts w:ascii="Calibri" w:hAnsi="Calibri"/>
          <w:color w:val="1F2933"/>
          <w:sz w:val="22"/>
        </w:rPr>
        <w:t>The employer coordinator or member accepts or declines the offer for the released candidate.</w:t>
      </w:r>
    </w:p>
    <w:p>
      <w:pPr>
        <w:pStyle w:val="ListNumber"/>
        <w:numPr>
          <w:ilvl w:val="0"/>
          <w:numId w:val="16"/>
        </w:numPr>
        <w:spacing w:before="0" w:after="80" w:line="300" w:lineRule="auto"/>
        <w:ind w:left="540" w:hanging="271"/>
      </w:pPr>
      <w:r>
        <w:rPr>
          <w:rFonts w:ascii="Calibri" w:hAnsi="Calibri"/>
          <w:color w:val="1F2933"/>
          <w:sz w:val="22"/>
        </w:rPr>
        <w:t>On acceptance, the application becomes Placed. On decline, it remains Placement ready for controlled follow-up.</w:t>
      </w:r>
    </w:p>
    <w:p>
      <w:pPr>
        <w:pStyle w:val="ListNumber"/>
        <w:numPr>
          <w:ilvl w:val="0"/>
          <w:numId w:val="16"/>
        </w:numPr>
        <w:spacing w:before="0" w:after="80" w:line="300" w:lineRule="auto"/>
        <w:ind w:left="540" w:hanging="271"/>
      </w:pPr>
      <w:r>
        <w:rPr>
          <w:rFonts w:ascii="Calibri" w:hAnsi="Calibri"/>
          <w:color w:val="1F2933"/>
          <w:sz w:val="22"/>
        </w:rPr>
        <w:t>If the candidate withdraws, record the reason and, where required, issue the termination/withdrawal letter against the same record.</w:t>
      </w:r>
    </w:p>
    <w:p>
      <w:pPr>
        <w:pStyle w:val="Heading3"/>
        <w:keepNext/>
      </w:pPr>
      <w:r>
        <w:rPr>
          <w:rFonts w:ascii="Calibri" w:hAnsi="Calibri"/>
          <w:b/>
          <w:color w:val="1F4D78"/>
          <w:sz w:val="24"/>
        </w:rPr>
        <w:t>Controls</w:t>
      </w:r>
    </w:p>
    <w:p>
      <w:pPr>
        <w:pStyle w:val="ListBullet"/>
        <w:spacing w:before="0" w:after="80" w:line="300" w:lineRule="auto"/>
        <w:ind w:left="540" w:hanging="271"/>
      </w:pPr>
      <w:r>
        <w:rPr>
          <w:rFonts w:ascii="Calibri" w:hAnsi="Calibri"/>
          <w:color w:val="1F2933"/>
          <w:sz w:val="22"/>
        </w:rPr>
        <w:t>Capacity must be enforced server-side and be cycle-scoped.</w:t>
      </w:r>
    </w:p>
    <w:p>
      <w:pPr>
        <w:pStyle w:val="ListBullet"/>
        <w:spacing w:before="0" w:after="80" w:line="300" w:lineRule="auto"/>
        <w:ind w:left="540" w:hanging="271"/>
      </w:pPr>
      <w:r>
        <w:rPr>
          <w:rFonts w:ascii="Calibri" w:hAnsi="Calibri"/>
          <w:color w:val="1F2933"/>
          <w:sz w:val="22"/>
        </w:rPr>
        <w:t>Employer responses must be limited to Placement ready records released to that organisation.</w:t>
      </w:r>
    </w:p>
    <w:p>
      <w:pPr>
        <w:pStyle w:val="ListBullet"/>
        <w:spacing w:before="0" w:after="80" w:line="300" w:lineRule="auto"/>
        <w:ind w:left="540" w:hanging="271"/>
      </w:pPr>
      <w:r>
        <w:rPr>
          <w:rFonts w:ascii="Calibri" w:hAnsi="Calibri"/>
          <w:color w:val="1F2933"/>
          <w:sz w:val="22"/>
        </w:rPr>
        <w:t>Placement, response, withdrawal and termination-letter actions require audit events.</w:t>
      </w:r>
    </w:p>
    <w:p>
      <w:pPr>
        <w:spacing w:before="0" w:after="180" w:line="300" w:lineRule="auto"/>
      </w:pPr>
      <w:r>
        <w:rPr>
          <w:rFonts w:ascii="Calibri" w:hAnsi="Calibri"/>
          <w:b/>
          <w:i w:val="0"/>
          <w:color w:val="0B2545"/>
          <w:sz w:val="22"/>
        </w:rPr>
        <w:t>Expected outcome: The placement state and organisation response are visible to authorised parties with a complete decision history.</w:t>
      </w:r>
    </w:p>
    <w:p>
      <w:pPr>
        <w:pStyle w:val="Heading2"/>
        <w:keepNext/>
      </w:pPr>
      <w:r>
        <w:rPr>
          <w:rFonts w:ascii="Calibri" w:hAnsi="Calibri"/>
          <w:b/>
          <w:color w:val="2E74B5"/>
          <w:sz w:val="26"/>
        </w:rPr>
        <w:t>8.7 Communications, notifications and audit</w:t>
      </w:r>
    </w:p>
    <w:p>
      <w:pPr>
        <w:spacing w:before="0" w:after="120" w:line="300" w:lineRule="auto"/>
      </w:pPr>
      <w:r>
        <w:rPr>
          <w:rFonts w:ascii="Calibri" w:hAnsi="Calibri"/>
          <w:b w:val="0"/>
          <w:i w:val="0"/>
          <w:color w:val="1F2933"/>
          <w:sz w:val="22"/>
        </w:rPr>
        <w:t>The platform provides a low-cost in-app communication path and an append-only operational history.</w:t>
      </w:r>
    </w:p>
    <w:p>
      <w:pPr>
        <w:pStyle w:val="Heading3"/>
        <w:keepNext/>
      </w:pPr>
      <w:r>
        <w:rPr>
          <w:rFonts w:ascii="Calibri" w:hAnsi="Calibri"/>
          <w:b/>
          <w:color w:val="1F4D78"/>
          <w:sz w:val="24"/>
        </w:rPr>
        <w:t>Procedure</w:t>
      </w:r>
    </w:p>
    <w:p>
      <w:pPr>
        <w:pStyle w:val="ListNumber"/>
        <w:numPr>
          <w:ilvl w:val="0"/>
          <w:numId w:val="17"/>
        </w:numPr>
        <w:spacing w:before="0" w:after="80" w:line="300" w:lineRule="auto"/>
        <w:ind w:left="540" w:hanging="271"/>
      </w:pPr>
      <w:r>
        <w:rPr>
          <w:rFonts w:ascii="Calibri" w:hAnsi="Calibri"/>
          <w:color w:val="1F2933"/>
          <w:sz w:val="22"/>
        </w:rPr>
        <w:t>Staff select the approved audience and template in Letters &amp; comms.</w:t>
      </w:r>
    </w:p>
    <w:p>
      <w:pPr>
        <w:pStyle w:val="ListNumber"/>
        <w:numPr>
          <w:ilvl w:val="0"/>
          <w:numId w:val="17"/>
        </w:numPr>
        <w:spacing w:before="0" w:after="80" w:line="300" w:lineRule="auto"/>
        <w:ind w:left="540" w:hanging="271"/>
      </w:pPr>
      <w:r>
        <w:rPr>
          <w:rFonts w:ascii="Calibri" w:hAnsi="Calibri"/>
          <w:color w:val="1F2933"/>
          <w:sz w:val="22"/>
        </w:rPr>
        <w:t>Preview or edit the message within the configured length limit.</w:t>
      </w:r>
    </w:p>
    <w:p>
      <w:pPr>
        <w:pStyle w:val="ListNumber"/>
        <w:numPr>
          <w:ilvl w:val="0"/>
          <w:numId w:val="17"/>
        </w:numPr>
        <w:spacing w:before="0" w:after="80" w:line="300" w:lineRule="auto"/>
        <w:ind w:left="540" w:hanging="271"/>
      </w:pPr>
      <w:r>
        <w:rPr>
          <w:rFonts w:ascii="Calibri" w:hAnsi="Calibri"/>
          <w:color w:val="1F2933"/>
          <w:sz w:val="22"/>
        </w:rPr>
        <w:t>Issue the communication only after confirming the audience and cycle.</w:t>
      </w:r>
    </w:p>
    <w:p>
      <w:pPr>
        <w:pStyle w:val="ListNumber"/>
        <w:numPr>
          <w:ilvl w:val="0"/>
          <w:numId w:val="17"/>
        </w:numPr>
        <w:spacing w:before="0" w:after="80" w:line="300" w:lineRule="auto"/>
        <w:ind w:left="540" w:hanging="271"/>
      </w:pPr>
      <w:r>
        <w:rPr>
          <w:rFonts w:ascii="Calibri" w:hAnsi="Calibri"/>
          <w:color w:val="1F2933"/>
          <w:sz w:val="22"/>
        </w:rPr>
        <w:t>The system creates the communication record, in-app notifications for affected learners and an audit event.</w:t>
      </w:r>
    </w:p>
    <w:p>
      <w:pPr>
        <w:pStyle w:val="ListNumber"/>
        <w:numPr>
          <w:ilvl w:val="0"/>
          <w:numId w:val="17"/>
        </w:numPr>
        <w:spacing w:before="0" w:after="80" w:line="300" w:lineRule="auto"/>
        <w:ind w:left="540" w:hanging="271"/>
      </w:pPr>
      <w:r>
        <w:rPr>
          <w:rFonts w:ascii="Calibri" w:hAnsi="Calibri"/>
          <w:color w:val="1F2933"/>
          <w:sz w:val="22"/>
        </w:rPr>
        <w:t>Learners review notifications and support chat in their own portal; staff review the audit trail when investigating a record.</w:t>
      </w:r>
    </w:p>
    <w:p>
      <w:pPr>
        <w:pStyle w:val="Heading3"/>
        <w:keepNext/>
      </w:pPr>
      <w:r>
        <w:rPr>
          <w:rFonts w:ascii="Calibri" w:hAnsi="Calibri"/>
          <w:b/>
          <w:color w:val="1F4D78"/>
          <w:sz w:val="24"/>
        </w:rPr>
        <w:t>Controls</w:t>
      </w:r>
    </w:p>
    <w:p>
      <w:pPr>
        <w:pStyle w:val="ListBullet"/>
        <w:spacing w:before="0" w:after="80" w:line="300" w:lineRule="auto"/>
        <w:ind w:left="540" w:hanging="271"/>
      </w:pPr>
      <w:r>
        <w:rPr>
          <w:rFonts w:ascii="Calibri" w:hAnsi="Calibri"/>
          <w:color w:val="1F2933"/>
          <w:sz w:val="22"/>
        </w:rPr>
        <w:t>External email or SMS is not assumed by the current MVP; eGov must approve and integrate a provider if required.</w:t>
      </w:r>
    </w:p>
    <w:p>
      <w:pPr>
        <w:pStyle w:val="ListBullet"/>
        <w:spacing w:before="0" w:after="80" w:line="300" w:lineRule="auto"/>
        <w:ind w:left="540" w:hanging="271"/>
      </w:pPr>
      <w:r>
        <w:rPr>
          <w:rFonts w:ascii="Calibri" w:hAnsi="Calibri"/>
          <w:color w:val="1F2933"/>
          <w:sz w:val="22"/>
        </w:rPr>
        <w:t>Do not send sensitive evidence or unnecessary personal data in message bodies.</w:t>
      </w:r>
    </w:p>
    <w:p>
      <w:pPr>
        <w:pStyle w:val="ListBullet"/>
        <w:spacing w:before="0" w:after="80" w:line="300" w:lineRule="auto"/>
        <w:ind w:left="540" w:hanging="271"/>
      </w:pPr>
      <w:r>
        <w:rPr>
          <w:rFonts w:ascii="Calibri" w:hAnsi="Calibri"/>
          <w:color w:val="1F2933"/>
          <w:sz w:val="22"/>
        </w:rPr>
        <w:t>Keep communications and audit records within the applicable retention policy.</w:t>
      </w:r>
    </w:p>
    <w:p>
      <w:pPr>
        <w:spacing w:before="0" w:after="180" w:line="300" w:lineRule="auto"/>
      </w:pPr>
      <w:r>
        <w:rPr>
          <w:rFonts w:ascii="Calibri" w:hAnsi="Calibri"/>
          <w:b/>
          <w:i w:val="0"/>
          <w:color w:val="0B2545"/>
          <w:sz w:val="22"/>
        </w:rPr>
        <w:t>Expected outcome: Recipients see the approved in-app outcome and operations can trace who issued it, when, for which cycle and reference.</w:t>
      </w:r>
    </w:p>
    <w:p>
      <w:pPr>
        <w:pStyle w:val="Heading1"/>
        <w:keepNext/>
      </w:pPr>
      <w:r>
        <w:rPr>
          <w:rFonts w:ascii="Calibri" w:hAnsi="Calibri"/>
          <w:b/>
          <w:color w:val="2E74B5"/>
          <w:sz w:val="32"/>
        </w:rPr>
        <w:t>9. Annual intake administration</w:t>
      </w:r>
    </w:p>
    <w:p>
      <w:pPr>
        <w:spacing w:before="0" w:after="120" w:line="300" w:lineRule="auto"/>
      </w:pPr>
      <w:r>
        <w:rPr>
          <w:rFonts w:ascii="Calibri" w:hAnsi="Calibri"/>
          <w:b w:val="0"/>
          <w:i w:val="0"/>
          <w:color w:val="1F2933"/>
          <w:sz w:val="22"/>
        </w:rPr>
        <w:t>The cycle-scoped configuration includes season name, opening and closing dates, Published/Paused advert state, approved evidence labels, pathway requirement wording and campus capacities. Staff supervisor or platform administrator access is required.</w:t>
      </w:r>
    </w:p>
    <w:p>
      <w:pPr>
        <w:pStyle w:val="ListNumber"/>
        <w:numPr>
          <w:ilvl w:val="0"/>
          <w:numId w:val="18"/>
        </w:numPr>
        <w:spacing w:before="0" w:after="80" w:line="300" w:lineRule="auto"/>
        <w:ind w:left="540" w:hanging="271"/>
      </w:pPr>
      <w:r>
        <w:rPr>
          <w:rFonts w:ascii="Calibri" w:hAnsi="Calibri"/>
          <w:color w:val="1F2933"/>
          <w:sz w:val="22"/>
        </w:rPr>
        <w:t>Create or approve the next intake cycle configuration without overwriting prior submitted-application snapshots.</w:t>
      </w:r>
    </w:p>
    <w:p>
      <w:pPr>
        <w:pStyle w:val="ListNumber"/>
        <w:numPr>
          <w:ilvl w:val="0"/>
          <w:numId w:val="18"/>
        </w:numPr>
        <w:spacing w:before="0" w:after="80" w:line="300" w:lineRule="auto"/>
        <w:ind w:left="540" w:hanging="271"/>
      </w:pPr>
      <w:r>
        <w:rPr>
          <w:rFonts w:ascii="Calibri" w:hAnsi="Calibri"/>
          <w:color w:val="1F2933"/>
          <w:sz w:val="22"/>
        </w:rPr>
        <w:t>Set the opening and closing dates and confirm the timezone and end-of-day interpretation.</w:t>
      </w:r>
    </w:p>
    <w:p>
      <w:pPr>
        <w:pStyle w:val="ListNumber"/>
        <w:numPr>
          <w:ilvl w:val="0"/>
          <w:numId w:val="18"/>
        </w:numPr>
        <w:spacing w:before="0" w:after="80" w:line="300" w:lineRule="auto"/>
        <w:ind w:left="540" w:hanging="271"/>
      </w:pPr>
      <w:r>
        <w:rPr>
          <w:rFonts w:ascii="Calibri" w:hAnsi="Calibri"/>
          <w:color w:val="1F2933"/>
          <w:sz w:val="22"/>
        </w:rPr>
        <w:t>Set the advert to Published only after content, contacts, capacity and support routes are approved.</w:t>
      </w:r>
    </w:p>
    <w:p>
      <w:pPr>
        <w:pStyle w:val="ListNumber"/>
        <w:numPr>
          <w:ilvl w:val="0"/>
          <w:numId w:val="18"/>
        </w:numPr>
        <w:spacing w:before="0" w:after="80" w:line="300" w:lineRule="auto"/>
        <w:ind w:left="540" w:hanging="271"/>
      </w:pPr>
      <w:r>
        <w:rPr>
          <w:rFonts w:ascii="Calibri" w:hAnsi="Calibri"/>
          <w:color w:val="1F2933"/>
          <w:sz w:val="22"/>
        </w:rPr>
        <w:t>Confirm pathway requirements and document labels against the current approved policy.</w:t>
      </w:r>
    </w:p>
    <w:p>
      <w:pPr>
        <w:pStyle w:val="ListNumber"/>
        <w:numPr>
          <w:ilvl w:val="0"/>
          <w:numId w:val="18"/>
        </w:numPr>
        <w:spacing w:before="0" w:after="80" w:line="300" w:lineRule="auto"/>
        <w:ind w:left="540" w:hanging="271"/>
      </w:pPr>
      <w:r>
        <w:rPr>
          <w:rFonts w:ascii="Calibri" w:hAnsi="Calibri"/>
          <w:color w:val="1F2933"/>
          <w:sz w:val="22"/>
        </w:rPr>
        <w:t>Confirm campus capacities and the placement escalation owner.</w:t>
      </w:r>
    </w:p>
    <w:p>
      <w:pPr>
        <w:pStyle w:val="ListNumber"/>
        <w:numPr>
          <w:ilvl w:val="0"/>
          <w:numId w:val="18"/>
        </w:numPr>
        <w:spacing w:before="0" w:after="80" w:line="300" w:lineRule="auto"/>
        <w:ind w:left="540" w:hanging="271"/>
      </w:pPr>
      <w:r>
        <w:rPr>
          <w:rFonts w:ascii="Calibri" w:hAnsi="Calibri"/>
          <w:color w:val="1F2933"/>
          <w:sz w:val="22"/>
        </w:rPr>
        <w:t>Run the first-start verification and a complete test application before public release.</w:t>
      </w:r>
    </w:p>
    <w:p>
      <w:pPr>
        <w:pStyle w:val="ListNumber"/>
        <w:numPr>
          <w:ilvl w:val="0"/>
          <w:numId w:val="18"/>
        </w:numPr>
        <w:spacing w:before="0" w:after="80" w:line="300" w:lineRule="auto"/>
        <w:ind w:left="540" w:hanging="271"/>
      </w:pPr>
      <w:r>
        <w:rPr>
          <w:rFonts w:ascii="Calibri" w:hAnsi="Calibri"/>
          <w:color w:val="1F2933"/>
          <w:sz w:val="22"/>
        </w:rPr>
        <w:t>Pause the advert for an operational incident or policy change using the controlled setting and record the reason.</w:t>
      </w:r>
    </w:p>
    <w:tbl>
      <w:tblPr>
        <w:tblStyle w:val="TableGrid"/>
        <w:tblW w:type="dxa" w:w="9360"/>
        <w:jc w:val="left"/>
        <w:tblLayout w:type="fixed"/>
        <w:tblLook w:firstColumn="1" w:firstRow="1" w:lastColumn="0" w:lastRow="0" w:noHBand="0" w:noVBand="1" w:val="04A0"/>
        <w:tblInd w:type="dxa" w:w="120"/>
        <w:tblBorders>
          <w:top w:val="single" w:sz="4" w:space="0" w:color="D1D9E2"/>
          <w:left w:val="single" w:sz="4" w:space="0" w:color="D1D9E2"/>
          <w:bottom w:val="single" w:sz="4" w:space="0" w:color="D1D9E2"/>
          <w:right w:val="single" w:sz="4" w:space="0" w:color="D1D9E2"/>
          <w:insideH w:val="single" w:sz="4" w:space="0" w:color="D1D9E2"/>
          <w:insideV w:val="single" w:sz="4" w:space="0" w:color="D1D9E2"/>
        </w:tblBorders>
      </w:tblPr>
      <w:tblGrid>
        <w:gridCol w:w="9360"/>
      </w:tblGrid>
      <w:tr>
        <w:trPr>
          <w:tblHeader/>
        </w:trPr>
        <w:tc>
          <w:tcPr>
            <w:tcW w:type="dxa" w:w="9360"/>
            <w:shd w:fill="FFF8E8" w:val="clear"/>
            <w:tcMar>
              <w:top w:w="80" w:type="dxa"/>
              <w:bottom w:w="80" w:type="dxa"/>
              <w:start w:w="120" w:type="dxa"/>
              <w:end w:w="120" w:type="dxa"/>
            </w:tcMar>
          </w:tcPr>
          <w:p>
            <w:pPr>
              <w:spacing w:before="0" w:after="0" w:line="276" w:lineRule="auto"/>
            </w:pPr>
            <w:r/>
            <w:r>
              <w:rPr>
                <w:rFonts w:ascii="Calibri" w:hAnsi="Calibri"/>
                <w:b/>
                <w:color w:val="7A5A00"/>
                <w:sz w:val="21"/>
              </w:rPr>
              <w:t xml:space="preserve">Cycle integrity: </w:t>
            </w:r>
            <w:r>
              <w:rPr>
                <w:rFonts w:ascii="Calibri" w:hAnsi="Calibri"/>
                <w:color w:val="1F2933"/>
                <w:sz w:val="21"/>
              </w:rPr>
              <w:t>A future production configuration must be versioned, approved and copied into each immutable submission or ranking snapshot. Do not silently change the meaning of an already-submitted application.</w:t>
            </w:r>
          </w:p>
        </w:tc>
      </w:tr>
    </w:tbl>
    <w:p>
      <w:pPr>
        <w:spacing w:after="20"/>
      </w:pPr>
    </w:p>
    <w:p>
      <w:pPr>
        <w:pStyle w:val="Heading1"/>
        <w:keepNext/>
      </w:pPr>
      <w:r>
        <w:rPr>
          <w:rFonts w:ascii="Calibri" w:hAnsi="Calibri"/>
          <w:b/>
          <w:color w:val="2E74B5"/>
          <w:sz w:val="32"/>
        </w:rPr>
        <w:t>10. API and integration surface</w:t>
      </w:r>
    </w:p>
    <w:p>
      <w:pPr>
        <w:spacing w:before="0" w:after="120" w:line="300" w:lineRule="auto"/>
      </w:pPr>
      <w:r>
        <w:rPr>
          <w:rFonts w:ascii="Calibri" w:hAnsi="Calibri"/>
          <w:b w:val="0"/>
          <w:i w:val="0"/>
          <w:color w:val="1F2933"/>
          <w:sz w:val="22"/>
        </w:rPr>
        <w:t>The machine-readable contract is openapi/v1.json and is served by GET /v1/openapi.json. The following endpoint groups are the operationally important surface:</w:t>
      </w:r>
    </w:p>
    <w:tbl>
      <w:tblPr>
        <w:tblStyle w:val="TableGrid"/>
        <w:tblW w:type="dxa" w:w="9360"/>
        <w:jc w:val="left"/>
        <w:tblLayout w:type="fixed"/>
        <w:tblLook w:firstColumn="1" w:firstRow="1" w:lastColumn="0" w:lastRow="0" w:noHBand="0" w:noVBand="1" w:val="04A0"/>
        <w:tblInd w:type="dxa" w:w="120"/>
        <w:tblBorders>
          <w:top w:val="single" w:sz="4" w:space="0" w:color="C8D1DB"/>
          <w:left w:val="single" w:sz="4" w:space="0" w:color="C8D1DB"/>
          <w:bottom w:val="single" w:sz="4" w:space="0" w:color="C8D1DB"/>
          <w:right w:val="single" w:sz="4" w:space="0" w:color="C8D1DB"/>
          <w:insideH w:val="single" w:sz="4" w:space="0" w:color="C8D1DB"/>
          <w:insideV w:val="single" w:sz="4" w:space="0" w:color="C8D1DB"/>
        </w:tblBorders>
      </w:tblPr>
      <w:tblGrid>
        <w:gridCol w:w="2100"/>
        <w:gridCol w:w="4560"/>
        <w:gridCol w:w="2700"/>
      </w:tblGrid>
      <w:tr>
        <w:trPr>
          <w:tblHeader/>
        </w:trPr>
        <w:tc>
          <w:tcPr>
            <w:tcW w:type="dxa" w:w="2100"/>
            <w:vAlign w:val="center"/>
            <w:shd w:fill="E8EEF5" w:val="clear"/>
            <w:tcMar>
              <w:top w:w="80" w:type="dxa"/>
              <w:bottom w:w="80" w:type="dxa"/>
              <w:start w:w="120" w:type="dxa"/>
              <w:end w:w="120" w:type="dxa"/>
            </w:tcMar>
          </w:tcPr>
          <w:p>
            <w:pPr>
              <w:spacing w:before="0" w:after="0" w:line="269" w:lineRule="auto"/>
            </w:pPr>
            <w:r/>
            <w:r>
              <w:rPr>
                <w:rFonts w:ascii="Calibri" w:hAnsi="Calibri"/>
                <w:b/>
                <w:color w:val="0B2545"/>
                <w:sz w:val="19"/>
              </w:rPr>
              <w:t>Group</w:t>
            </w:r>
          </w:p>
        </w:tc>
        <w:tc>
          <w:tcPr>
            <w:tcW w:type="dxa" w:w="4560"/>
            <w:vAlign w:val="center"/>
            <w:shd w:fill="E8EEF5" w:val="clear"/>
            <w:tcMar>
              <w:top w:w="80" w:type="dxa"/>
              <w:bottom w:w="80" w:type="dxa"/>
              <w:start w:w="120" w:type="dxa"/>
              <w:end w:w="120" w:type="dxa"/>
            </w:tcMar>
          </w:tcPr>
          <w:p>
            <w:pPr>
              <w:spacing w:before="0" w:after="0" w:line="269" w:lineRule="auto"/>
            </w:pPr>
            <w:r/>
            <w:r>
              <w:rPr>
                <w:rFonts w:ascii="Calibri" w:hAnsi="Calibri"/>
                <w:b/>
                <w:color w:val="0B2545"/>
                <w:sz w:val="19"/>
              </w:rPr>
              <w:t>Representative endpoints</w:t>
            </w:r>
          </w:p>
        </w:tc>
        <w:tc>
          <w:tcPr>
            <w:tcW w:type="dxa" w:w="2700"/>
            <w:vAlign w:val="center"/>
            <w:shd w:fill="E8EEF5" w:val="clear"/>
            <w:tcMar>
              <w:top w:w="80" w:type="dxa"/>
              <w:bottom w:w="80" w:type="dxa"/>
              <w:start w:w="120" w:type="dxa"/>
              <w:end w:w="120" w:type="dxa"/>
            </w:tcMar>
          </w:tcPr>
          <w:p>
            <w:pPr>
              <w:spacing w:before="0" w:after="0" w:line="269" w:lineRule="auto"/>
            </w:pPr>
            <w:r/>
            <w:r>
              <w:rPr>
                <w:rFonts w:ascii="Calibri" w:hAnsi="Calibri"/>
                <w:b/>
                <w:color w:val="0B2545"/>
                <w:sz w:val="19"/>
              </w:rPr>
              <w:t>Scope</w:t>
            </w:r>
          </w:p>
        </w:tc>
      </w:tr>
      <w:tr>
        <w:trPr/>
        <w:tc>
          <w:tcPr>
            <w:tcW w:type="dxa" w:w="2100"/>
            <w:vAlign w:val="center"/>
            <w:tcMar>
              <w:top w:w="80" w:type="dxa"/>
              <w:bottom w:w="80" w:type="dxa"/>
              <w:start w:w="120" w:type="dxa"/>
              <w:end w:w="120" w:type="dxa"/>
            </w:tcMar>
          </w:tcPr>
          <w:p>
            <w:pPr>
              <w:spacing w:before="0" w:after="0" w:line="269" w:lineRule="auto"/>
            </w:pPr>
            <w:r/>
            <w:r>
              <w:rPr>
                <w:rFonts w:ascii="Calibri" w:hAnsi="Calibri"/>
                <w:b w:val="0"/>
                <w:color w:val="1F2933"/>
                <w:sz w:val="19"/>
              </w:rPr>
              <w:t>Health and administration</w:t>
            </w:r>
          </w:p>
        </w:tc>
        <w:tc>
          <w:tcPr>
            <w:tcW w:type="dxa" w:w="4560"/>
            <w:vAlign w:val="center"/>
            <w:tcMar>
              <w:top w:w="80" w:type="dxa"/>
              <w:bottom w:w="80" w:type="dxa"/>
              <w:start w:w="120" w:type="dxa"/>
              <w:end w:w="120" w:type="dxa"/>
            </w:tcMar>
          </w:tcPr>
          <w:p>
            <w:pPr>
              <w:spacing w:before="0" w:after="0" w:line="269" w:lineRule="auto"/>
            </w:pPr>
            <w:r/>
            <w:r>
              <w:rPr>
                <w:rFonts w:ascii="Calibri" w:hAnsi="Calibri"/>
                <w:b w:val="0"/>
                <w:color w:val="1F2933"/>
                <w:sz w:val="19"/>
              </w:rPr>
              <w:t>GET /v1/health; GET /v1/openapi.json; GET /v1/storage/status; GET/PATCH /v1/intake/current</w:t>
            </w:r>
          </w:p>
        </w:tc>
        <w:tc>
          <w:tcPr>
            <w:tcW w:type="dxa" w:w="2700"/>
            <w:vAlign w:val="center"/>
            <w:tcMar>
              <w:top w:w="80" w:type="dxa"/>
              <w:bottom w:w="80" w:type="dxa"/>
              <w:start w:w="120" w:type="dxa"/>
              <w:end w:w="120" w:type="dxa"/>
            </w:tcMar>
          </w:tcPr>
          <w:p>
            <w:pPr>
              <w:spacing w:before="0" w:after="0" w:line="269" w:lineRule="auto"/>
            </w:pPr>
            <w:r/>
            <w:r>
              <w:rPr>
                <w:rFonts w:ascii="Calibri" w:hAnsi="Calibri"/>
                <w:b w:val="0"/>
                <w:color w:val="1F2933"/>
                <w:sz w:val="19"/>
              </w:rPr>
              <w:t>Health is public; storage and updates are protected.</w:t>
            </w:r>
          </w:p>
        </w:tc>
      </w:tr>
      <w:tr>
        <w:trPr/>
        <w:tc>
          <w:tcPr>
            <w:tcW w:type="dxa" w:w="2100"/>
            <w:vAlign w:val="center"/>
            <w:tcMar>
              <w:top w:w="80" w:type="dxa"/>
              <w:bottom w:w="80" w:type="dxa"/>
              <w:start w:w="120" w:type="dxa"/>
              <w:end w:w="120" w:type="dxa"/>
            </w:tcMar>
          </w:tcPr>
          <w:p>
            <w:pPr>
              <w:spacing w:before="0" w:after="0" w:line="269" w:lineRule="auto"/>
            </w:pPr>
            <w:r/>
            <w:r>
              <w:rPr>
                <w:rFonts w:ascii="Calibri" w:hAnsi="Calibri"/>
                <w:b w:val="0"/>
                <w:color w:val="1F2933"/>
                <w:sz w:val="19"/>
              </w:rPr>
              <w:t>Authentication</w:t>
            </w:r>
          </w:p>
        </w:tc>
        <w:tc>
          <w:tcPr>
            <w:tcW w:type="dxa" w:w="4560"/>
            <w:vAlign w:val="center"/>
            <w:tcMar>
              <w:top w:w="80" w:type="dxa"/>
              <w:bottom w:w="80" w:type="dxa"/>
              <w:start w:w="120" w:type="dxa"/>
              <w:end w:w="120" w:type="dxa"/>
            </w:tcMar>
          </w:tcPr>
          <w:p>
            <w:pPr>
              <w:spacing w:before="0" w:after="0" w:line="269" w:lineRule="auto"/>
            </w:pPr>
            <w:r/>
            <w:r>
              <w:rPr>
                <w:rFonts w:ascii="Calibri" w:hAnsi="Calibri"/>
                <w:b w:val="0"/>
                <w:color w:val="1F2933"/>
                <w:sz w:val="19"/>
              </w:rPr>
              <w:t>GET /v1/auth/session; POST /v1/auth/login; POST /v1/auth/logout; POST /v1/auth/invitations/accept; POST /v1/auth/learner/register</w:t>
            </w:r>
          </w:p>
        </w:tc>
        <w:tc>
          <w:tcPr>
            <w:tcW w:type="dxa" w:w="2700"/>
            <w:vAlign w:val="center"/>
            <w:tcMar>
              <w:top w:w="80" w:type="dxa"/>
              <w:bottom w:w="80" w:type="dxa"/>
              <w:start w:w="120" w:type="dxa"/>
              <w:end w:w="120" w:type="dxa"/>
            </w:tcMar>
          </w:tcPr>
          <w:p>
            <w:pPr>
              <w:spacing w:before="0" w:after="0" w:line="269" w:lineRule="auto"/>
            </w:pPr>
            <w:r/>
            <w:r>
              <w:rPr>
                <w:rFonts w:ascii="Calibri" w:hAnsi="Calibri"/>
                <w:b w:val="0"/>
                <w:color w:val="1F2933"/>
                <w:sz w:val="19"/>
              </w:rPr>
              <w:t>Identity provider and session policy.</w:t>
            </w:r>
          </w:p>
        </w:tc>
      </w:tr>
      <w:tr>
        <w:trPr/>
        <w:tc>
          <w:tcPr>
            <w:tcW w:type="dxa" w:w="2100"/>
            <w:vAlign w:val="center"/>
            <w:tcMar>
              <w:top w:w="80" w:type="dxa"/>
              <w:bottom w:w="80" w:type="dxa"/>
              <w:start w:w="120" w:type="dxa"/>
              <w:end w:w="120" w:type="dxa"/>
            </w:tcMar>
          </w:tcPr>
          <w:p>
            <w:pPr>
              <w:spacing w:before="0" w:after="0" w:line="269" w:lineRule="auto"/>
            </w:pPr>
            <w:r/>
            <w:r>
              <w:rPr>
                <w:rFonts w:ascii="Calibri" w:hAnsi="Calibri"/>
                <w:b w:val="0"/>
                <w:color w:val="1F2933"/>
                <w:sz w:val="19"/>
              </w:rPr>
              <w:t>Qualification</w:t>
            </w:r>
          </w:p>
        </w:tc>
        <w:tc>
          <w:tcPr>
            <w:tcW w:type="dxa" w:w="4560"/>
            <w:vAlign w:val="center"/>
            <w:tcMar>
              <w:top w:w="80" w:type="dxa"/>
              <w:bottom w:w="80" w:type="dxa"/>
              <w:start w:w="120" w:type="dxa"/>
              <w:end w:w="120" w:type="dxa"/>
            </w:tcMar>
          </w:tcPr>
          <w:p>
            <w:pPr>
              <w:spacing w:before="0" w:after="0" w:line="269" w:lineRule="auto"/>
            </w:pPr>
            <w:r/>
            <w:r>
              <w:rPr>
                <w:rFonts w:ascii="Calibri" w:hAnsi="Calibri"/>
                <w:b w:val="0"/>
                <w:color w:val="1F2933"/>
                <w:sz w:val="19"/>
              </w:rPr>
              <w:t>POST /v1/qualification/evaluate</w:t>
            </w:r>
          </w:p>
        </w:tc>
        <w:tc>
          <w:tcPr>
            <w:tcW w:type="dxa" w:w="2700"/>
            <w:vAlign w:val="center"/>
            <w:tcMar>
              <w:top w:w="80" w:type="dxa"/>
              <w:bottom w:w="80" w:type="dxa"/>
              <w:start w:w="120" w:type="dxa"/>
              <w:end w:w="120" w:type="dxa"/>
            </w:tcMar>
          </w:tcPr>
          <w:p>
            <w:pPr>
              <w:spacing w:before="0" w:after="0" w:line="269" w:lineRule="auto"/>
            </w:pPr>
            <w:r/>
            <w:r>
              <w:rPr>
                <w:rFonts w:ascii="Calibri" w:hAnsi="Calibri"/>
                <w:b w:val="0"/>
                <w:color w:val="1F2933"/>
                <w:sz w:val="19"/>
              </w:rPr>
              <w:t>Public pathway evaluation; no common cross-pathway score.</w:t>
            </w:r>
          </w:p>
        </w:tc>
      </w:tr>
      <w:tr>
        <w:trPr/>
        <w:tc>
          <w:tcPr>
            <w:tcW w:type="dxa" w:w="2100"/>
            <w:vAlign w:val="center"/>
            <w:tcMar>
              <w:top w:w="80" w:type="dxa"/>
              <w:bottom w:w="80" w:type="dxa"/>
              <w:start w:w="120" w:type="dxa"/>
              <w:end w:w="120" w:type="dxa"/>
            </w:tcMar>
          </w:tcPr>
          <w:p>
            <w:pPr>
              <w:spacing w:before="0" w:after="0" w:line="269" w:lineRule="auto"/>
            </w:pPr>
            <w:r/>
            <w:r>
              <w:rPr>
                <w:rFonts w:ascii="Calibri" w:hAnsi="Calibri"/>
                <w:b w:val="0"/>
                <w:color w:val="1F2933"/>
                <w:sz w:val="19"/>
              </w:rPr>
              <w:t>Learner application</w:t>
            </w:r>
          </w:p>
        </w:tc>
        <w:tc>
          <w:tcPr>
            <w:tcW w:type="dxa" w:w="4560"/>
            <w:vAlign w:val="center"/>
            <w:tcMar>
              <w:top w:w="80" w:type="dxa"/>
              <w:bottom w:w="80" w:type="dxa"/>
              <w:start w:w="120" w:type="dxa"/>
              <w:end w:w="120" w:type="dxa"/>
            </w:tcMar>
          </w:tcPr>
          <w:p>
            <w:pPr>
              <w:spacing w:before="0" w:after="0" w:line="269" w:lineRule="auto"/>
            </w:pPr>
            <w:r/>
            <w:r>
              <w:rPr>
                <w:rFonts w:ascii="Calibri" w:hAnsi="Calibri"/>
                <w:b w:val="0"/>
                <w:color w:val="1F2933"/>
                <w:sz w:val="19"/>
              </w:rPr>
              <w:t>GET/PATCH /v1/applications/me; POST /v1/applications/submit; POST /v1/applications/non-qualifier</w:t>
            </w:r>
          </w:p>
        </w:tc>
        <w:tc>
          <w:tcPr>
            <w:tcW w:type="dxa" w:w="2700"/>
            <w:vAlign w:val="center"/>
            <w:tcMar>
              <w:top w:w="80" w:type="dxa"/>
              <w:bottom w:w="80" w:type="dxa"/>
              <w:start w:w="120" w:type="dxa"/>
              <w:end w:w="120" w:type="dxa"/>
            </w:tcMar>
          </w:tcPr>
          <w:p>
            <w:pPr>
              <w:spacing w:before="0" w:after="0" w:line="269" w:lineRule="auto"/>
            </w:pPr>
            <w:r/>
            <w:r>
              <w:rPr>
                <w:rFonts w:ascii="Calibri" w:hAnsi="Calibri"/>
                <w:b w:val="0"/>
                <w:color w:val="1F2933"/>
                <w:sz w:val="19"/>
              </w:rPr>
              <w:t>Learner-owned or pre-registration record.</w:t>
            </w:r>
          </w:p>
        </w:tc>
      </w:tr>
      <w:tr>
        <w:trPr/>
        <w:tc>
          <w:tcPr>
            <w:tcW w:type="dxa" w:w="2100"/>
            <w:vAlign w:val="center"/>
            <w:tcMar>
              <w:top w:w="80" w:type="dxa"/>
              <w:bottom w:w="80" w:type="dxa"/>
              <w:start w:w="120" w:type="dxa"/>
              <w:end w:w="120" w:type="dxa"/>
            </w:tcMar>
          </w:tcPr>
          <w:p>
            <w:pPr>
              <w:spacing w:before="0" w:after="0" w:line="269" w:lineRule="auto"/>
            </w:pPr>
            <w:r/>
            <w:r>
              <w:rPr>
                <w:rFonts w:ascii="Calibri" w:hAnsi="Calibri"/>
                <w:b w:val="0"/>
                <w:color w:val="1F2933"/>
                <w:sz w:val="19"/>
              </w:rPr>
              <w:t>Documents</w:t>
            </w:r>
          </w:p>
        </w:tc>
        <w:tc>
          <w:tcPr>
            <w:tcW w:type="dxa" w:w="4560"/>
            <w:vAlign w:val="center"/>
            <w:tcMar>
              <w:top w:w="80" w:type="dxa"/>
              <w:bottom w:w="80" w:type="dxa"/>
              <w:start w:w="120" w:type="dxa"/>
              <w:end w:w="120" w:type="dxa"/>
            </w:tcMar>
          </w:tcPr>
          <w:p>
            <w:pPr>
              <w:spacing w:before="0" w:after="0" w:line="269" w:lineRule="auto"/>
            </w:pPr>
            <w:r/>
            <w:r>
              <w:rPr>
                <w:rFonts w:ascii="Calibri" w:hAnsi="Calibri"/>
                <w:b w:val="0"/>
                <w:color w:val="1F2933"/>
                <w:sz w:val="19"/>
              </w:rPr>
              <w:t>POST /v1/documents/upload-intent; PUT /v1/documents/{id}/content; POST /v1/documents/{id}/complete; POST /v1/documents/{id}/review</w:t>
            </w:r>
          </w:p>
        </w:tc>
        <w:tc>
          <w:tcPr>
            <w:tcW w:type="dxa" w:w="2700"/>
            <w:vAlign w:val="center"/>
            <w:tcMar>
              <w:top w:w="80" w:type="dxa"/>
              <w:bottom w:w="80" w:type="dxa"/>
              <w:start w:w="120" w:type="dxa"/>
              <w:end w:w="120" w:type="dxa"/>
            </w:tcMar>
          </w:tcPr>
          <w:p>
            <w:pPr>
              <w:spacing w:before="0" w:after="0" w:line="269" w:lineRule="auto"/>
            </w:pPr>
            <w:r/>
            <w:r>
              <w:rPr>
                <w:rFonts w:ascii="Calibri" w:hAnsi="Calibri"/>
                <w:b w:val="0"/>
                <w:color w:val="1F2933"/>
                <w:sz w:val="19"/>
              </w:rPr>
              <w:t>Owner/staff role and organisation controls.</w:t>
            </w:r>
          </w:p>
        </w:tc>
      </w:tr>
      <w:tr>
        <w:trPr/>
        <w:tc>
          <w:tcPr>
            <w:tcW w:type="dxa" w:w="2100"/>
            <w:vAlign w:val="center"/>
            <w:tcMar>
              <w:top w:w="80" w:type="dxa"/>
              <w:bottom w:w="80" w:type="dxa"/>
              <w:start w:w="120" w:type="dxa"/>
              <w:end w:w="120" w:type="dxa"/>
            </w:tcMar>
          </w:tcPr>
          <w:p>
            <w:pPr>
              <w:spacing w:before="0" w:after="0" w:line="269" w:lineRule="auto"/>
            </w:pPr>
            <w:r/>
            <w:r>
              <w:rPr>
                <w:rFonts w:ascii="Calibri" w:hAnsi="Calibri"/>
                <w:b w:val="0"/>
                <w:color w:val="1F2933"/>
                <w:sz w:val="19"/>
              </w:rPr>
              <w:t>Staff review</w:t>
            </w:r>
          </w:p>
        </w:tc>
        <w:tc>
          <w:tcPr>
            <w:tcW w:type="dxa" w:w="4560"/>
            <w:vAlign w:val="center"/>
            <w:tcMar>
              <w:top w:w="80" w:type="dxa"/>
              <w:bottom w:w="80" w:type="dxa"/>
              <w:start w:w="120" w:type="dxa"/>
              <w:end w:w="120" w:type="dxa"/>
            </w:tcMar>
          </w:tcPr>
          <w:p>
            <w:pPr>
              <w:spacing w:before="0" w:after="0" w:line="269" w:lineRule="auto"/>
            </w:pPr>
            <w:r/>
            <w:r>
              <w:rPr>
                <w:rFonts w:ascii="Calibri" w:hAnsi="Calibri"/>
                <w:b w:val="0"/>
                <w:color w:val="1F2933"/>
                <w:sz w:val="19"/>
              </w:rPr>
              <w:t>GET /v1/reviews/queue; POST /v1/reviews/{ref}/decision; POST /v1/reviews/mass-decline; POST /v1/shortlists; POST /v1/interviews</w:t>
            </w:r>
          </w:p>
        </w:tc>
        <w:tc>
          <w:tcPr>
            <w:tcW w:type="dxa" w:w="2700"/>
            <w:vAlign w:val="center"/>
            <w:tcMar>
              <w:top w:w="80" w:type="dxa"/>
              <w:bottom w:w="80" w:type="dxa"/>
              <w:start w:w="120" w:type="dxa"/>
              <w:end w:w="120" w:type="dxa"/>
            </w:tcMar>
          </w:tcPr>
          <w:p>
            <w:pPr>
              <w:spacing w:before="0" w:after="0" w:line="269" w:lineRule="auto"/>
            </w:pPr>
            <w:r/>
            <w:r>
              <w:rPr>
                <w:rFonts w:ascii="Calibri" w:hAnsi="Calibri"/>
                <w:b w:val="0"/>
                <w:color w:val="1F2933"/>
                <w:sz w:val="19"/>
              </w:rPr>
              <w:t>Staff roles and organisation scope.</w:t>
            </w:r>
          </w:p>
        </w:tc>
      </w:tr>
      <w:tr>
        <w:trPr/>
        <w:tc>
          <w:tcPr>
            <w:tcW w:type="dxa" w:w="2100"/>
            <w:vAlign w:val="center"/>
            <w:tcMar>
              <w:top w:w="80" w:type="dxa"/>
              <w:bottom w:w="80" w:type="dxa"/>
              <w:start w:w="120" w:type="dxa"/>
              <w:end w:w="120" w:type="dxa"/>
            </w:tcMar>
          </w:tcPr>
          <w:p>
            <w:pPr>
              <w:spacing w:before="0" w:after="0" w:line="269" w:lineRule="auto"/>
            </w:pPr>
            <w:r/>
            <w:r>
              <w:rPr>
                <w:rFonts w:ascii="Calibri" w:hAnsi="Calibri"/>
                <w:b w:val="0"/>
                <w:color w:val="1F2933"/>
                <w:sz w:val="19"/>
              </w:rPr>
              <w:t>Placement</w:t>
            </w:r>
          </w:p>
        </w:tc>
        <w:tc>
          <w:tcPr>
            <w:tcW w:type="dxa" w:w="4560"/>
            <w:vAlign w:val="center"/>
            <w:tcMar>
              <w:top w:w="80" w:type="dxa"/>
              <w:bottom w:w="80" w:type="dxa"/>
              <w:start w:w="120" w:type="dxa"/>
              <w:end w:w="120" w:type="dxa"/>
            </w:tcMar>
          </w:tcPr>
          <w:p>
            <w:pPr>
              <w:spacing w:before="0" w:after="0" w:line="269" w:lineRule="auto"/>
            </w:pPr>
            <w:r/>
            <w:r>
              <w:rPr>
                <w:rFonts w:ascii="Calibri" w:hAnsi="Calibri"/>
                <w:b w:val="0"/>
                <w:color w:val="1F2933"/>
                <w:sz w:val="19"/>
              </w:rPr>
              <w:t>POST /v1/placements/{ref}/prepare; POST /v1/placements/{ref}/response; PATCH /v1/applications/{ref}/withdrawal; POST /v1/placements/{ref}/termination-letter</w:t>
            </w:r>
          </w:p>
        </w:tc>
        <w:tc>
          <w:tcPr>
            <w:tcW w:type="dxa" w:w="2700"/>
            <w:vAlign w:val="center"/>
            <w:tcMar>
              <w:top w:w="80" w:type="dxa"/>
              <w:bottom w:w="80" w:type="dxa"/>
              <w:start w:w="120" w:type="dxa"/>
              <w:end w:w="120" w:type="dxa"/>
            </w:tcMar>
          </w:tcPr>
          <w:p>
            <w:pPr>
              <w:spacing w:before="0" w:after="0" w:line="269" w:lineRule="auto"/>
            </w:pPr>
            <w:r/>
            <w:r>
              <w:rPr>
                <w:rFonts w:ascii="Calibri" w:hAnsi="Calibri"/>
                <w:b w:val="0"/>
                <w:color w:val="1F2933"/>
                <w:sz w:val="19"/>
              </w:rPr>
              <w:t>Staff preparation; employer response; controlled transitions.</w:t>
            </w:r>
          </w:p>
        </w:tc>
      </w:tr>
      <w:tr>
        <w:trPr/>
        <w:tc>
          <w:tcPr>
            <w:tcW w:type="dxa" w:w="2100"/>
            <w:vAlign w:val="center"/>
            <w:tcMar>
              <w:top w:w="80" w:type="dxa"/>
              <w:bottom w:w="80" w:type="dxa"/>
              <w:start w:w="120" w:type="dxa"/>
              <w:end w:w="120" w:type="dxa"/>
            </w:tcMar>
          </w:tcPr>
          <w:p>
            <w:pPr>
              <w:spacing w:before="0" w:after="0" w:line="269" w:lineRule="auto"/>
            </w:pPr>
            <w:r/>
            <w:r>
              <w:rPr>
                <w:rFonts w:ascii="Calibri" w:hAnsi="Calibri"/>
                <w:b w:val="0"/>
                <w:color w:val="1F2933"/>
                <w:sz w:val="19"/>
              </w:rPr>
              <w:t>Communications</w:t>
            </w:r>
          </w:p>
        </w:tc>
        <w:tc>
          <w:tcPr>
            <w:tcW w:type="dxa" w:w="4560"/>
            <w:vAlign w:val="center"/>
            <w:tcMar>
              <w:top w:w="80" w:type="dxa"/>
              <w:bottom w:w="80" w:type="dxa"/>
              <w:start w:w="120" w:type="dxa"/>
              <w:end w:w="120" w:type="dxa"/>
            </w:tcMar>
          </w:tcPr>
          <w:p>
            <w:pPr>
              <w:spacing w:before="0" w:after="0" w:line="269" w:lineRule="auto"/>
            </w:pPr>
            <w:r/>
            <w:r>
              <w:rPr>
                <w:rFonts w:ascii="Calibri" w:hAnsi="Calibri"/>
                <w:b w:val="0"/>
                <w:color w:val="1F2933"/>
                <w:sz w:val="19"/>
              </w:rPr>
              <w:t>GET /v1/communications; POST /v1/communications/issue; GET /v1/notifications; GET/POST /v1/applicant/chat</w:t>
            </w:r>
          </w:p>
        </w:tc>
        <w:tc>
          <w:tcPr>
            <w:tcW w:type="dxa" w:w="2700"/>
            <w:vAlign w:val="center"/>
            <w:tcMar>
              <w:top w:w="80" w:type="dxa"/>
              <w:bottom w:w="80" w:type="dxa"/>
              <w:start w:w="120" w:type="dxa"/>
              <w:end w:w="120" w:type="dxa"/>
            </w:tcMar>
          </w:tcPr>
          <w:p>
            <w:pPr>
              <w:spacing w:before="0" w:after="0" w:line="269" w:lineRule="auto"/>
            </w:pPr>
            <w:r/>
            <w:r>
              <w:rPr>
                <w:rFonts w:ascii="Calibri" w:hAnsi="Calibri"/>
                <w:b w:val="0"/>
                <w:color w:val="1F2933"/>
                <w:sz w:val="19"/>
              </w:rPr>
              <w:t>Audience, owner and organisation controls.</w:t>
            </w:r>
          </w:p>
        </w:tc>
      </w:tr>
      <w:tr>
        <w:trPr/>
        <w:tc>
          <w:tcPr>
            <w:tcW w:type="dxa" w:w="2100"/>
            <w:vAlign w:val="center"/>
            <w:tcMar>
              <w:top w:w="80" w:type="dxa"/>
              <w:bottom w:w="80" w:type="dxa"/>
              <w:start w:w="120" w:type="dxa"/>
              <w:end w:w="120" w:type="dxa"/>
            </w:tcMar>
          </w:tcPr>
          <w:p>
            <w:pPr>
              <w:spacing w:before="0" w:after="0" w:line="269" w:lineRule="auto"/>
            </w:pPr>
            <w:r/>
            <w:r>
              <w:rPr>
                <w:rFonts w:ascii="Calibri" w:hAnsi="Calibri"/>
                <w:b w:val="0"/>
                <w:color w:val="1F2933"/>
                <w:sz w:val="19"/>
              </w:rPr>
              <w:t>Audit</w:t>
            </w:r>
          </w:p>
        </w:tc>
        <w:tc>
          <w:tcPr>
            <w:tcW w:type="dxa" w:w="4560"/>
            <w:vAlign w:val="center"/>
            <w:tcMar>
              <w:top w:w="80" w:type="dxa"/>
              <w:bottom w:w="80" w:type="dxa"/>
              <w:start w:w="120" w:type="dxa"/>
              <w:end w:w="120" w:type="dxa"/>
            </w:tcMar>
          </w:tcPr>
          <w:p>
            <w:pPr>
              <w:spacing w:before="0" w:after="0" w:line="269" w:lineRule="auto"/>
            </w:pPr>
            <w:r/>
            <w:r>
              <w:rPr>
                <w:rFonts w:ascii="Calibri" w:hAnsi="Calibri"/>
                <w:b w:val="0"/>
                <w:color w:val="1F2933"/>
                <w:sz w:val="19"/>
              </w:rPr>
              <w:t>GET /v1/audit</w:t>
            </w:r>
          </w:p>
        </w:tc>
        <w:tc>
          <w:tcPr>
            <w:tcW w:type="dxa" w:w="2700"/>
            <w:vAlign w:val="center"/>
            <w:tcMar>
              <w:top w:w="80" w:type="dxa"/>
              <w:bottom w:w="80" w:type="dxa"/>
              <w:start w:w="120" w:type="dxa"/>
              <w:end w:w="120" w:type="dxa"/>
            </w:tcMar>
          </w:tcPr>
          <w:p>
            <w:pPr>
              <w:spacing w:before="0" w:after="0" w:line="269" w:lineRule="auto"/>
            </w:pPr>
            <w:r/>
            <w:r>
              <w:rPr>
                <w:rFonts w:ascii="Calibri" w:hAnsi="Calibri"/>
                <w:b w:val="0"/>
                <w:color w:val="1F2933"/>
                <w:sz w:val="19"/>
              </w:rPr>
              <w:t>Authorised operational and compliance review.</w:t>
            </w:r>
          </w:p>
        </w:tc>
      </w:tr>
    </w:tbl>
    <w:p>
      <w:pPr>
        <w:spacing w:after="20"/>
      </w:pPr>
    </w:p>
    <w:p>
      <w:pPr>
        <w:pStyle w:val="Heading1"/>
        <w:keepNext/>
      </w:pPr>
      <w:r>
        <w:rPr>
          <w:rFonts w:ascii="Calibri" w:hAnsi="Calibri"/>
          <w:b/>
          <w:color w:val="2E74B5"/>
          <w:sz w:val="32"/>
        </w:rPr>
        <w:t>11. Security, privacy and records handling</w:t>
      </w:r>
    </w:p>
    <w:p>
      <w:pPr>
        <w:pStyle w:val="ListBullet"/>
        <w:spacing w:before="0" w:after="80" w:line="300" w:lineRule="auto"/>
        <w:ind w:left="540" w:hanging="271"/>
      </w:pPr>
      <w:r>
        <w:rPr>
          <w:rFonts w:ascii="Calibri" w:hAnsi="Calibri"/>
          <w:color w:val="1F2933"/>
          <w:sz w:val="22"/>
        </w:rPr>
        <w:t>Use TLS for every user and API connection. Terminate TLS at an approved edge and forward only to trusted private services.</w:t>
      </w:r>
    </w:p>
    <w:p>
      <w:pPr>
        <w:pStyle w:val="ListBullet"/>
        <w:spacing w:before="0" w:after="80" w:line="300" w:lineRule="auto"/>
        <w:ind w:left="540" w:hanging="271"/>
      </w:pPr>
      <w:r>
        <w:rPr>
          <w:rFonts w:ascii="Calibri" w:hAnsi="Calibri"/>
          <w:color w:val="1F2933"/>
          <w:sz w:val="22"/>
        </w:rPr>
        <w:t>Replace demo authentication with the approved external identity provider, MFA for staff/employers, short-lived tokens, refresh/session policy and key rotation.</w:t>
      </w:r>
    </w:p>
    <w:p>
      <w:pPr>
        <w:pStyle w:val="ListBullet"/>
        <w:spacing w:before="0" w:after="80" w:line="300" w:lineRule="auto"/>
        <w:ind w:left="540" w:hanging="271"/>
      </w:pPr>
      <w:r>
        <w:rPr>
          <w:rFonts w:ascii="Calibri" w:hAnsi="Calibri"/>
          <w:color w:val="1F2933"/>
          <w:sz w:val="22"/>
        </w:rPr>
        <w:t>Restrict database and object-storage network access to application identities. Do not expose PostgreSQL or document containers to the public internet.</w:t>
      </w:r>
    </w:p>
    <w:p>
      <w:pPr>
        <w:pStyle w:val="ListBullet"/>
        <w:spacing w:before="0" w:after="80" w:line="300" w:lineRule="auto"/>
        <w:ind w:left="540" w:hanging="271"/>
      </w:pPr>
      <w:r>
        <w:rPr>
          <w:rFonts w:ascii="Calibri" w:hAnsi="Calibri"/>
          <w:color w:val="1F2933"/>
          <w:sz w:val="22"/>
        </w:rPr>
        <w:t>Use Key Vault or the approved secret manager. Never commit connection strings, encryption keys, JWT signing material or passwords.</w:t>
      </w:r>
    </w:p>
    <w:p>
      <w:pPr>
        <w:pStyle w:val="ListBullet"/>
        <w:spacing w:before="0" w:after="80" w:line="300" w:lineRule="auto"/>
        <w:ind w:left="540" w:hanging="271"/>
      </w:pPr>
      <w:r>
        <w:rPr>
          <w:rFonts w:ascii="Calibri" w:hAnsi="Calibri"/>
          <w:color w:val="1F2933"/>
          <w:sz w:val="22"/>
        </w:rPr>
        <w:t>Apply least privilege to platform admin, staff supervisor, staff reviewer, employer coordinator and employer member groups.</w:t>
      </w:r>
    </w:p>
    <w:p>
      <w:pPr>
        <w:pStyle w:val="ListBullet"/>
        <w:spacing w:before="0" w:after="80" w:line="300" w:lineRule="auto"/>
        <w:ind w:left="540" w:hanging="271"/>
      </w:pPr>
      <w:r>
        <w:rPr>
          <w:rFonts w:ascii="Calibri" w:hAnsi="Calibri"/>
          <w:color w:val="1F2933"/>
          <w:sz w:val="22"/>
        </w:rPr>
        <w:t>Scan uploaded files for malware before staff review or download. Quarantine failed scans and record the decision without exposing the bytes.</w:t>
      </w:r>
    </w:p>
    <w:p>
      <w:pPr>
        <w:pStyle w:val="ListBullet"/>
        <w:spacing w:before="0" w:after="80" w:line="300" w:lineRule="auto"/>
        <w:ind w:left="540" w:hanging="271"/>
      </w:pPr>
      <w:r>
        <w:rPr>
          <w:rFonts w:ascii="Calibri" w:hAnsi="Calibri"/>
          <w:color w:val="1F2933"/>
          <w:sz w:val="22"/>
        </w:rPr>
        <w:t>Mask South African ID numbers in list views and logs. Limit contact details and documents to the minimum role-scoped surface.</w:t>
      </w:r>
    </w:p>
    <w:p>
      <w:pPr>
        <w:pStyle w:val="ListBullet"/>
        <w:spacing w:before="0" w:after="80" w:line="300" w:lineRule="auto"/>
        <w:ind w:left="540" w:hanging="271"/>
      </w:pPr>
      <w:r>
        <w:rPr>
          <w:rFonts w:ascii="Calibri" w:hAnsi="Calibri"/>
          <w:color w:val="1F2933"/>
          <w:sz w:val="22"/>
        </w:rPr>
        <w:t>Define retention, legal hold, deletion, correction, subject-access, breach-response and audit-export procedures under the applicable eGov and POPIA policy.</w:t>
      </w:r>
    </w:p>
    <w:p>
      <w:pPr>
        <w:pStyle w:val="ListBullet"/>
        <w:spacing w:before="0" w:after="80" w:line="300" w:lineRule="auto"/>
        <w:ind w:left="540" w:hanging="271"/>
      </w:pPr>
      <w:r>
        <w:rPr>
          <w:rFonts w:ascii="Calibri" w:hAnsi="Calibri"/>
          <w:color w:val="1F2933"/>
          <w:sz w:val="22"/>
        </w:rPr>
        <w:t>Add rate limiting, request-size limits, security headers, dependency scanning, vulnerability patching and centralised audit/log correlation at the infrastructure layer.</w:t>
      </w:r>
    </w:p>
    <w:tbl>
      <w:tblPr>
        <w:tblStyle w:val="TableGrid"/>
        <w:tblW w:type="dxa" w:w="9360"/>
        <w:jc w:val="left"/>
        <w:tblLayout w:type="fixed"/>
        <w:tblLook w:firstColumn="1" w:firstRow="1" w:lastColumn="0" w:lastRow="0" w:noHBand="0" w:noVBand="1" w:val="04A0"/>
        <w:tblInd w:type="dxa" w:w="120"/>
        <w:tblBorders>
          <w:top w:val="single" w:sz="4" w:space="0" w:color="D1D9E2"/>
          <w:left w:val="single" w:sz="4" w:space="0" w:color="D1D9E2"/>
          <w:bottom w:val="single" w:sz="4" w:space="0" w:color="D1D9E2"/>
          <w:right w:val="single" w:sz="4" w:space="0" w:color="D1D9E2"/>
          <w:insideH w:val="single" w:sz="4" w:space="0" w:color="D1D9E2"/>
          <w:insideV w:val="single" w:sz="4" w:space="0" w:color="D1D9E2"/>
        </w:tblBorders>
      </w:tblPr>
      <w:tblGrid>
        <w:gridCol w:w="9360"/>
      </w:tblGrid>
      <w:tr>
        <w:trPr>
          <w:tblHeader/>
        </w:trPr>
        <w:tc>
          <w:tcPr>
            <w:tcW w:type="dxa" w:w="9360"/>
            <w:shd w:fill="FDECEC" w:val="clear"/>
            <w:tcMar>
              <w:top w:w="80" w:type="dxa"/>
              <w:bottom w:w="80" w:type="dxa"/>
              <w:start w:w="120" w:type="dxa"/>
              <w:end w:w="120" w:type="dxa"/>
            </w:tcMar>
          </w:tcPr>
          <w:p>
            <w:pPr>
              <w:spacing w:before="0" w:after="0" w:line="276" w:lineRule="auto"/>
            </w:pPr>
            <w:r/>
            <w:r>
              <w:rPr>
                <w:rFonts w:ascii="Calibri" w:hAnsi="Calibri"/>
                <w:b/>
                <w:color w:val="9B1C1C"/>
                <w:sz w:val="21"/>
              </w:rPr>
              <w:t xml:space="preserve">Personal-data warning: </w:t>
            </w:r>
            <w:r>
              <w:rPr>
                <w:rFonts w:ascii="Calibri" w:hAnsi="Calibri"/>
                <w:color w:val="1F2933"/>
                <w:sz w:val="21"/>
              </w:rPr>
              <w:t>The demo contains example names, masked identifiers, contact details and document metadata for presentation. Treat them as test data. Never load real applicant data into the hosted demo URL or a source archive.</w:t>
            </w:r>
          </w:p>
        </w:tc>
      </w:tr>
    </w:tbl>
    <w:p>
      <w:pPr>
        <w:spacing w:after="20"/>
      </w:pPr>
    </w:p>
    <w:p>
      <w:pPr>
        <w:pStyle w:val="Heading1"/>
        <w:keepNext/>
      </w:pPr>
      <w:r>
        <w:rPr>
          <w:rFonts w:ascii="Calibri" w:hAnsi="Calibri"/>
          <w:b/>
          <w:color w:val="2E74B5"/>
          <w:sz w:val="32"/>
        </w:rPr>
        <w:t>12. Backup, recovery and routine operations</w:t>
      </w:r>
    </w:p>
    <w:p>
      <w:pPr>
        <w:pStyle w:val="Heading2"/>
        <w:keepNext/>
      </w:pPr>
      <w:r>
        <w:rPr>
          <w:rFonts w:ascii="Calibri" w:hAnsi="Calibri"/>
          <w:b/>
          <w:color w:val="2E74B5"/>
          <w:sz w:val="26"/>
        </w:rPr>
        <w:t>12.1 Routine operations</w:t>
      </w:r>
    </w:p>
    <w:p>
      <w:pPr>
        <w:pStyle w:val="ListBullet"/>
        <w:spacing w:before="0" w:after="80" w:line="300" w:lineRule="auto"/>
        <w:ind w:left="540" w:hanging="271"/>
      </w:pPr>
      <w:r>
        <w:rPr>
          <w:rFonts w:ascii="Calibri" w:hAnsi="Calibri"/>
          <w:color w:val="1F2933"/>
          <w:sz w:val="22"/>
        </w:rPr>
        <w:t>Review API health, storage adapter status, application error rate, latency, queue/backlog indicators and failed document scans each business day during intake.</w:t>
      </w:r>
    </w:p>
    <w:p>
      <w:pPr>
        <w:pStyle w:val="ListBullet"/>
        <w:spacing w:before="0" w:after="80" w:line="300" w:lineRule="auto"/>
        <w:ind w:left="540" w:hanging="271"/>
      </w:pPr>
      <w:r>
        <w:rPr>
          <w:rFonts w:ascii="Calibri" w:hAnsi="Calibri"/>
          <w:color w:val="1F2933"/>
          <w:sz w:val="22"/>
        </w:rPr>
        <w:t>Review audit anomalies, repeated access failures, unexpected role changes, bulk actions and placement-capacity errors.</w:t>
      </w:r>
    </w:p>
    <w:p>
      <w:pPr>
        <w:pStyle w:val="ListBullet"/>
        <w:spacing w:before="0" w:after="80" w:line="300" w:lineRule="auto"/>
        <w:ind w:left="540" w:hanging="271"/>
      </w:pPr>
      <w:r>
        <w:rPr>
          <w:rFonts w:ascii="Calibri" w:hAnsi="Calibri"/>
          <w:color w:val="1F2933"/>
          <w:sz w:val="22"/>
        </w:rPr>
        <w:t>Apply releases through change control: backup, deploy, smoke test, observe, and retain a rollback point.</w:t>
      </w:r>
    </w:p>
    <w:p>
      <w:pPr>
        <w:pStyle w:val="ListBullet"/>
        <w:spacing w:before="0" w:after="80" w:line="300" w:lineRule="auto"/>
        <w:ind w:left="540" w:hanging="271"/>
      </w:pPr>
      <w:r>
        <w:rPr>
          <w:rFonts w:ascii="Calibri" w:hAnsi="Calibri"/>
          <w:color w:val="1F2933"/>
          <w:sz w:val="22"/>
        </w:rPr>
        <w:t>Rotate secrets and identity signing keys according to eGov policy; verify that the application can validate the new key before retiring the old one.</w:t>
      </w:r>
    </w:p>
    <w:p>
      <w:pPr>
        <w:pStyle w:val="ListBullet"/>
        <w:spacing w:before="0" w:after="80" w:line="300" w:lineRule="auto"/>
        <w:ind w:left="540" w:hanging="271"/>
      </w:pPr>
      <w:r>
        <w:rPr>
          <w:rFonts w:ascii="Calibri" w:hAnsi="Calibri"/>
          <w:color w:val="1F2933"/>
          <w:sz w:val="22"/>
        </w:rPr>
        <w:t>Test the public landing page, qualification checker, login, review queue, placement handoff and audit trail after maintenance.</w:t>
      </w:r>
    </w:p>
    <w:p>
      <w:pPr>
        <w:pStyle w:val="Heading2"/>
        <w:keepNext/>
      </w:pPr>
      <w:r>
        <w:rPr>
          <w:rFonts w:ascii="Calibri" w:hAnsi="Calibri"/>
          <w:b/>
          <w:color w:val="2E74B5"/>
          <w:sz w:val="26"/>
        </w:rPr>
        <w:t>12.2 Backup and restore</w:t>
      </w:r>
    </w:p>
    <w:p>
      <w:pPr>
        <w:pStyle w:val="ListNumber"/>
        <w:numPr>
          <w:ilvl w:val="0"/>
          <w:numId w:val="19"/>
        </w:numPr>
        <w:spacing w:before="0" w:after="80" w:line="300" w:lineRule="auto"/>
        <w:ind w:left="540" w:hanging="271"/>
      </w:pPr>
      <w:r>
        <w:rPr>
          <w:rFonts w:ascii="Calibri" w:hAnsi="Calibri"/>
          <w:color w:val="1F2933"/>
          <w:sz w:val="22"/>
        </w:rPr>
        <w:t>Back up PostgreSQL using the eGov-approved encrypted backup process before every release, migration or configuration change.</w:t>
      </w:r>
    </w:p>
    <w:p>
      <w:pPr>
        <w:pStyle w:val="ListNumber"/>
        <w:numPr>
          <w:ilvl w:val="0"/>
          <w:numId w:val="19"/>
        </w:numPr>
        <w:spacing w:before="0" w:after="80" w:line="300" w:lineRule="auto"/>
        <w:ind w:left="540" w:hanging="271"/>
      </w:pPr>
      <w:r>
        <w:rPr>
          <w:rFonts w:ascii="Calibri" w:hAnsi="Calibri"/>
          <w:color w:val="1F2933"/>
          <w:sz w:val="22"/>
        </w:rPr>
        <w:t>Back up private document storage with versioning or immutable retention as required by policy.</w:t>
      </w:r>
    </w:p>
    <w:p>
      <w:pPr>
        <w:pStyle w:val="ListNumber"/>
        <w:numPr>
          <w:ilvl w:val="0"/>
          <w:numId w:val="19"/>
        </w:numPr>
        <w:spacing w:before="0" w:after="80" w:line="300" w:lineRule="auto"/>
        <w:ind w:left="540" w:hanging="271"/>
      </w:pPr>
      <w:r>
        <w:rPr>
          <w:rFonts w:ascii="Calibri" w:hAnsi="Calibri"/>
          <w:color w:val="1F2933"/>
          <w:sz w:val="22"/>
        </w:rPr>
        <w:t>Protect backups separately from production credentials and test restoration in a non-production environment on a scheduled basis.</w:t>
      </w:r>
    </w:p>
    <w:p>
      <w:pPr>
        <w:pStyle w:val="ListNumber"/>
        <w:numPr>
          <w:ilvl w:val="0"/>
          <w:numId w:val="19"/>
        </w:numPr>
        <w:spacing w:before="0" w:after="80" w:line="300" w:lineRule="auto"/>
        <w:ind w:left="540" w:hanging="271"/>
      </w:pPr>
      <w:r>
        <w:rPr>
          <w:rFonts w:ascii="Calibri" w:hAnsi="Calibri"/>
          <w:color w:val="1F2933"/>
          <w:sz w:val="22"/>
        </w:rPr>
        <w:t>Record recovery point objective, recovery time objective, restore owner and communications plan before public intake opens.</w:t>
      </w:r>
    </w:p>
    <w:p>
      <w:pPr>
        <w:pStyle w:val="ListNumber"/>
        <w:numPr>
          <w:ilvl w:val="0"/>
          <w:numId w:val="19"/>
        </w:numPr>
        <w:spacing w:before="0" w:after="80" w:line="300" w:lineRule="auto"/>
        <w:ind w:left="540" w:hanging="271"/>
      </w:pPr>
      <w:r>
        <w:rPr>
          <w:rFonts w:ascii="Calibri" w:hAnsi="Calibri"/>
          <w:color w:val="1F2933"/>
          <w:sz w:val="22"/>
        </w:rPr>
        <w:t>After restore, verify application counts, document references, cycle configuration, user memberships, audit sequence and object-storage access.</w:t>
      </w:r>
    </w:p>
    <w:tbl>
      <w:tblPr>
        <w:tblStyle w:val="TableGrid"/>
        <w:tblW w:type="dxa" w:w="9360"/>
        <w:jc w:val="left"/>
        <w:tblLayout w:type="fixed"/>
        <w:tblLook w:firstColumn="1" w:firstRow="1" w:lastColumn="0" w:lastRow="0" w:noHBand="0" w:noVBand="1" w:val="04A0"/>
        <w:tblInd w:type="dxa" w:w="120"/>
        <w:tblBorders>
          <w:top w:val="single" w:sz="4" w:space="0" w:color="D1D9E2"/>
          <w:left w:val="single" w:sz="4" w:space="0" w:color="D1D9E2"/>
          <w:bottom w:val="single" w:sz="4" w:space="0" w:color="D1D9E2"/>
          <w:right w:val="single" w:sz="4" w:space="0" w:color="D1D9E2"/>
          <w:insideH w:val="single" w:sz="4" w:space="0" w:color="D1D9E2"/>
          <w:insideV w:val="single" w:sz="4" w:space="0" w:color="D1D9E2"/>
        </w:tblBorders>
      </w:tblPr>
      <w:tblGrid>
        <w:gridCol w:w="9360"/>
      </w:tblGrid>
      <w:tr>
        <w:trPr>
          <w:tblHeader/>
        </w:trPr>
        <w:tc>
          <w:tcPr>
            <w:tcW w:type="dxa" w:w="9360"/>
            <w:shd w:fill="FFF8E8" w:val="clear"/>
            <w:tcMar>
              <w:top w:w="80" w:type="dxa"/>
              <w:bottom w:w="80" w:type="dxa"/>
              <w:start w:w="120" w:type="dxa"/>
              <w:end w:w="120" w:type="dxa"/>
            </w:tcMar>
          </w:tcPr>
          <w:p>
            <w:pPr>
              <w:spacing w:before="0" w:after="0" w:line="276" w:lineRule="auto"/>
            </w:pPr>
            <w:r/>
            <w:r>
              <w:rPr>
                <w:rFonts w:ascii="Calibri" w:hAnsi="Calibri"/>
                <w:b/>
                <w:color w:val="7A5A00"/>
                <w:sz w:val="21"/>
              </w:rPr>
              <w:t xml:space="preserve">Development adapter limitation: </w:t>
            </w:r>
            <w:r>
              <w:rPr>
                <w:rFonts w:ascii="Calibri" w:hAnsi="Calibri"/>
                <w:color w:val="1F2933"/>
                <w:sz w:val="21"/>
              </w:rPr>
              <w:t>The local encrypted store is a testing adapter. It is not a substitute for PostgreSQL transactions, concurrent access control, managed backups, retention or disaster recovery.</w:t>
            </w:r>
          </w:p>
        </w:tc>
      </w:tr>
    </w:tbl>
    <w:p>
      <w:pPr>
        <w:spacing w:after="20"/>
      </w:pPr>
    </w:p>
    <w:p>
      <w:pPr>
        <w:pStyle w:val="Heading1"/>
        <w:keepNext/>
      </w:pPr>
      <w:r>
        <w:rPr>
          <w:rFonts w:ascii="Calibri" w:hAnsi="Calibri"/>
          <w:b/>
          <w:color w:val="2E74B5"/>
          <w:sz w:val="32"/>
        </w:rPr>
        <w:t>13. Acceptance checklist for eGov</w:t>
      </w:r>
    </w:p>
    <w:p>
      <w:pPr>
        <w:spacing w:before="0" w:after="120" w:line="300" w:lineRule="auto"/>
      </w:pPr>
      <w:r>
        <w:rPr>
          <w:rFonts w:ascii="Calibri" w:hAnsi="Calibri"/>
          <w:b w:val="0"/>
          <w:i w:val="0"/>
          <w:color w:val="1F2933"/>
          <w:sz w:val="22"/>
        </w:rPr>
        <w:t>The handover should not be closed until the eGov owner can evidence each item:</w:t>
      </w:r>
    </w:p>
    <w:p>
      <w:pPr>
        <w:spacing w:after="0"/>
      </w:pPr>
      <w:r>
        <w:t>The current release includes the application changes completed between 24 August and 31 August 2026, the supporting operational documents created during that period, and the production Sites deployment completed on 6 September 2026. These changes should be treated as the current stakeholder-demo baseline while eGov completes production adapter, identity, data and infrastructure acceptance.</w:t>
      </w:r>
    </w:p>
    <w:p>
      <w:pPr>
        <w:pStyle w:val="Heading2"/>
        <w:spacing w:after="0"/>
      </w:pPr>
      <w:r>
        <w:t>14.1 Recent application changes</w:t>
      </w:r>
    </w:p>
    <w:p>
      <w:pPr>
        <w:pStyle w:val="ListBullet"/>
        <w:spacing w:after="0"/>
      </w:pPr>
      <w:r>
        <w:t>Applicant qualification and review: Senior Certificate M score is calculated from the three submitted HG or SG grades; NSC APS is kept as a certificate-verification item; original pathway values remain preserved.</w:t>
      </w:r>
    </w:p>
    <w:p>
      <w:pPr>
        <w:pStyle w:val="ListBullet"/>
        <w:spacing w:after="0"/>
      </w:pPr>
      <w:r>
        <w:t>Applicant profile and submission: result years use controlled selectors, profile fields and references are more explicit, four campus priorities are supported, work experience and training details are retained in the review summary, and the submission path includes draft saving, document upload handling and duplicate identity-number protection.</w:t>
      </w:r>
    </w:p>
    <w:p>
      <w:pPr>
        <w:pStyle w:val="ListBullet"/>
        <w:spacing w:after="0"/>
      </w:pPr>
      <w:r>
        <w:t>Admissions worklist: staff can search by reference, applicant, identity number or pathway, filter by pathway and status, sort using pathway-specific measures, paginate and perform bounded bulk decline actions on eligible current-page records.</w:t>
      </w:r>
    </w:p>
    <w:p>
      <w:pPr>
        <w:pStyle w:val="ListBullet"/>
        <w:spacing w:after="0"/>
      </w:pPr>
      <w:r>
        <w:t>Staff and employer workflow: correction and resubmission states, shortlist and placement transitions, campus capacity checks, employer release boundaries, current reports and placement responses are represented in the workflow and audit model.</w:t>
      </w:r>
    </w:p>
    <w:p>
      <w:pPr>
        <w:pStyle w:val="ListBullet"/>
        <w:spacing w:after="0"/>
      </w:pPr>
      <w:r>
        <w:t>Presentation and communication: GPG branding, four-campus preference handling, clearer intake settings, approved document-name selectors, message variables for name, surname and ID, employer print layout and explicit submit actions were added or refined.</w:t>
      </w:r>
    </w:p>
    <w:p>
      <w:pPr>
        <w:pStyle w:val="Heading2"/>
        <w:spacing w:after="0"/>
      </w:pPr>
      <w:r>
        <w:t>14.2 Current release and verification</w:t>
      </w:r>
    </w:p>
    <w:tbl>
      <w:tblPr>
        <w:tblStyle w:val="TableGrid"/>
        <w:tblW w:type="auto" w:w="0"/>
        <w:jc w:val="center"/>
        <w:tblLook w:firstColumn="1" w:firstRow="1" w:lastColumn="0" w:lastRow="0" w:noHBand="0" w:noVBand="1" w:val="04A0"/>
      </w:tblPr>
      <w:tblGrid>
        <w:gridCol w:w="3120"/>
        <w:gridCol w:w="3120"/>
        <w:gridCol w:w="3120"/>
      </w:tblGrid>
      <w:tr>
        <w:trPr>
          <w:tblHeader w:val="true"/>
        </w:trPr>
        <w:tc>
          <w:tcPr>
            <w:tcW w:type="dxa" w:w="3120"/>
            <w:shd w:fill="0B2D52"/>
            <w:tcMar>
              <w:top w:w="90" w:type="dxa"/>
              <w:start w:w="120" w:type="dxa"/>
              <w:bottom w:w="90" w:type="dxa"/>
              <w:end w:w="120" w:type="dxa"/>
            </w:tcMar>
          </w:tcPr>
          <w:p>
            <w:pPr>
              <w:spacing w:after="0"/>
            </w:pPr>
            <w:r>
              <w:rPr>
                <w:b/>
                <w:color w:val="FFFFFF"/>
              </w:rPr>
              <w:t>Area</w:t>
            </w:r>
          </w:p>
        </w:tc>
        <w:tc>
          <w:tcPr>
            <w:tcW w:type="dxa" w:w="3120"/>
            <w:shd w:fill="0B2D52"/>
            <w:tcMar>
              <w:top w:w="90" w:type="dxa"/>
              <w:start w:w="120" w:type="dxa"/>
              <w:bottom w:w="90" w:type="dxa"/>
              <w:end w:w="120" w:type="dxa"/>
            </w:tcMar>
          </w:tcPr>
          <w:p>
            <w:pPr>
              <w:spacing w:after="0"/>
            </w:pPr>
            <w:r>
              <w:rPr>
                <w:b/>
                <w:color w:val="FFFFFF"/>
              </w:rPr>
              <w:t>Current state</w:t>
            </w:r>
          </w:p>
        </w:tc>
        <w:tc>
          <w:tcPr>
            <w:tcW w:type="dxa" w:w="3120"/>
            <w:shd w:fill="0B2D52"/>
            <w:tcMar>
              <w:top w:w="90" w:type="dxa"/>
              <w:start w:w="120" w:type="dxa"/>
              <w:bottom w:w="90" w:type="dxa"/>
              <w:end w:w="120" w:type="dxa"/>
            </w:tcMar>
          </w:tcPr>
          <w:p>
            <w:pPr>
              <w:spacing w:after="0"/>
            </w:pPr>
            <w:r>
              <w:rPr>
                <w:b/>
                <w:color w:val="FFFFFF"/>
              </w:rPr>
              <w:t>eGov action</w:t>
            </w:r>
          </w:p>
        </w:tc>
      </w:tr>
      <w:tr>
        <w:tc>
          <w:tcPr>
            <w:tcW w:type="dxa" w:w="3120"/>
            <w:tcMar>
              <w:top w:w="90" w:type="dxa"/>
              <w:start w:w="120" w:type="dxa"/>
              <w:bottom w:w="90" w:type="dxa"/>
              <w:end w:w="120" w:type="dxa"/>
            </w:tcMar>
          </w:tcPr>
          <w:p>
            <w:pPr>
              <w:spacing w:after="0"/>
            </w:pPr>
            <w:r>
              <w:t>Automated tests</w:t>
            </w:r>
          </w:p>
        </w:tc>
        <w:tc>
          <w:tcPr>
            <w:tcW w:type="dxa" w:w="3120"/>
            <w:tcMar>
              <w:top w:w="90" w:type="dxa"/>
              <w:start w:w="120" w:type="dxa"/>
              <w:bottom w:w="90" w:type="dxa"/>
              <w:end w:w="120" w:type="dxa"/>
            </w:tcMar>
          </w:tcPr>
          <w:p>
            <w:pPr>
              <w:spacing w:after="0"/>
            </w:pPr>
            <w:r>
              <w:t>46 tests pass across authentication, domain rules, uploads, qualification, worklist, employer export and workflow transitions.</w:t>
            </w:r>
          </w:p>
        </w:tc>
        <w:tc>
          <w:tcPr>
            <w:tcW w:type="dxa" w:w="3120"/>
            <w:tcMar>
              <w:top w:w="90" w:type="dxa"/>
              <w:start w:w="120" w:type="dxa"/>
              <w:bottom w:w="90" w:type="dxa"/>
              <w:end w:w="120" w:type="dxa"/>
            </w:tcMar>
          </w:tcPr>
          <w:p>
            <w:pPr>
              <w:spacing w:after="0"/>
            </w:pPr>
            <w:r>
              <w:t>Retain the test output with the release record.</w:t>
            </w:r>
          </w:p>
        </w:tc>
      </w:tr>
      <w:tr>
        <w:tc>
          <w:tcPr>
            <w:tcW w:type="dxa" w:w="3120"/>
            <w:tcMar>
              <w:top w:w="90" w:type="dxa"/>
              <w:start w:w="120" w:type="dxa"/>
              <w:bottom w:w="90" w:type="dxa"/>
              <w:end w:w="120" w:type="dxa"/>
            </w:tcMar>
          </w:tcPr>
          <w:p>
            <w:pPr>
              <w:spacing w:after="0"/>
            </w:pPr>
            <w:r>
              <w:t>Production build</w:t>
            </w:r>
          </w:p>
        </w:tc>
        <w:tc>
          <w:tcPr>
            <w:tcW w:type="dxa" w:w="3120"/>
            <w:tcMar>
              <w:top w:w="90" w:type="dxa"/>
              <w:start w:w="120" w:type="dxa"/>
              <w:bottom w:w="90" w:type="dxa"/>
              <w:end w:w="120" w:type="dxa"/>
            </w:tcMar>
          </w:tcPr>
          <w:p>
            <w:pPr>
              <w:spacing w:after="0"/>
            </w:pPr>
            <w:r>
              <w:t>The Vite and Sites worker build completes successfully; the remaining chunk-size notice is non-blocking.</w:t>
            </w:r>
          </w:p>
        </w:tc>
        <w:tc>
          <w:tcPr>
            <w:tcW w:type="dxa" w:w="3120"/>
            <w:tcMar>
              <w:top w:w="90" w:type="dxa"/>
              <w:start w:w="120" w:type="dxa"/>
              <w:bottom w:w="90" w:type="dxa"/>
              <w:end w:w="120" w:type="dxa"/>
            </w:tcMar>
          </w:tcPr>
          <w:p>
            <w:pPr>
              <w:spacing w:after="0"/>
            </w:pPr>
            <w:r>
              <w:t>Review bundle sizing during later optimisation, not as a release blocker.</w:t>
            </w:r>
          </w:p>
        </w:tc>
      </w:tr>
      <w:tr>
        <w:tc>
          <w:tcPr>
            <w:tcW w:type="dxa" w:w="3120"/>
            <w:tcMar>
              <w:top w:w="90" w:type="dxa"/>
              <w:start w:w="120" w:type="dxa"/>
              <w:bottom w:w="90" w:type="dxa"/>
              <w:end w:w="120" w:type="dxa"/>
            </w:tcMar>
          </w:tcPr>
          <w:p>
            <w:pPr>
              <w:spacing w:after="0"/>
            </w:pPr>
            <w:r>
              <w:t>Public demo</w:t>
            </w:r>
          </w:p>
        </w:tc>
        <w:tc>
          <w:tcPr>
            <w:tcW w:type="dxa" w:w="3120"/>
            <w:tcMar>
              <w:top w:w="90" w:type="dxa"/>
              <w:start w:w="120" w:type="dxa"/>
              <w:bottom w:w="90" w:type="dxa"/>
              <w:end w:w="120" w:type="dxa"/>
            </w:tcMar>
          </w:tcPr>
          <w:p>
            <w:pPr>
              <w:spacing w:after="0"/>
            </w:pPr>
            <w:r>
              <w:t>The current GCON Sites release is live at https://gcon-nursing-intake.alistairljohanson.chatgpt.site/.</w:t>
            </w:r>
          </w:p>
        </w:tc>
        <w:tc>
          <w:tcPr>
            <w:tcW w:type="dxa" w:w="3120"/>
            <w:tcMar>
              <w:top w:w="90" w:type="dxa"/>
              <w:start w:w="120" w:type="dxa"/>
              <w:bottom w:w="90" w:type="dxa"/>
              <w:end w:w="120" w:type="dxa"/>
            </w:tcMar>
          </w:tcPr>
          <w:p>
            <w:pPr>
              <w:spacing w:after="0"/>
            </w:pPr>
            <w:r>
              <w:t>Treat this as a stakeholder demo and do not load real applicant data.</w:t>
            </w:r>
          </w:p>
        </w:tc>
      </w:tr>
      <w:tr>
        <w:tc>
          <w:tcPr>
            <w:tcW w:type="dxa" w:w="3120"/>
            <w:tcMar>
              <w:top w:w="90" w:type="dxa"/>
              <w:start w:w="120" w:type="dxa"/>
              <w:bottom w:w="90" w:type="dxa"/>
              <w:end w:w="120" w:type="dxa"/>
            </w:tcMar>
          </w:tcPr>
          <w:p>
            <w:pPr>
              <w:spacing w:after="0"/>
            </w:pPr>
            <w:r>
              <w:t>Employer export</w:t>
            </w:r>
          </w:p>
        </w:tc>
        <w:tc>
          <w:tcPr>
            <w:tcW w:type="dxa" w:w="3120"/>
            <w:tcMar>
              <w:top w:w="90" w:type="dxa"/>
              <w:start w:w="120" w:type="dxa"/>
              <w:bottom w:w="90" w:type="dxa"/>
              <w:end w:w="120" w:type="dxa"/>
            </w:tcMar>
          </w:tcPr>
          <w:p>
            <w:pPr>
              <w:spacing w:after="0"/>
            </w:pPr>
            <w:r>
              <w:t>The workbook includes a Summary tab and separate Shortlisted, Placement ready and Placed tabs for each campus/status combination.</w:t>
            </w:r>
          </w:p>
        </w:tc>
        <w:tc>
          <w:tcPr>
            <w:tcW w:type="dxa" w:w="3120"/>
            <w:tcMar>
              <w:top w:w="90" w:type="dxa"/>
              <w:start w:w="120" w:type="dxa"/>
              <w:bottom w:w="90" w:type="dxa"/>
              <w:end w:w="120" w:type="dxa"/>
            </w:tcMar>
          </w:tcPr>
          <w:p>
            <w:pPr>
              <w:spacing w:after="0"/>
            </w:pPr>
            <w:r>
              <w:t>Replace demonstration campus contacts before live operational use.</w:t>
            </w:r>
          </w:p>
        </w:tc>
      </w:tr>
      <w:tr>
        <w:tc>
          <w:tcPr>
            <w:tcW w:type="dxa" w:w="3120"/>
            <w:tcMar>
              <w:top w:w="90" w:type="dxa"/>
              <w:start w:w="120" w:type="dxa"/>
              <w:bottom w:w="90" w:type="dxa"/>
              <w:end w:w="120" w:type="dxa"/>
            </w:tcMar>
          </w:tcPr>
          <w:p>
            <w:pPr>
              <w:spacing w:after="0"/>
            </w:pPr>
            <w:r>
              <w:t>Supporting documents</w:t>
            </w:r>
          </w:p>
        </w:tc>
        <w:tc>
          <w:tcPr>
            <w:tcW w:type="dxa" w:w="3120"/>
            <w:tcMar>
              <w:top w:w="90" w:type="dxa"/>
              <w:start w:w="120" w:type="dxa"/>
              <w:bottom w:w="90" w:type="dxa"/>
              <w:end w:w="120" w:type="dxa"/>
            </w:tcMar>
          </w:tcPr>
          <w:p>
            <w:pPr>
              <w:spacing w:after="0"/>
            </w:pPr>
            <w:r>
              <w:t>The eGov handover and chatbot FAQ are available in the repository.</w:t>
            </w:r>
          </w:p>
        </w:tc>
        <w:tc>
          <w:tcPr>
            <w:tcW w:type="dxa" w:w="3120"/>
            <w:tcMar>
              <w:top w:w="90" w:type="dxa"/>
              <w:start w:w="120" w:type="dxa"/>
              <w:bottom w:w="90" w:type="dxa"/>
              <w:end w:w="120" w:type="dxa"/>
            </w:tcMar>
          </w:tcPr>
          <w:p>
            <w:pPr>
              <w:spacing w:after="0"/>
            </w:pPr>
            <w:r>
              <w:t>Place controlled copies in the eGov release and training record.</w:t>
            </w:r>
          </w:p>
        </w:tc>
      </w:tr>
    </w:tbl>
    <w:p>
      <w:pPr>
        <w:pStyle w:val="Heading2"/>
        <w:spacing w:after="0"/>
      </w:pPr>
      <w:r>
        <w:t>14.3 New operational references</w:t>
      </w:r>
    </w:p>
    <w:p>
      <w:pPr>
        <w:pStyle w:val="ListBullet"/>
        <w:spacing w:after="0"/>
      </w:pPr>
      <w:r>
        <w:t>GCON_2027_Chatbot_FAQ_Training.docx provides approved answers, escalation boundaries and current applicant, staff and employer terminology for chatbot training.</w:t>
      </w:r>
    </w:p>
    <w:p>
      <w:pPr>
        <w:pStyle w:val="ListBullet"/>
        <w:spacing w:after="0"/>
      </w:pPr>
      <w:r>
        <w:t>GCON_2026_09_Two_Week_Change_Summary.docx records the recent change timeline, verification evidence, release status and outstanding actions.</w:t>
      </w:r>
    </w:p>
    <w:p>
      <w:pPr>
        <w:pStyle w:val="ListBullet"/>
        <w:spacing w:after="0"/>
      </w:pPr>
      <w:r>
        <w:t>The Excel workbook export is generated from the employer portal at runtime and is not a static source file. Its campus directory values must be reviewed before a live intake.</w:t>
      </w:r>
    </w:p>
    <w:p>
      <w:pPr>
        <w:pStyle w:val="Heading1"/>
        <w:keepNext/>
      </w:pPr>
      <w:r>
        <w:t>15. Known limitations and open decisions</w:t>
      </w:r>
    </w:p>
    <w:p>
      <w:pPr>
        <w:pStyle w:val="ListBullet"/>
        <w:spacing w:before="0" w:after="80" w:line="300" w:lineRule="auto"/>
        <w:ind w:left="540" w:hanging="271"/>
      </w:pPr>
      <w:r>
        <w:rPr>
          <w:rFonts w:ascii="Calibri" w:hAnsi="Calibri"/>
          <w:color w:val="1F2933"/>
          <w:sz w:val="22"/>
        </w:rPr>
        <w:t>The current API reports local-development-adapter unless production adapters are activated. PostgreSQL, Azure Blob/object storage and Key Vault are integration points, not completed production bindings.</w:t>
      </w:r>
    </w:p>
    <w:p>
      <w:pPr>
        <w:pStyle w:val="ListBullet"/>
        <w:spacing w:before="0" w:after="80" w:line="300" w:lineRule="auto"/>
        <w:ind w:left="540" w:hanging="271"/>
      </w:pPr>
      <w:r>
        <w:rPr>
          <w:rFonts w:ascii="Calibri" w:hAnsi="Calibri"/>
          <w:color w:val="1F2933"/>
          <w:sz w:val="22"/>
        </w:rPr>
        <w:t>The hosted Sites demo stores state in runtime memory and exposes demo shortcuts. It must not receive real applicant data.</w:t>
      </w:r>
    </w:p>
    <w:p>
      <w:pPr>
        <w:pStyle w:val="ListBullet"/>
        <w:spacing w:before="0" w:after="80" w:line="300" w:lineRule="auto"/>
        <w:ind w:left="540" w:hanging="271"/>
      </w:pPr>
      <w:r>
        <w:rPr>
          <w:rFonts w:ascii="Calibri" w:hAnsi="Calibri"/>
          <w:color w:val="1F2933"/>
          <w:sz w:val="22"/>
        </w:rPr>
        <w:t>The current prototype keeps original pathway scores and ranks within the same pathway only. A cross-pathway equivalency matrix is a policy decision and is not implemented.</w:t>
      </w:r>
    </w:p>
    <w:p>
      <w:pPr>
        <w:pStyle w:val="ListBullet"/>
        <w:spacing w:before="0" w:after="80" w:line="300" w:lineRule="auto"/>
        <w:ind w:left="540" w:hanging="271"/>
      </w:pPr>
      <w:r>
        <w:rPr>
          <w:rFonts w:ascii="Calibri" w:hAnsi="Calibri"/>
          <w:color w:val="1F2933"/>
          <w:sz w:val="22"/>
        </w:rPr>
        <w:t>External email and SMS delivery are not required for the current in-app notification path. Any external messaging integration needs a provider, templates, consent/retention rules and delivery monitoring.</w:t>
      </w:r>
    </w:p>
    <w:p>
      <w:pPr>
        <w:pStyle w:val="ListBullet"/>
        <w:spacing w:before="0" w:after="80" w:line="300" w:lineRule="auto"/>
        <w:ind w:left="540" w:hanging="271"/>
      </w:pPr>
      <w:r>
        <w:rPr>
          <w:rFonts w:ascii="Calibri" w:hAnsi="Calibri"/>
          <w:color w:val="1F2933"/>
          <w:sz w:val="22"/>
        </w:rPr>
        <w:t>A mobile QA pass found horizontal overflow on the Admissions Applications page: the export control extends beyond the visible page heading at a 390px viewport. Resolve and retest before production acceptance.</w:t>
      </w:r>
    </w:p>
    <w:p>
      <w:pPr>
        <w:pStyle w:val="ListBullet"/>
        <w:spacing w:before="0" w:after="80" w:line="300" w:lineRule="auto"/>
        <w:ind w:left="540" w:hanging="271"/>
      </w:pPr>
      <w:r>
        <w:rPr>
          <w:rFonts w:ascii="Calibri" w:hAnsi="Calibri"/>
          <w:color w:val="1F2933"/>
          <w:sz w:val="22"/>
        </w:rPr>
        <w:t>The repository includes a local development adapter and seeded demo data. eGov must complete data migration, tenancy, production identity and operational hardening rather than treating the demo seed as an initial production database.</w:t>
      </w:r>
    </w:p>
    <w:p>
      <w:pPr>
        <w:pStyle w:val="Heading1"/>
        <w:keepNext/>
      </w:pPr>
      <w:r>
        <w:t>16. Support and escalation information</w:t>
      </w:r>
    </w:p>
    <w:tbl>
      <w:tblPr>
        <w:tblStyle w:val="TableGrid"/>
        <w:tblW w:type="dxa" w:w="9360"/>
        <w:jc w:val="left"/>
        <w:tblLayout w:type="fixed"/>
        <w:tblLook w:firstColumn="1" w:firstRow="1" w:lastColumn="0" w:lastRow="0" w:noHBand="0" w:noVBand="1" w:val="04A0"/>
        <w:tblInd w:type="dxa" w:w="120"/>
        <w:tblBorders>
          <w:top w:val="single" w:sz="4" w:space="0" w:color="C8D1DB"/>
          <w:left w:val="single" w:sz="4" w:space="0" w:color="C8D1DB"/>
          <w:bottom w:val="single" w:sz="4" w:space="0" w:color="C8D1DB"/>
          <w:right w:val="single" w:sz="4" w:space="0" w:color="C8D1DB"/>
          <w:insideH w:val="single" w:sz="4" w:space="0" w:color="C8D1DB"/>
          <w:insideV w:val="single" w:sz="4" w:space="0" w:color="C8D1DB"/>
        </w:tblBorders>
      </w:tblPr>
      <w:tblGrid>
        <w:gridCol w:w="2700"/>
        <w:gridCol w:w="4300"/>
        <w:gridCol w:w="2360"/>
      </w:tblGrid>
      <w:tr>
        <w:trPr>
          <w:tblHeader/>
        </w:trPr>
        <w:tc>
          <w:tcPr>
            <w:tcW w:type="dxa" w:w="2700"/>
            <w:vAlign w:val="center"/>
            <w:shd w:fill="E8EEF5" w:val="clear"/>
            <w:tcMar>
              <w:top w:w="80" w:type="dxa"/>
              <w:bottom w:w="80" w:type="dxa"/>
              <w:start w:w="120" w:type="dxa"/>
              <w:end w:w="120" w:type="dxa"/>
            </w:tcMar>
          </w:tcPr>
          <w:p>
            <w:pPr>
              <w:spacing w:before="0" w:after="0" w:line="269" w:lineRule="auto"/>
            </w:pPr>
            <w:r/>
            <w:r>
              <w:rPr>
                <w:rFonts w:ascii="Calibri" w:hAnsi="Calibri"/>
                <w:b/>
                <w:color w:val="0B2545"/>
                <w:sz w:val="19"/>
              </w:rPr>
              <w:t>Situation</w:t>
            </w:r>
          </w:p>
        </w:tc>
        <w:tc>
          <w:tcPr>
            <w:tcW w:type="dxa" w:w="4300"/>
            <w:vAlign w:val="center"/>
            <w:shd w:fill="E8EEF5" w:val="clear"/>
            <w:tcMar>
              <w:top w:w="80" w:type="dxa"/>
              <w:bottom w:w="80" w:type="dxa"/>
              <w:start w:w="120" w:type="dxa"/>
              <w:end w:w="120" w:type="dxa"/>
            </w:tcMar>
          </w:tcPr>
          <w:p>
            <w:pPr>
              <w:spacing w:before="0" w:after="0" w:line="269" w:lineRule="auto"/>
            </w:pPr>
            <w:r/>
            <w:r>
              <w:rPr>
                <w:rFonts w:ascii="Calibri" w:hAnsi="Calibri"/>
                <w:b/>
                <w:color w:val="0B2545"/>
                <w:sz w:val="19"/>
              </w:rPr>
              <w:t>First response</w:t>
            </w:r>
          </w:p>
        </w:tc>
        <w:tc>
          <w:tcPr>
            <w:tcW w:type="dxa" w:w="2360"/>
            <w:vAlign w:val="center"/>
            <w:shd w:fill="E8EEF5" w:val="clear"/>
            <w:tcMar>
              <w:top w:w="80" w:type="dxa"/>
              <w:bottom w:w="80" w:type="dxa"/>
              <w:start w:w="120" w:type="dxa"/>
              <w:end w:w="120" w:type="dxa"/>
            </w:tcMar>
          </w:tcPr>
          <w:p>
            <w:pPr>
              <w:spacing w:before="0" w:after="0" w:line="269" w:lineRule="auto"/>
            </w:pPr>
            <w:r/>
            <w:r>
              <w:rPr>
                <w:rFonts w:ascii="Calibri" w:hAnsi="Calibri"/>
                <w:b/>
                <w:color w:val="0B2545"/>
                <w:sz w:val="19"/>
              </w:rPr>
              <w:t>Escalate to</w:t>
            </w:r>
          </w:p>
        </w:tc>
      </w:tr>
      <w:tr>
        <w:trPr/>
        <w:tc>
          <w:tcPr>
            <w:tcW w:type="dxa" w:w="2700"/>
            <w:vAlign w:val="center"/>
            <w:tcMar>
              <w:top w:w="80" w:type="dxa"/>
              <w:bottom w:w="80" w:type="dxa"/>
              <w:start w:w="120" w:type="dxa"/>
              <w:end w:w="120" w:type="dxa"/>
            </w:tcMar>
          </w:tcPr>
          <w:p>
            <w:pPr>
              <w:spacing w:before="0" w:after="0" w:line="269" w:lineRule="auto"/>
            </w:pPr>
            <w:r/>
            <w:r>
              <w:rPr>
                <w:rFonts w:ascii="Calibri" w:hAnsi="Calibri"/>
                <w:b w:val="0"/>
                <w:color w:val="1F2933"/>
                <w:sz w:val="19"/>
              </w:rPr>
              <w:t>Public site unavailable</w:t>
            </w:r>
          </w:p>
        </w:tc>
        <w:tc>
          <w:tcPr>
            <w:tcW w:type="dxa" w:w="4300"/>
            <w:vAlign w:val="center"/>
            <w:tcMar>
              <w:top w:w="80" w:type="dxa"/>
              <w:bottom w:w="80" w:type="dxa"/>
              <w:start w:w="120" w:type="dxa"/>
              <w:end w:w="120" w:type="dxa"/>
            </w:tcMar>
          </w:tcPr>
          <w:p>
            <w:pPr>
              <w:spacing w:before="0" w:after="0" w:line="269" w:lineRule="auto"/>
            </w:pPr>
            <w:r/>
            <w:r>
              <w:rPr>
                <w:rFonts w:ascii="Calibri" w:hAnsi="Calibri"/>
                <w:b w:val="0"/>
                <w:color w:val="1F2933"/>
                <w:sz w:val="19"/>
              </w:rPr>
              <w:t>Check edge, static asset availability, API health and recent release logs.</w:t>
            </w:r>
          </w:p>
        </w:tc>
        <w:tc>
          <w:tcPr>
            <w:tcW w:type="dxa" w:w="2360"/>
            <w:vAlign w:val="center"/>
            <w:tcMar>
              <w:top w:w="80" w:type="dxa"/>
              <w:bottom w:w="80" w:type="dxa"/>
              <w:start w:w="120" w:type="dxa"/>
              <w:end w:w="120" w:type="dxa"/>
            </w:tcMar>
          </w:tcPr>
          <w:p>
            <w:pPr>
              <w:spacing w:before="0" w:after="0" w:line="269" w:lineRule="auto"/>
            </w:pPr>
            <w:r/>
            <w:r>
              <w:rPr>
                <w:rFonts w:ascii="Calibri" w:hAnsi="Calibri"/>
                <w:b w:val="0"/>
                <w:color w:val="1F2933"/>
                <w:sz w:val="19"/>
              </w:rPr>
              <w:t>eGov infrastructure and application owner</w:t>
            </w:r>
          </w:p>
        </w:tc>
      </w:tr>
      <w:tr>
        <w:trPr/>
        <w:tc>
          <w:tcPr>
            <w:tcW w:type="dxa" w:w="2700"/>
            <w:vAlign w:val="center"/>
            <w:tcMar>
              <w:top w:w="80" w:type="dxa"/>
              <w:bottom w:w="80" w:type="dxa"/>
              <w:start w:w="120" w:type="dxa"/>
              <w:end w:w="120" w:type="dxa"/>
            </w:tcMar>
          </w:tcPr>
          <w:p>
            <w:pPr>
              <w:spacing w:before="0" w:after="0" w:line="269" w:lineRule="auto"/>
            </w:pPr>
            <w:r/>
            <w:r>
              <w:rPr>
                <w:rFonts w:ascii="Calibri" w:hAnsi="Calibri"/>
                <w:b w:val="0"/>
                <w:color w:val="1F2933"/>
                <w:sz w:val="19"/>
              </w:rPr>
              <w:t>Login or permissions failure</w:t>
            </w:r>
          </w:p>
        </w:tc>
        <w:tc>
          <w:tcPr>
            <w:tcW w:type="dxa" w:w="4300"/>
            <w:vAlign w:val="center"/>
            <w:tcMar>
              <w:top w:w="80" w:type="dxa"/>
              <w:bottom w:w="80" w:type="dxa"/>
              <w:start w:w="120" w:type="dxa"/>
              <w:end w:w="120" w:type="dxa"/>
            </w:tcMar>
          </w:tcPr>
          <w:p>
            <w:pPr>
              <w:spacing w:before="0" w:after="0" w:line="269" w:lineRule="auto"/>
            </w:pPr>
            <w:r/>
            <w:r>
              <w:rPr>
                <w:rFonts w:ascii="Calibri" w:hAnsi="Calibri"/>
                <w:b w:val="0"/>
                <w:color w:val="1F2933"/>
                <w:sz w:val="19"/>
              </w:rPr>
              <w:t>Check identity claims, organisation membership, token issuer/audience and API authorisation logs.</w:t>
            </w:r>
          </w:p>
        </w:tc>
        <w:tc>
          <w:tcPr>
            <w:tcW w:type="dxa" w:w="2360"/>
            <w:vAlign w:val="center"/>
            <w:tcMar>
              <w:top w:w="80" w:type="dxa"/>
              <w:bottom w:w="80" w:type="dxa"/>
              <w:start w:w="120" w:type="dxa"/>
              <w:end w:w="120" w:type="dxa"/>
            </w:tcMar>
          </w:tcPr>
          <w:p>
            <w:pPr>
              <w:spacing w:before="0" w:after="0" w:line="269" w:lineRule="auto"/>
            </w:pPr>
            <w:r/>
            <w:r>
              <w:rPr>
                <w:rFonts w:ascii="Calibri" w:hAnsi="Calibri"/>
                <w:b w:val="0"/>
                <w:color w:val="1F2933"/>
                <w:sz w:val="19"/>
              </w:rPr>
              <w:t>eGov IAM and application owner</w:t>
            </w:r>
          </w:p>
        </w:tc>
      </w:tr>
      <w:tr>
        <w:trPr/>
        <w:tc>
          <w:tcPr>
            <w:tcW w:type="dxa" w:w="2700"/>
            <w:vAlign w:val="center"/>
            <w:tcMar>
              <w:top w:w="80" w:type="dxa"/>
              <w:bottom w:w="80" w:type="dxa"/>
              <w:start w:w="120" w:type="dxa"/>
              <w:end w:w="120" w:type="dxa"/>
            </w:tcMar>
          </w:tcPr>
          <w:p>
            <w:pPr>
              <w:spacing w:before="0" w:after="0" w:line="269" w:lineRule="auto"/>
            </w:pPr>
            <w:r/>
            <w:r>
              <w:rPr>
                <w:rFonts w:ascii="Calibri" w:hAnsi="Calibri"/>
                <w:b w:val="0"/>
                <w:color w:val="1F2933"/>
                <w:sz w:val="19"/>
              </w:rPr>
              <w:t>Document upload/review failure</w:t>
            </w:r>
          </w:p>
        </w:tc>
        <w:tc>
          <w:tcPr>
            <w:tcW w:type="dxa" w:w="4300"/>
            <w:vAlign w:val="center"/>
            <w:tcMar>
              <w:top w:w="80" w:type="dxa"/>
              <w:bottom w:w="80" w:type="dxa"/>
              <w:start w:w="120" w:type="dxa"/>
              <w:end w:w="120" w:type="dxa"/>
            </w:tcMar>
          </w:tcPr>
          <w:p>
            <w:pPr>
              <w:spacing w:before="0" w:after="0" w:line="269" w:lineRule="auto"/>
            </w:pPr>
            <w:r/>
            <w:r>
              <w:rPr>
                <w:rFonts w:ascii="Calibri" w:hAnsi="Calibri"/>
                <w:b w:val="0"/>
                <w:color w:val="1F2933"/>
                <w:sz w:val="19"/>
              </w:rPr>
              <w:t>Check upload intent, content endpoint, checksum completion, malware scan and object-storage status.</w:t>
            </w:r>
          </w:p>
        </w:tc>
        <w:tc>
          <w:tcPr>
            <w:tcW w:type="dxa" w:w="2360"/>
            <w:vAlign w:val="center"/>
            <w:tcMar>
              <w:top w:w="80" w:type="dxa"/>
              <w:bottom w:w="80" w:type="dxa"/>
              <w:start w:w="120" w:type="dxa"/>
              <w:end w:w="120" w:type="dxa"/>
            </w:tcMar>
          </w:tcPr>
          <w:p>
            <w:pPr>
              <w:spacing w:before="0" w:after="0" w:line="269" w:lineRule="auto"/>
            </w:pPr>
            <w:r/>
            <w:r>
              <w:rPr>
                <w:rFonts w:ascii="Calibri" w:hAnsi="Calibri"/>
                <w:b w:val="0"/>
                <w:color w:val="1F2933"/>
                <w:sz w:val="19"/>
              </w:rPr>
              <w:t>eGov security/storage and application owner</w:t>
            </w:r>
          </w:p>
        </w:tc>
      </w:tr>
      <w:tr>
        <w:trPr/>
        <w:tc>
          <w:tcPr>
            <w:tcW w:type="dxa" w:w="2700"/>
            <w:vAlign w:val="center"/>
            <w:tcMar>
              <w:top w:w="80" w:type="dxa"/>
              <w:bottom w:w="80" w:type="dxa"/>
              <w:start w:w="120" w:type="dxa"/>
              <w:end w:w="120" w:type="dxa"/>
            </w:tcMar>
          </w:tcPr>
          <w:p>
            <w:pPr>
              <w:spacing w:before="0" w:after="0" w:line="269" w:lineRule="auto"/>
            </w:pPr>
            <w:r/>
            <w:r>
              <w:rPr>
                <w:rFonts w:ascii="Calibri" w:hAnsi="Calibri"/>
                <w:b w:val="0"/>
                <w:color w:val="1F2933"/>
                <w:sz w:val="19"/>
              </w:rPr>
              <w:t>Workflow state mismatch</w:t>
            </w:r>
          </w:p>
        </w:tc>
        <w:tc>
          <w:tcPr>
            <w:tcW w:type="dxa" w:w="4300"/>
            <w:vAlign w:val="center"/>
            <w:tcMar>
              <w:top w:w="80" w:type="dxa"/>
              <w:bottom w:w="80" w:type="dxa"/>
              <w:start w:w="120" w:type="dxa"/>
              <w:end w:w="120" w:type="dxa"/>
            </w:tcMar>
          </w:tcPr>
          <w:p>
            <w:pPr>
              <w:spacing w:before="0" w:after="0" w:line="269" w:lineRule="auto"/>
            </w:pPr>
            <w:r/>
            <w:r>
              <w:rPr>
                <w:rFonts w:ascii="Calibri" w:hAnsi="Calibri"/>
                <w:b w:val="0"/>
                <w:color w:val="1F2933"/>
                <w:sz w:val="19"/>
              </w:rPr>
              <w:t>Preserve the reference, timestamp and actor; inspect audit event and database transaction log.</w:t>
            </w:r>
          </w:p>
        </w:tc>
        <w:tc>
          <w:tcPr>
            <w:tcW w:type="dxa" w:w="2360"/>
            <w:vAlign w:val="center"/>
            <w:tcMar>
              <w:top w:w="80" w:type="dxa"/>
              <w:bottom w:w="80" w:type="dxa"/>
              <w:start w:w="120" w:type="dxa"/>
              <w:end w:w="120" w:type="dxa"/>
            </w:tcMar>
          </w:tcPr>
          <w:p>
            <w:pPr>
              <w:spacing w:before="0" w:after="0" w:line="269" w:lineRule="auto"/>
            </w:pPr>
            <w:r/>
            <w:r>
              <w:rPr>
                <w:rFonts w:ascii="Calibri" w:hAnsi="Calibri"/>
                <w:b w:val="0"/>
                <w:color w:val="1F2933"/>
                <w:sz w:val="19"/>
              </w:rPr>
              <w:t>Service owner and compliance</w:t>
            </w:r>
          </w:p>
        </w:tc>
      </w:tr>
      <w:tr>
        <w:trPr/>
        <w:tc>
          <w:tcPr>
            <w:tcW w:type="dxa" w:w="2700"/>
            <w:vAlign w:val="center"/>
            <w:tcMar>
              <w:top w:w="80" w:type="dxa"/>
              <w:bottom w:w="80" w:type="dxa"/>
              <w:start w:w="120" w:type="dxa"/>
              <w:end w:w="120" w:type="dxa"/>
            </w:tcMar>
          </w:tcPr>
          <w:p>
            <w:pPr>
              <w:spacing w:before="0" w:after="0" w:line="269" w:lineRule="auto"/>
            </w:pPr>
            <w:r/>
            <w:r>
              <w:rPr>
                <w:rFonts w:ascii="Calibri" w:hAnsi="Calibri"/>
                <w:b w:val="0"/>
                <w:color w:val="1F2933"/>
                <w:sz w:val="19"/>
              </w:rPr>
              <w:t>Suspected data exposure</w:t>
            </w:r>
          </w:p>
        </w:tc>
        <w:tc>
          <w:tcPr>
            <w:tcW w:type="dxa" w:w="4300"/>
            <w:vAlign w:val="center"/>
            <w:tcMar>
              <w:top w:w="80" w:type="dxa"/>
              <w:bottom w:w="80" w:type="dxa"/>
              <w:start w:w="120" w:type="dxa"/>
              <w:end w:w="120" w:type="dxa"/>
            </w:tcMar>
          </w:tcPr>
          <w:p>
            <w:pPr>
              <w:spacing w:before="0" w:after="0" w:line="269" w:lineRule="auto"/>
            </w:pPr>
            <w:r/>
            <w:r>
              <w:rPr>
                <w:rFonts w:ascii="Calibri" w:hAnsi="Calibri"/>
                <w:b w:val="0"/>
                <w:color w:val="1F2933"/>
                <w:sz w:val="19"/>
              </w:rPr>
              <w:t>Contain access, preserve logs, do not delete evidence, and invoke the incident/breach process.</w:t>
            </w:r>
          </w:p>
        </w:tc>
        <w:tc>
          <w:tcPr>
            <w:tcW w:type="dxa" w:w="2360"/>
            <w:vAlign w:val="center"/>
            <w:tcMar>
              <w:top w:w="80" w:type="dxa"/>
              <w:bottom w:w="80" w:type="dxa"/>
              <w:start w:w="120" w:type="dxa"/>
              <w:end w:w="120" w:type="dxa"/>
            </w:tcMar>
          </w:tcPr>
          <w:p>
            <w:pPr>
              <w:spacing w:before="0" w:after="0" w:line="269" w:lineRule="auto"/>
            </w:pPr>
            <w:r/>
            <w:r>
              <w:rPr>
                <w:rFonts w:ascii="Calibri" w:hAnsi="Calibri"/>
                <w:b w:val="0"/>
                <w:color w:val="1F2933"/>
                <w:sz w:val="19"/>
              </w:rPr>
              <w:t>eGov security incident lead</w:t>
            </w:r>
          </w:p>
        </w:tc>
      </w:tr>
    </w:tbl>
    <w:p>
      <w:pPr>
        <w:spacing w:after="20"/>
      </w:pPr>
    </w:p>
    <w:p>
      <w:pPr>
        <w:spacing w:before="0" w:after="120" w:line="300" w:lineRule="auto"/>
      </w:pPr>
      <w:r>
        <w:rPr>
          <w:rFonts w:ascii="Calibri" w:hAnsi="Calibri"/>
          <w:b w:val="0"/>
          <w:i w:val="0"/>
          <w:color w:val="1F2933"/>
          <w:sz w:val="22"/>
        </w:rPr>
        <w:t>Repository documentation and the OpenAPI contract are the technical source references for this handover. The eGov service owner should maintain this document, the production runbook, the approved architecture and the release record as a controlled set.</w:t>
      </w:r>
    </w:p>
    <w:p>
      <w:pPr>
        <w:pStyle w:val="Heading1"/>
        <w:keepNext/>
      </w:pPr>
      <w:r>
        <w:rPr>
          <w:rFonts w:ascii="Calibri" w:hAnsi="Calibri"/>
          <w:b/>
          <w:color w:val="2E74B5"/>
          <w:sz w:val="32"/>
        </w:rPr>
        <w:t>Appendix A. Reference files</w:t>
      </w:r>
    </w:p>
    <w:tbl>
      <w:tblPr>
        <w:tblStyle w:val="TableGrid"/>
        <w:tblW w:type="dxa" w:w="9360"/>
        <w:jc w:val="left"/>
        <w:tblLayout w:type="fixed"/>
        <w:tblLook w:firstColumn="1" w:firstRow="1" w:lastColumn="0" w:lastRow="0" w:noHBand="0" w:noVBand="1" w:val="04A0"/>
        <w:tblInd w:type="dxa" w:w="120"/>
        <w:tblBorders>
          <w:top w:val="single" w:sz="4" w:space="0" w:color="C8D1DB"/>
          <w:left w:val="single" w:sz="4" w:space="0" w:color="C8D1DB"/>
          <w:bottom w:val="single" w:sz="4" w:space="0" w:color="C8D1DB"/>
          <w:right w:val="single" w:sz="4" w:space="0" w:color="C8D1DB"/>
          <w:insideH w:val="single" w:sz="4" w:space="0" w:color="C8D1DB"/>
          <w:insideV w:val="single" w:sz="4" w:space="0" w:color="C8D1DB"/>
        </w:tblBorders>
      </w:tblPr>
      <w:tblGrid>
        <w:gridCol w:w="3000"/>
        <w:gridCol w:w="6360"/>
      </w:tblGrid>
      <w:tr>
        <w:trPr>
          <w:tblHeader/>
        </w:trPr>
        <w:tc>
          <w:tcPr>
            <w:tcW w:type="dxa" w:w="3000"/>
            <w:vAlign w:val="center"/>
            <w:shd w:fill="E8EEF5" w:val="clear"/>
            <w:tcMar>
              <w:top w:w="80" w:type="dxa"/>
              <w:bottom w:w="80" w:type="dxa"/>
              <w:start w:w="120" w:type="dxa"/>
              <w:end w:w="120" w:type="dxa"/>
            </w:tcMar>
          </w:tcPr>
          <w:p>
            <w:pPr>
              <w:spacing w:before="0" w:after="0" w:line="269" w:lineRule="auto"/>
            </w:pPr>
            <w:r/>
            <w:r>
              <w:rPr>
                <w:rFonts w:ascii="Calibri" w:hAnsi="Calibri"/>
                <w:b/>
                <w:color w:val="0B2545"/>
                <w:sz w:val="19"/>
              </w:rPr>
              <w:t>File</w:t>
            </w:r>
          </w:p>
        </w:tc>
        <w:tc>
          <w:tcPr>
            <w:tcW w:type="dxa" w:w="6360"/>
            <w:vAlign w:val="center"/>
            <w:shd w:fill="E8EEF5" w:val="clear"/>
            <w:tcMar>
              <w:top w:w="80" w:type="dxa"/>
              <w:bottom w:w="80" w:type="dxa"/>
              <w:start w:w="120" w:type="dxa"/>
              <w:end w:w="120" w:type="dxa"/>
            </w:tcMar>
          </w:tcPr>
          <w:p>
            <w:pPr>
              <w:spacing w:before="0" w:after="0" w:line="269" w:lineRule="auto"/>
            </w:pPr>
            <w:r/>
            <w:r>
              <w:rPr>
                <w:rFonts w:ascii="Calibri" w:hAnsi="Calibri"/>
                <w:b/>
                <w:color w:val="0B2545"/>
                <w:sz w:val="19"/>
              </w:rPr>
              <w:t>Purpose</w:t>
            </w:r>
          </w:p>
        </w:tc>
      </w:tr>
      <w:tr>
        <w:trPr/>
        <w:tc>
          <w:tcPr>
            <w:tcW w:type="dxa" w:w="3000"/>
            <w:vAlign w:val="center"/>
            <w:tcMar>
              <w:top w:w="80" w:type="dxa"/>
              <w:bottom w:w="80" w:type="dxa"/>
              <w:start w:w="120" w:type="dxa"/>
              <w:end w:w="120" w:type="dxa"/>
            </w:tcMar>
          </w:tcPr>
          <w:p>
            <w:pPr>
              <w:spacing w:before="0" w:after="0" w:line="269" w:lineRule="auto"/>
            </w:pPr>
            <w:r/>
            <w:r>
              <w:rPr>
                <w:rFonts w:ascii="Calibri" w:hAnsi="Calibri"/>
                <w:b w:val="0"/>
                <w:color w:val="1F2933"/>
                <w:sz w:val="19"/>
              </w:rPr>
              <w:t>README.md</w:t>
            </w:r>
          </w:p>
        </w:tc>
        <w:tc>
          <w:tcPr>
            <w:tcW w:type="dxa" w:w="6360"/>
            <w:vAlign w:val="center"/>
            <w:tcMar>
              <w:top w:w="80" w:type="dxa"/>
              <w:bottom w:w="80" w:type="dxa"/>
              <w:start w:w="120" w:type="dxa"/>
              <w:end w:w="120" w:type="dxa"/>
            </w:tcMar>
          </w:tcPr>
          <w:p>
            <w:pPr>
              <w:spacing w:before="0" w:after="0" w:line="269" w:lineRule="auto"/>
            </w:pPr>
            <w:r/>
            <w:r>
              <w:rPr>
                <w:rFonts w:ascii="Calibri" w:hAnsi="Calibri"/>
                <w:b w:val="0"/>
                <w:color w:val="1F2933"/>
                <w:sz w:val="19"/>
              </w:rPr>
              <w:t>Local run instructions, hosted-demo boundary, QA paths, policy notes and production binding checklist.</w:t>
            </w:r>
          </w:p>
        </w:tc>
      </w:tr>
      <w:tr>
        <w:trPr/>
        <w:tc>
          <w:tcPr>
            <w:tcW w:type="dxa" w:w="3000"/>
            <w:vAlign w:val="center"/>
            <w:tcMar>
              <w:top w:w="80" w:type="dxa"/>
              <w:bottom w:w="80" w:type="dxa"/>
              <w:start w:w="120" w:type="dxa"/>
              <w:end w:w="120" w:type="dxa"/>
            </w:tcMar>
          </w:tcPr>
          <w:p>
            <w:pPr>
              <w:spacing w:before="0" w:after="0" w:line="269" w:lineRule="auto"/>
            </w:pPr>
            <w:r/>
            <w:r>
              <w:rPr>
                <w:rFonts w:ascii="Calibri" w:hAnsi="Calibri"/>
                <w:b w:val="0"/>
                <w:color w:val="1F2933"/>
                <w:sz w:val="19"/>
              </w:rPr>
              <w:t>server.mjs</w:t>
            </w:r>
          </w:p>
        </w:tc>
        <w:tc>
          <w:tcPr>
            <w:tcW w:type="dxa" w:w="6360"/>
            <w:vAlign w:val="center"/>
            <w:tcMar>
              <w:top w:w="80" w:type="dxa"/>
              <w:bottom w:w="80" w:type="dxa"/>
              <w:start w:w="120" w:type="dxa"/>
              <w:end w:w="120" w:type="dxa"/>
            </w:tcMar>
          </w:tcPr>
          <w:p>
            <w:pPr>
              <w:spacing w:before="0" w:after="0" w:line="269" w:lineRule="auto"/>
            </w:pPr>
            <w:r/>
            <w:r>
              <w:rPr>
                <w:rFonts w:ascii="Calibri" w:hAnsi="Calibri"/>
                <w:b w:val="0"/>
                <w:color w:val="1F2933"/>
                <w:sz w:val="19"/>
              </w:rPr>
              <w:t>HTTP server, endpoint routing, request validation and service startup.</w:t>
            </w:r>
          </w:p>
        </w:tc>
      </w:tr>
      <w:tr>
        <w:trPr/>
        <w:tc>
          <w:tcPr>
            <w:tcW w:type="dxa" w:w="3000"/>
            <w:vAlign w:val="center"/>
            <w:tcMar>
              <w:top w:w="80" w:type="dxa"/>
              <w:bottom w:w="80" w:type="dxa"/>
              <w:start w:w="120" w:type="dxa"/>
              <w:end w:w="120" w:type="dxa"/>
            </w:tcMar>
          </w:tcPr>
          <w:p>
            <w:pPr>
              <w:spacing w:before="0" w:after="0" w:line="269" w:lineRule="auto"/>
            </w:pPr>
            <w:r/>
            <w:r>
              <w:rPr>
                <w:rFonts w:ascii="Calibri" w:hAnsi="Calibri"/>
                <w:b w:val="0"/>
                <w:color w:val="1F2933"/>
                <w:sz w:val="19"/>
              </w:rPr>
              <w:t>server/auth.mjs</w:t>
            </w:r>
          </w:p>
        </w:tc>
        <w:tc>
          <w:tcPr>
            <w:tcW w:type="dxa" w:w="6360"/>
            <w:vAlign w:val="center"/>
            <w:tcMar>
              <w:top w:w="80" w:type="dxa"/>
              <w:bottom w:w="80" w:type="dxa"/>
              <w:start w:w="120" w:type="dxa"/>
              <w:end w:w="120" w:type="dxa"/>
            </w:tcMar>
          </w:tcPr>
          <w:p>
            <w:pPr>
              <w:spacing w:before="0" w:after="0" w:line="269" w:lineRule="auto"/>
            </w:pPr>
            <w:r/>
            <w:r>
              <w:rPr>
                <w:rFonts w:ascii="Calibri" w:hAnsi="Calibri"/>
                <w:b w:val="0"/>
                <w:color w:val="1F2933"/>
                <w:sz w:val="19"/>
              </w:rPr>
              <w:t>Authentication, sessions, invitations, role resolution and password handling for the local MVP.</w:t>
            </w:r>
          </w:p>
        </w:tc>
      </w:tr>
      <w:tr>
        <w:trPr/>
        <w:tc>
          <w:tcPr>
            <w:tcW w:type="dxa" w:w="3000"/>
            <w:vAlign w:val="center"/>
            <w:tcMar>
              <w:top w:w="80" w:type="dxa"/>
              <w:bottom w:w="80" w:type="dxa"/>
              <w:start w:w="120" w:type="dxa"/>
              <w:end w:w="120" w:type="dxa"/>
            </w:tcMar>
          </w:tcPr>
          <w:p>
            <w:pPr>
              <w:spacing w:before="0" w:after="0" w:line="269" w:lineRule="auto"/>
            </w:pPr>
            <w:r/>
            <w:r>
              <w:rPr>
                <w:rFonts w:ascii="Calibri" w:hAnsi="Calibri"/>
                <w:b w:val="0"/>
                <w:color w:val="1F2933"/>
                <w:sz w:val="19"/>
              </w:rPr>
              <w:t>server/storage.mjs</w:t>
            </w:r>
          </w:p>
        </w:tc>
        <w:tc>
          <w:tcPr>
            <w:tcW w:type="dxa" w:w="6360"/>
            <w:vAlign w:val="center"/>
            <w:tcMar>
              <w:top w:w="80" w:type="dxa"/>
              <w:bottom w:w="80" w:type="dxa"/>
              <w:start w:w="120" w:type="dxa"/>
              <w:end w:w="120" w:type="dxa"/>
            </w:tcMar>
          </w:tcPr>
          <w:p>
            <w:pPr>
              <w:spacing w:before="0" w:after="0" w:line="269" w:lineRule="auto"/>
            </w:pPr>
            <w:r/>
            <w:r>
              <w:rPr>
                <w:rFonts w:ascii="Calibri" w:hAnsi="Calibri"/>
                <w:b w:val="0"/>
                <w:color w:val="1F2933"/>
                <w:sz w:val="19"/>
              </w:rPr>
              <w:t>Local encrypted store and provider-status reporting.</w:t>
            </w:r>
          </w:p>
        </w:tc>
      </w:tr>
      <w:tr>
        <w:trPr/>
        <w:tc>
          <w:tcPr>
            <w:tcW w:type="dxa" w:w="3000"/>
            <w:vAlign w:val="center"/>
            <w:tcMar>
              <w:top w:w="80" w:type="dxa"/>
              <w:bottom w:w="80" w:type="dxa"/>
              <w:start w:w="120" w:type="dxa"/>
              <w:end w:w="120" w:type="dxa"/>
            </w:tcMar>
          </w:tcPr>
          <w:p>
            <w:pPr>
              <w:spacing w:before="0" w:after="0" w:line="269" w:lineRule="auto"/>
            </w:pPr>
            <w:r/>
            <w:r>
              <w:rPr>
                <w:rFonts w:ascii="Calibri" w:hAnsi="Calibri"/>
                <w:b w:val="0"/>
                <w:color w:val="1F2933"/>
                <w:sz w:val="19"/>
              </w:rPr>
              <w:t>server/domain.mjs</w:t>
            </w:r>
          </w:p>
        </w:tc>
        <w:tc>
          <w:tcPr>
            <w:tcW w:type="dxa" w:w="6360"/>
            <w:vAlign w:val="center"/>
            <w:tcMar>
              <w:top w:w="80" w:type="dxa"/>
              <w:bottom w:w="80" w:type="dxa"/>
              <w:start w:w="120" w:type="dxa"/>
              <w:end w:w="120" w:type="dxa"/>
            </w:tcMar>
          </w:tcPr>
          <w:p>
            <w:pPr>
              <w:spacing w:before="0" w:after="0" w:line="269" w:lineRule="auto"/>
            </w:pPr>
            <w:r/>
            <w:r>
              <w:rPr>
                <w:rFonts w:ascii="Calibri" w:hAnsi="Calibri"/>
                <w:b w:val="0"/>
                <w:color w:val="1F2933"/>
                <w:sz w:val="19"/>
              </w:rPr>
              <w:t>Roles, statuses, organisation scope, applications, audit and workflow domain rules.</w:t>
            </w:r>
          </w:p>
        </w:tc>
      </w:tr>
      <w:tr>
        <w:trPr/>
        <w:tc>
          <w:tcPr>
            <w:tcW w:type="dxa" w:w="3000"/>
            <w:vAlign w:val="center"/>
            <w:tcMar>
              <w:top w:w="80" w:type="dxa"/>
              <w:bottom w:w="80" w:type="dxa"/>
              <w:start w:w="120" w:type="dxa"/>
              <w:end w:w="120" w:type="dxa"/>
            </w:tcMar>
          </w:tcPr>
          <w:p>
            <w:pPr>
              <w:spacing w:before="0" w:after="0" w:line="269" w:lineRule="auto"/>
            </w:pPr>
            <w:r/>
            <w:r>
              <w:rPr>
                <w:rFonts w:ascii="Calibri" w:hAnsi="Calibri"/>
                <w:b w:val="0"/>
                <w:color w:val="1F2933"/>
                <w:sz w:val="19"/>
              </w:rPr>
              <w:t>src/main.jsx</w:t>
            </w:r>
          </w:p>
        </w:tc>
        <w:tc>
          <w:tcPr>
            <w:tcW w:type="dxa" w:w="6360"/>
            <w:vAlign w:val="center"/>
            <w:tcMar>
              <w:top w:w="80" w:type="dxa"/>
              <w:bottom w:w="80" w:type="dxa"/>
              <w:start w:w="120" w:type="dxa"/>
              <w:end w:w="120" w:type="dxa"/>
            </w:tcMar>
          </w:tcPr>
          <w:p>
            <w:pPr>
              <w:spacing w:before="0" w:after="0" w:line="269" w:lineRule="auto"/>
            </w:pPr>
            <w:r/>
            <w:r>
              <w:rPr>
                <w:rFonts w:ascii="Calibri" w:hAnsi="Calibri"/>
                <w:b w:val="0"/>
                <w:color w:val="1F2933"/>
                <w:sz w:val="19"/>
              </w:rPr>
              <w:t>Applicant, admissions and portal navigation UI composition.</w:t>
            </w:r>
          </w:p>
        </w:tc>
      </w:tr>
      <w:tr>
        <w:trPr/>
        <w:tc>
          <w:tcPr>
            <w:tcW w:type="dxa" w:w="3000"/>
            <w:vAlign w:val="center"/>
            <w:tcMar>
              <w:top w:w="80" w:type="dxa"/>
              <w:bottom w:w="80" w:type="dxa"/>
              <w:start w:w="120" w:type="dxa"/>
              <w:end w:w="120" w:type="dxa"/>
            </w:tcMar>
          </w:tcPr>
          <w:p>
            <w:pPr>
              <w:spacing w:before="0" w:after="0" w:line="269" w:lineRule="auto"/>
            </w:pPr>
            <w:r/>
            <w:r>
              <w:rPr>
                <w:rFonts w:ascii="Calibri" w:hAnsi="Calibri"/>
                <w:b w:val="0"/>
                <w:color w:val="1F2933"/>
                <w:sz w:val="19"/>
              </w:rPr>
              <w:t>src/CompleteWorkspacePages.jsx</w:t>
            </w:r>
          </w:p>
        </w:tc>
        <w:tc>
          <w:tcPr>
            <w:tcW w:type="dxa" w:w="6360"/>
            <w:vAlign w:val="center"/>
            <w:tcMar>
              <w:top w:w="80" w:type="dxa"/>
              <w:bottom w:w="80" w:type="dxa"/>
              <w:start w:w="120" w:type="dxa"/>
              <w:end w:w="120" w:type="dxa"/>
            </w:tcMar>
          </w:tcPr>
          <w:p>
            <w:pPr>
              <w:spacing w:before="0" w:after="0" w:line="269" w:lineRule="auto"/>
            </w:pPr>
            <w:r/>
            <w:r>
              <w:rPr>
                <w:rFonts w:ascii="Calibri" w:hAnsi="Calibri"/>
                <w:b w:val="0"/>
                <w:color w:val="1F2933"/>
                <w:sz w:val="19"/>
              </w:rPr>
              <w:t>Staff review, shortlist, placement, communications and audit views.</w:t>
            </w:r>
          </w:p>
        </w:tc>
      </w:tr>
      <w:tr>
        <w:trPr/>
        <w:tc>
          <w:tcPr>
            <w:tcW w:type="dxa" w:w="3000"/>
            <w:vAlign w:val="center"/>
            <w:tcMar>
              <w:top w:w="80" w:type="dxa"/>
              <w:bottom w:w="80" w:type="dxa"/>
              <w:start w:w="120" w:type="dxa"/>
              <w:end w:w="120" w:type="dxa"/>
            </w:tcMar>
          </w:tcPr>
          <w:p>
            <w:pPr>
              <w:spacing w:before="0" w:after="0" w:line="269" w:lineRule="auto"/>
            </w:pPr>
            <w:r/>
            <w:r>
              <w:rPr>
                <w:rFonts w:ascii="Calibri" w:hAnsi="Calibri"/>
                <w:b w:val="0"/>
                <w:color w:val="1F2933"/>
                <w:sz w:val="19"/>
              </w:rPr>
              <w:t>src/CompleteEmployerWorkspace.jsx</w:t>
            </w:r>
          </w:p>
        </w:tc>
        <w:tc>
          <w:tcPr>
            <w:tcW w:type="dxa" w:w="6360"/>
            <w:vAlign w:val="center"/>
            <w:tcMar>
              <w:top w:w="80" w:type="dxa"/>
              <w:bottom w:w="80" w:type="dxa"/>
              <w:start w:w="120" w:type="dxa"/>
              <w:end w:w="120" w:type="dxa"/>
            </w:tcMar>
          </w:tcPr>
          <w:p>
            <w:pPr>
              <w:spacing w:before="0" w:after="0" w:line="269" w:lineRule="auto"/>
            </w:pPr>
            <w:r/>
            <w:r>
              <w:rPr>
                <w:rFonts w:ascii="Calibri" w:hAnsi="Calibri"/>
                <w:b w:val="0"/>
                <w:color w:val="1F2933"/>
                <w:sz w:val="19"/>
              </w:rPr>
              <w:t>Organisation-scoped employer placement view and exports.</w:t>
            </w:r>
          </w:p>
        </w:tc>
      </w:tr>
      <w:tr>
        <w:trPr/>
        <w:tc>
          <w:tcPr>
            <w:tcW w:type="dxa" w:w="3000"/>
            <w:vAlign w:val="center"/>
            <w:tcMar>
              <w:top w:w="80" w:type="dxa"/>
              <w:bottom w:w="80" w:type="dxa"/>
              <w:start w:w="120" w:type="dxa"/>
              <w:end w:w="120" w:type="dxa"/>
            </w:tcMar>
          </w:tcPr>
          <w:p>
            <w:pPr>
              <w:spacing w:before="0" w:after="0" w:line="269" w:lineRule="auto"/>
            </w:pPr>
            <w:r/>
            <w:r>
              <w:rPr>
                <w:rFonts w:ascii="Calibri" w:hAnsi="Calibri"/>
                <w:b w:val="0"/>
                <w:color w:val="1F2933"/>
                <w:sz w:val="19"/>
              </w:rPr>
              <w:t>src/qualification.js</w:t>
            </w:r>
          </w:p>
        </w:tc>
        <w:tc>
          <w:tcPr>
            <w:tcW w:type="dxa" w:w="6360"/>
            <w:vAlign w:val="center"/>
            <w:tcMar>
              <w:top w:w="80" w:type="dxa"/>
              <w:bottom w:w="80" w:type="dxa"/>
              <w:start w:w="120" w:type="dxa"/>
              <w:end w:w="120" w:type="dxa"/>
            </w:tcMar>
          </w:tcPr>
          <w:p>
            <w:pPr>
              <w:spacing w:before="0" w:after="0" w:line="269" w:lineRule="auto"/>
            </w:pPr>
            <w:r/>
            <w:r>
              <w:rPr>
                <w:rFonts w:ascii="Calibri" w:hAnsi="Calibri"/>
                <w:b w:val="0"/>
                <w:color w:val="1F2933"/>
                <w:sz w:val="19"/>
              </w:rPr>
              <w:t>Pathway qualification evaluation and score handling.</w:t>
            </w:r>
          </w:p>
        </w:tc>
      </w:tr>
      <w:tr>
        <w:trPr/>
        <w:tc>
          <w:tcPr>
            <w:tcW w:type="dxa" w:w="3000"/>
            <w:vAlign w:val="center"/>
            <w:tcMar>
              <w:top w:w="80" w:type="dxa"/>
              <w:bottom w:w="80" w:type="dxa"/>
              <w:start w:w="120" w:type="dxa"/>
              <w:end w:w="120" w:type="dxa"/>
            </w:tcMar>
          </w:tcPr>
          <w:p>
            <w:pPr>
              <w:spacing w:before="0" w:after="0" w:line="269" w:lineRule="auto"/>
            </w:pPr>
            <w:r/>
            <w:r>
              <w:rPr>
                <w:rFonts w:ascii="Calibri" w:hAnsi="Calibri"/>
                <w:b w:val="0"/>
                <w:color w:val="1F2933"/>
                <w:sz w:val="19"/>
              </w:rPr>
              <w:t>openapi/v1.json</w:t>
            </w:r>
          </w:p>
        </w:tc>
        <w:tc>
          <w:tcPr>
            <w:tcW w:type="dxa" w:w="6360"/>
            <w:vAlign w:val="center"/>
            <w:tcMar>
              <w:top w:w="80" w:type="dxa"/>
              <w:bottom w:w="80" w:type="dxa"/>
              <w:start w:w="120" w:type="dxa"/>
              <w:end w:w="120" w:type="dxa"/>
            </w:tcMar>
          </w:tcPr>
          <w:p>
            <w:pPr>
              <w:spacing w:before="0" w:after="0" w:line="269" w:lineRule="auto"/>
            </w:pPr>
            <w:r/>
            <w:r>
              <w:rPr>
                <w:rFonts w:ascii="Calibri" w:hAnsi="Calibri"/>
                <w:b w:val="0"/>
                <w:color w:val="1F2933"/>
                <w:sz w:val="19"/>
              </w:rPr>
              <w:t>Machine-readable API contract, version 1.1.0.</w:t>
            </w:r>
          </w:p>
        </w:tc>
      </w:tr>
      <w:tr>
        <w:trPr/>
        <w:tc>
          <w:tcPr>
            <w:tcW w:type="dxa" w:w="3000"/>
            <w:vAlign w:val="center"/>
            <w:tcMar>
              <w:top w:w="80" w:type="dxa"/>
              <w:bottom w:w="80" w:type="dxa"/>
              <w:start w:w="120" w:type="dxa"/>
              <w:end w:w="120" w:type="dxa"/>
            </w:tcMar>
          </w:tcPr>
          <w:p>
            <w:pPr>
              <w:spacing w:before="0" w:after="0" w:line="269" w:lineRule="auto"/>
            </w:pPr>
            <w:r/>
            <w:r>
              <w:rPr>
                <w:rFonts w:ascii="Calibri" w:hAnsi="Calibri"/>
                <w:b w:val="0"/>
                <w:color w:val="1F2933"/>
                <w:sz w:val="19"/>
              </w:rPr>
              <w:t>tools/build-sites-worker.mjs</w:t>
            </w:r>
          </w:p>
        </w:tc>
        <w:tc>
          <w:tcPr>
            <w:tcW w:type="dxa" w:w="6360"/>
            <w:vAlign w:val="center"/>
            <w:tcMar>
              <w:top w:w="80" w:type="dxa"/>
              <w:bottom w:w="80" w:type="dxa"/>
              <w:start w:w="120" w:type="dxa"/>
              <w:end w:w="120" w:type="dxa"/>
            </w:tcMar>
          </w:tcPr>
          <w:p>
            <w:pPr>
              <w:spacing w:before="0" w:after="0" w:line="269" w:lineRule="auto"/>
            </w:pPr>
            <w:r/>
            <w:r>
              <w:rPr>
                <w:rFonts w:ascii="Calibri" w:hAnsi="Calibri"/>
                <w:b w:val="0"/>
                <w:color w:val="1F2933"/>
                <w:sz w:val="19"/>
              </w:rPr>
              <w:t>Hosted demo worker generation; not the production API service.</w:t>
            </w:r>
          </w:p>
        </w:tc>
      </w:tr>
      <w:tr>
        <w:tc>
          <w:tcPr>
            <w:tcW w:type="dxa" w:w="3000"/>
            <w:tcMar>
              <w:top w:w="90" w:type="dxa"/>
              <w:start w:w="120" w:type="dxa"/>
              <w:bottom w:w="90" w:type="dxa"/>
              <w:end w:w="120" w:type="dxa"/>
            </w:tcMar>
          </w:tcPr>
          <w:p>
            <w:r>
              <w:t>GCON_2027_Chatbot_FAQ_Training.docx</w:t>
            </w:r>
          </w:p>
        </w:tc>
        <w:tc>
          <w:tcPr>
            <w:tcW w:type="dxa" w:w="6360"/>
            <w:tcMar>
              <w:top w:w="90" w:type="dxa"/>
              <w:start w:w="120" w:type="dxa"/>
              <w:bottom w:w="90" w:type="dxa"/>
              <w:end w:w="120" w:type="dxa"/>
            </w:tcMar>
          </w:tcPr>
          <w:p>
            <w:r>
              <w:t>Approved chatbot training FAQ and escalation reference for applicant, staff and employer questions.</w:t>
            </w:r>
          </w:p>
        </w:tc>
      </w:tr>
      <w:tr>
        <w:tc>
          <w:tcPr>
            <w:tcW w:type="dxa" w:w="3000"/>
            <w:tcMar>
              <w:top w:w="90" w:type="dxa"/>
              <w:start w:w="120" w:type="dxa"/>
              <w:bottom w:w="90" w:type="dxa"/>
              <w:end w:w="120" w:type="dxa"/>
            </w:tcMar>
          </w:tcPr>
          <w:p>
            <w:r>
              <w:t>GCON_2026_09_Two_Week_Change_Summary.docx</w:t>
            </w:r>
          </w:p>
        </w:tc>
        <w:tc>
          <w:tcPr>
            <w:tcW w:type="dxa" w:w="6360"/>
            <w:tcMar>
              <w:top w:w="90" w:type="dxa"/>
              <w:start w:w="120" w:type="dxa"/>
              <w:bottom w:w="90" w:type="dxa"/>
              <w:end w:w="120" w:type="dxa"/>
            </w:tcMar>
          </w:tcPr>
          <w:p>
            <w:r>
              <w:t>Recent change, verification and release summary for the 24 August to 6 September 2026 period.</w:t>
            </w:r>
          </w:p>
        </w:tc>
      </w:tr>
    </w:tbl>
    <w:p>
      <w:pPr>
        <w:spacing w:after="20"/>
      </w:pPr>
    </w:p>
    <w:p>
      <w:pPr>
        <w:spacing w:before="160" w:after="0" w:line="300" w:lineRule="auto"/>
      </w:pPr>
      <w:r>
        <w:rPr>
          <w:rFonts w:ascii="Calibri" w:hAnsi="Calibri"/>
          <w:b/>
          <w:i w:val="0"/>
          <w:color w:val="5F6B76"/>
          <w:sz w:val="22"/>
        </w:rPr>
        <w:t>End of handover document.</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rPr>
        <w:rFonts w:ascii="Calibri" w:hAnsi="Calibri"/>
        <w:color w:val="5F6B76"/>
        <w:sz w:val="17"/>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pPr>
    <w:r/>
    <w:r>
      <w:rPr>
        <w:rFonts w:ascii="Calibri" w:hAnsi="Calibri"/>
        <w:b/>
        <w:color w:val="5F6B76"/>
        <w:sz w:val="17"/>
      </w:rPr>
      <w:t>GCON 2027  |  SYSTEM HANDOVER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 w:numId="12">
    <w:abstractNumId w:val="7"/>
    <w:lvlOverride w:ilvl="0">
      <w:startOverride w:val="1"/>
    </w:lvlOverride>
  </w:num>
  <w:num w:numId="13">
    <w:abstractNumId w:val="7"/>
    <w:lvlOverride w:ilvl="0">
      <w:startOverride w:val="1"/>
    </w:lvlOverride>
  </w:num>
  <w:num w:numId="14">
    <w:abstractNumId w:val="7"/>
    <w:lvlOverride w:ilvl="0">
      <w:startOverride w:val="1"/>
    </w:lvlOverride>
  </w:num>
  <w:num w:numId="15">
    <w:abstractNumId w:val="7"/>
    <w:lvlOverride w:ilvl="0">
      <w:startOverride w:val="1"/>
    </w:lvlOverride>
  </w:num>
  <w:num w:numId="16">
    <w:abstractNumId w:val="7"/>
    <w:lvlOverride w:ilvl="0">
      <w:startOverride w:val="1"/>
    </w:lvlOverride>
  </w:num>
  <w:num w:numId="17">
    <w:abstractNumId w:val="7"/>
    <w:lvlOverride w:ilvl="0">
      <w:startOverride w:val="1"/>
    </w:lvlOverride>
  </w:num>
  <w:num w:numId="18">
    <w:abstractNumId w:val="7"/>
    <w:lvlOverride w:ilvl="0">
      <w:startOverride w:val="1"/>
    </w:lvlOverride>
  </w:num>
  <w:num w:numId="19">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1F29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276"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line="276"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line="276"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contextualSpacing/>
    </w:pPr>
    <w:rPr>
      <w:rFonts w:ascii="Calibri" w:hAnsi="Calibri"/>
      <w:sz w:val="22"/>
    </w:rPr>
  </w:style>
  <w:style w:type="paragraph" w:styleId="ListBullet2">
    <w:name w:val="List Bullet 2"/>
    <w:basedOn w:val="Normal"/>
    <w:uiPriority w:val="99"/>
    <w:unhideWhenUsed/>
    <w:rsid w:val="00326F90"/>
    <w:pPr>
      <w:numPr>
        <w:numId w:val="2"/>
      </w:numPr>
      <w:spacing w:after="80" w:line="300" w:lineRule="auto"/>
      <w:contextualSpacing/>
    </w:pPr>
    <w:rPr>
      <w:rFonts w:ascii="Calibri" w:hAnsi="Calibri"/>
      <w:sz w:val="22"/>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itleBlock">
    <w:name w:val="TitleBlock"/>
    <w:pPr>
      <w:spacing w:before="120" w:after="100" w:line="240" w:lineRule="auto"/>
    </w:pPr>
    <w:rPr>
      <w:rFonts w:ascii="Calibri" w:hAnsi="Calibri"/>
      <w:b/>
      <w:color w:val="0B2545"/>
      <w:sz w:val="4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GCON 2027 Nursing Intake Platform - eGov System Handover</dc:title>
  <dc:subject>System setup, operations, users and workflows</dc:subject>
  <dc:creator>GCON 2027 Application Team</dc:creator>
  <cp:keywords>GCON, nursing intake, eGov, system handover, operations, workflows</cp:keywords>
  <dc:description>Prepared for technical handover and production readiness review.</dc:description>
  <cp:lastModifiedBy/>
  <cp:revision>1</cp:revision>
  <dcterms:created xsi:type="dcterms:W3CDTF">2013-12-23T23:15:00Z</dcterms:created>
  <dcterms:modified xsi:type="dcterms:W3CDTF">2026-09-06T16:20:00Z</dcterms:modified>
  <cp:category/>
</cp:coreProperties>
</file>