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D78"/>
          <w:sz w:val="56"/>
          <w:szCs w:val="56"/>
        </w:rPr>
        <w:t xml:space="preserve">GlucoNoir</w:t>
      </w:r>
    </w:p>
    <w:p>
      <w:pPr>
        <w:spacing w:after="60"/>
      </w:pPr>
      <w:r>
        <w:rPr>
          <w:color w:val="2E74B5"/>
          <w:sz w:val="28"/>
          <w:szCs w:val="28"/>
        </w:rPr>
        <w:t xml:space="preserve">A Dark-Mode Dexcom G7 Companion App for iOS</w:t>
      </w:r>
    </w:p>
    <w:p>
      <w:pPr>
        <w:pBdr>
          <w:bottom w:val="single" w:color="9CC2E5" w:sz="8" w:space="8"/>
        </w:pBdr>
        <w:spacing w:after="240"/>
      </w:pPr>
      <w:r>
        <w:rPr>
          <w:color w:val="595959"/>
          <w:sz w:val="22"/>
          <w:szCs w:val="22"/>
        </w:rPr>
        <w:t xml:space="preserve">Product Requirements Document  |  v1.2  |  September 2026</w:t>
      </w:r>
    </w:p>
    <w:p>
      <w:pPr>
        <w:pStyle w:val="Heading1"/>
        <w:spacing w:after="160" w:before="360"/>
      </w:pPr>
      <w:r>
        <w:rPr>
          <w:b w:val="false"/>
          <w:bCs w:val="false"/>
        </w:rPr>
        <w:t xml:space="preserve">1. Executive Summary</w:t>
      </w:r>
    </w:p>
    <w:p>
      <w:pPr>
        <w:spacing w:after="120" w:line="276"/>
      </w:pPr>
      <w:r>
        <w:rPr>
          <w:b w:val="false"/>
          <w:bCs w:val="false"/>
        </w:rPr>
        <w:t xml:space="preserve">GlucoNoir is a personal-use iOS application that consumes continuous glucose monitor (CGM) data from a Dexcom G7 sensor and presents it in a thoughtfully designed dark-mode interface. It uses a dual-source architecture: Apple HealthKit as the reliable background heartbeat and historical backbone, and the Dexcom Share API as a freshness upgrade layered on top. The app is built for a single user with Type 1 Diabetes (T1D) who wants a less visually fatiguing alternative to the official Dexcom G7 app, plus richer logging and short-horizon glucose prediction features that the stock app does not offer.</w:t>
      </w:r>
    </w:p>
    <w:p>
      <w:pPr>
        <w:spacing w:after="120" w:line="276"/>
      </w:pPr>
      <w:r>
        <w:rPr>
          <w:b w:val="false"/>
          <w:bCs w:val="false"/>
        </w:rPr>
        <w:t xml:space="preserve">This document defines scope, features, technical architecture, safety boundaries, and a phased build roadmap. It is intentionally written so any developer (including the author) can pick it up and execute without re-deriving decisions.</w:t>
      </w:r>
    </w:p>
    <w:p>
      <w:pPr>
        <w:spacing w:after="100" w:before="180"/>
      </w:pPr>
      <w:r>
        <w:rPr>
          <w:b/>
          <w:bCs/>
          <w:color w:val="1F4D78"/>
        </w:rPr>
        <w:t xml:space="preserve">Change log v1.2</w:t>
      </w:r>
    </w:p>
    <w:p>
      <w:pPr>
        <w:spacing w:after="120" w:line="276"/>
      </w:pPr>
      <w:r>
        <w:rPr>
          <w:b w:val="false"/>
          <w:bCs w:val="false"/>
        </w:rPr>
        <w:t xml:space="preserve">v1.2 is a correctness pass over v1.1 following a full technical review. v1.1's dual-source decision was correct and is retained; the changes below fix errors, resolve internal contradictions, and fill in specifications that were referenced but never written.</w:t>
      </w:r>
    </w:p>
    <w:p>
      <w:pPr>
        <w:pStyle w:val="ListParagraph"/>
        <w:numPr>
          <w:ilvl w:val="0"/>
          <w:numId w:val="2"/>
        </w:numPr>
        <w:spacing w:after="80" w:line="276"/>
      </w:pPr>
      <w:r>
        <w:rPr>
          <w:b/>
          <w:bCs/>
        </w:rPr>
        <w:t xml:space="preserve">Background architecture inverted.</w:t>
      </w:r>
      <w:r>
        <w:rPr>
          <w:b w:val="false"/>
          <w:bCs w:val="false"/>
        </w:rPr>
        <w:t xml:space="preserve"> v1.1 relied on </w:t>
      </w:r>
      <w:r>
        <w:rPr>
          <w:rFonts w:ascii="Consolas" w:cs="Consolas" w:eastAsia="Consolas" w:hAnsi="Consolas"/>
          <w:b w:val="false"/>
          <w:bCs w:val="false"/>
          <w:sz w:val="19"/>
          <w:szCs w:val="19"/>
        </w:rPr>
        <w:t xml:space="preserve">BGAppRefreshTask</w:t>
      </w:r>
      <w:r>
        <w:rPr>
          <w:b w:val="false"/>
          <w:bCs w:val="false"/>
        </w:rPr>
        <w:t xml:space="preserve"> for a 15-minute background poll. iOS does not honour that as a schedule. HealthKit background delivery is now the primary wake mechanism, with Share polled opportunistically on each wake. Affects §1, §3.1.1, §4.2.1, §4.2.2, §7.</w:t>
      </w:r>
    </w:p>
    <w:p>
      <w:pPr>
        <w:pStyle w:val="ListParagraph"/>
        <w:numPr>
          <w:ilvl w:val="0"/>
          <w:numId w:val="2"/>
        </w:numPr>
        <w:spacing w:after="80" w:line="276"/>
      </w:pPr>
      <w:r>
        <w:rPr>
          <w:b/>
          <w:bCs/>
        </w:rPr>
        <w:t xml:space="preserve">Insulin model corrected.</w:t>
      </w:r>
      <w:r>
        <w:rPr>
          <w:b w:val="false"/>
          <w:bCs w:val="false"/>
        </w:rPr>
        <w:t xml:space="preserve"> The linear 4-hour IOB decay in v1.1 is clinically wrong in both shape and duration. Replaced with the bi-exponential (Loop/LoopKit) model. Affects §3.2.3, §4.4.</w:t>
      </w:r>
    </w:p>
    <w:p>
      <w:pPr>
        <w:pStyle w:val="ListParagraph"/>
        <w:numPr>
          <w:ilvl w:val="0"/>
          <w:numId w:val="2"/>
        </w:numPr>
        <w:spacing w:after="80" w:line="276"/>
      </w:pPr>
      <w:r>
        <w:rPr>
          <w:b/>
          <w:bCs/>
        </w:rPr>
        <w:t xml:space="preserve">Prediction engine fully specified.</w:t>
      </w:r>
      <w:r>
        <w:rPr>
          <w:b w:val="false"/>
          <w:bCs w:val="false"/>
        </w:rPr>
        <w:t xml:space="preserve"> ISF and ICR were required by the meal-response math but appeared nowhere in v1.1. Both are now first-class settings, and carbs-on-board (COB) is defined. Affects §3.1.6, §4.3, §4.4.</w:t>
      </w:r>
    </w:p>
    <w:p>
      <w:pPr>
        <w:pStyle w:val="ListParagraph"/>
        <w:numPr>
          <w:ilvl w:val="0"/>
          <w:numId w:val="2"/>
        </w:numPr>
        <w:spacing w:after="80" w:line="276"/>
      </w:pPr>
      <w:r>
        <w:rPr>
          <w:b/>
          <w:bCs/>
        </w:rPr>
        <w:t xml:space="preserve">Statistics corrected to clinical standard.</w:t>
      </w:r>
      <w:r>
        <w:rPr>
          <w:b w:val="false"/>
          <w:bCs w:val="false"/>
        </w:rPr>
        <w:t xml:space="preserve"> Five-band time-in-range, coefficient of variation, GMI validity gating, and true percentile-band AGP. Affects §3.1.5.</w:t>
      </w:r>
    </w:p>
    <w:p>
      <w:pPr>
        <w:pStyle w:val="ListParagraph"/>
        <w:numPr>
          <w:ilvl w:val="0"/>
          <w:numId w:val="2"/>
        </w:numPr>
        <w:spacing w:after="80" w:line="276"/>
      </w:pPr>
      <w:r>
        <w:rPr>
          <w:b/>
          <w:bCs/>
        </w:rPr>
        <w:t xml:space="preserve">Security fix.</w:t>
      </w:r>
      <w:r>
        <w:rPr>
          <w:b w:val="false"/>
          <w:bCs w:val="false"/>
        </w:rPr>
        <w:t xml:space="preserve"> Keychain accessibility class changed from </w:t>
      </w:r>
      <w:r>
        <w:rPr>
          <w:rFonts w:ascii="Consolas" w:cs="Consolas" w:eastAsia="Consolas" w:hAnsi="Consolas"/>
          <w:b w:val="false"/>
          <w:bCs w:val="false"/>
          <w:sz w:val="19"/>
          <w:szCs w:val="19"/>
        </w:rPr>
        <w:t xml:space="preserve">kSecAttrAccessibleWhenUnlockedThisDeviceOnly</w:t>
      </w:r>
      <w:r>
        <w:rPr>
          <w:b w:val="false"/>
          <w:bCs w:val="false"/>
        </w:rPr>
        <w:t xml:space="preserve"> to </w:t>
      </w:r>
      <w:r>
        <w:rPr>
          <w:rFonts w:ascii="Consolas" w:cs="Consolas" w:eastAsia="Consolas" w:hAnsi="Consolas"/>
          <w:b w:val="false"/>
          <w:bCs w:val="false"/>
          <w:sz w:val="19"/>
          <w:szCs w:val="19"/>
        </w:rPr>
        <w:t xml:space="preserve">kSecAttrAccessibleAfterFirstUnlockThisDeviceOnly</w:t>
      </w:r>
      <w:r>
        <w:rPr>
          <w:b w:val="false"/>
          <w:bCs w:val="false"/>
        </w:rPr>
        <w:t xml:space="preserve">; the former makes background operation impossible. Affects §6.</w:t>
      </w:r>
    </w:p>
    <w:p>
      <w:pPr>
        <w:pStyle w:val="ListParagraph"/>
        <w:numPr>
          <w:ilvl w:val="0"/>
          <w:numId w:val="2"/>
        </w:numPr>
        <w:spacing w:after="80" w:line="276"/>
      </w:pPr>
      <w:r>
        <w:rPr>
          <w:b/>
          <w:bCs/>
        </w:rPr>
        <w:t xml:space="preserve">Forward-compatibility fixes.</w:t>
      </w:r>
      <w:r>
        <w:rPr>
          <w:b w:val="false"/>
          <w:bCs w:val="false"/>
        </w:rPr>
        <w:t xml:space="preserve"> App Group container and versioned SwiftData schema are now mandated from Phase 0; unique attributes removed because they are incompatible with the v3 CloudKit goal. Affects §4.1, §4.3, §4.6, §7.</w:t>
      </w:r>
    </w:p>
    <w:p>
      <w:pPr>
        <w:pStyle w:val="ListParagraph"/>
        <w:numPr>
          <w:ilvl w:val="0"/>
          <w:numId w:val="2"/>
        </w:numPr>
        <w:spacing w:after="80" w:line="276"/>
      </w:pPr>
      <w:r>
        <w:rPr>
          <w:b/>
          <w:bCs/>
        </w:rPr>
        <w:t xml:space="preserve">Contradictions resolved.</w:t>
      </w:r>
      <w:r>
        <w:rPr>
          <w:b w:val="false"/>
          <w:bCs w:val="false"/>
        </w:rPr>
        <w:t xml:space="preserve"> Deduplication rule, widget/Watch phasing, the Share-account requirement, and the alarm boundary all contradicted themselves across sections in v1.1. See Appendix B.</w:t>
      </w:r>
    </w:p>
    <w:p>
      <w:pPr>
        <w:pStyle w:val="ListParagraph"/>
        <w:numPr>
          <w:ilvl w:val="0"/>
          <w:numId w:val="2"/>
        </w:numPr>
        <w:spacing w:after="80" w:line="276"/>
      </w:pPr>
      <w:r>
        <w:rPr>
          <w:b/>
          <w:bCs/>
        </w:rPr>
        <w:t xml:space="preserve">New sections.</w:t>
      </w:r>
      <w:r>
        <w:rPr>
          <w:b w:val="false"/>
          <w:bCs w:val="false"/>
        </w:rPr>
        <w:t xml:space="preserve"> §1.4 Regulatory and Distribution Boundary, §3.1.3 Sensor Lifecycle and Data States, §3.1.7 Export and Backup, §3.2.4–§3.2.7 (glanceable surfaces, meal fingerprinting, overnight report, bolus outcome review), §4.2.1 Background and Wake Architecture, §4.2.6 Trend Computation, §4.5 Performance and Data Volume, §5.4 Accessibility, §8 Resolved Decisions, Appendix B Review Findings Log.</w:t>
      </w:r>
    </w:p>
    <w:p>
      <w:pPr>
        <w:pStyle w:val="ListParagraph"/>
        <w:numPr>
          <w:ilvl w:val="0"/>
          <w:numId w:val="2"/>
        </w:numPr>
        <w:spacing w:after="80" w:line="276"/>
      </w:pPr>
      <w:r>
        <w:rPr>
          <w:b/>
          <w:bCs/>
        </w:rPr>
        <w:t xml:space="preserve">Scope moves.</w:t>
      </w:r>
      <w:r>
        <w:rPr>
          <w:b w:val="false"/>
          <w:bCs w:val="false"/>
        </w:rPr>
        <w:t xml:space="preserve"> Live Activity, Watch complication, and App Intents move from v3 to v2; they serve the primary use case (frequent glances) more directly than anything else in the backlog.</w:t>
      </w:r>
    </w:p>
    <w:p>
      <w:pPr>
        <w:pStyle w:val="Heading2"/>
        <w:spacing w:after="140" w:before="280"/>
      </w:pPr>
      <w:r>
        <w:rPr>
          <w:b w:val="false"/>
          <w:bCs w:val="false"/>
        </w:rPr>
        <w:t xml:space="preserve">1.1 Problem Statement</w:t>
      </w:r>
    </w:p>
    <w:p>
      <w:pPr>
        <w:pStyle w:val="ListParagraph"/>
        <w:numPr>
          <w:ilvl w:val="0"/>
          <w:numId w:val="2"/>
        </w:numPr>
        <w:spacing w:after="80" w:line="276"/>
      </w:pPr>
      <w:r>
        <w:rPr>
          <w:b w:val="false"/>
          <w:bCs w:val="false"/>
        </w:rPr>
        <w:t xml:space="preserve">The official Dexcom G7 app uses a bright white interface that causes eye strain in low-light conditions and at night, when glucose checks are most frequent.</w:t>
      </w:r>
    </w:p>
    <w:p>
      <w:pPr>
        <w:pStyle w:val="ListParagraph"/>
        <w:numPr>
          <w:ilvl w:val="0"/>
          <w:numId w:val="2"/>
        </w:numPr>
        <w:spacing w:after="80" w:line="276"/>
      </w:pPr>
      <w:r>
        <w:rPr>
          <w:b w:val="false"/>
          <w:bCs w:val="false"/>
        </w:rPr>
        <w:t xml:space="preserve">It does not offer integrated meal, insulin, or exercise logging in a single timeline view.</w:t>
      </w:r>
    </w:p>
    <w:p>
      <w:pPr>
        <w:pStyle w:val="ListParagraph"/>
        <w:numPr>
          <w:ilvl w:val="0"/>
          <w:numId w:val="2"/>
        </w:numPr>
        <w:spacing w:after="80" w:line="276"/>
      </w:pPr>
      <w:r>
        <w:rPr>
          <w:b w:val="false"/>
          <w:bCs w:val="false"/>
        </w:rPr>
        <w:t xml:space="preserve">It does not surface short-term glucose trajectory predictions beyond the standard trend arrow.</w:t>
      </w:r>
    </w:p>
    <w:p>
      <w:pPr>
        <w:pStyle w:val="ListParagraph"/>
        <w:numPr>
          <w:ilvl w:val="0"/>
          <w:numId w:val="2"/>
        </w:numPr>
        <w:spacing w:after="80" w:line="276"/>
      </w:pPr>
      <w:r>
        <w:rPr>
          <w:b w:val="false"/>
          <w:bCs w:val="false"/>
        </w:rPr>
        <w:t xml:space="preserve">It does not adapt to system appearance (light/dark mode toggle).</w:t>
      </w:r>
    </w:p>
    <w:p>
      <w:pPr>
        <w:pStyle w:val="ListParagraph"/>
        <w:numPr>
          <w:ilvl w:val="0"/>
          <w:numId w:val="2"/>
        </w:numPr>
        <w:spacing w:after="80" w:line="276"/>
      </w:pPr>
      <w:r>
        <w:rPr>
          <w:b w:val="false"/>
          <w:bCs w:val="false"/>
        </w:rPr>
        <w:t xml:space="preserve">It does not surface historical response to a repeated meal, which is the single most actionable pattern available from combined CGM and log data.</w:t>
      </w:r>
    </w:p>
    <w:p>
      <w:pPr>
        <w:pStyle w:val="Heading2"/>
        <w:spacing w:after="140" w:before="280"/>
      </w:pPr>
      <w:r>
        <w:rPr>
          <w:b w:val="false"/>
          <w:bCs w:val="false"/>
        </w:rPr>
        <w:t xml:space="preserve">1.2 Goals &amp; Non-Goals</w:t>
      </w:r>
    </w:p>
    <w:p>
      <w:pPr>
        <w:pStyle w:val="Heading3"/>
        <w:spacing w:after="120" w:before="220"/>
      </w:pPr>
      <w:r>
        <w:rPr>
          <w:b w:val="false"/>
          <w:bCs w:val="false"/>
        </w:rPr>
        <w:t xml:space="preserve">Goals</w:t>
      </w:r>
    </w:p>
    <w:p>
      <w:pPr>
        <w:pStyle w:val="ListParagraph"/>
        <w:numPr>
          <w:ilvl w:val="0"/>
          <w:numId w:val="2"/>
        </w:numPr>
        <w:spacing w:after="80" w:line="276"/>
      </w:pPr>
      <w:r>
        <w:rPr>
          <w:b/>
          <w:bCs/>
        </w:rPr>
        <w:t xml:space="preserve">Primary:</w:t>
      </w:r>
      <w:r>
        <w:rPr>
          <w:b w:val="false"/>
          <w:bCs w:val="false"/>
        </w:rPr>
        <w:t xml:space="preserve"> Build a personal iOS app that displays current and historical Dexcom G7 readings in a true OLED-friendly dark interface that respects iOS system appearance settings.</w:t>
      </w:r>
    </w:p>
    <w:p>
      <w:pPr>
        <w:pStyle w:val="ListParagraph"/>
        <w:numPr>
          <w:ilvl w:val="0"/>
          <w:numId w:val="2"/>
        </w:numPr>
        <w:spacing w:after="80" w:line="276"/>
      </w:pPr>
      <w:r>
        <w:rPr>
          <w:b/>
          <w:bCs/>
        </w:rPr>
        <w:t xml:space="preserve">Secondary:</w:t>
      </w:r>
      <w:r>
        <w:rPr>
          <w:b w:val="false"/>
          <w:bCs w:val="false"/>
        </w:rPr>
        <w:t xml:space="preserve"> Add a unified event log (meals, insulin doses, exercise) overlaid on the glucose timeline.</w:t>
      </w:r>
    </w:p>
    <w:p>
      <w:pPr>
        <w:pStyle w:val="ListParagraph"/>
        <w:numPr>
          <w:ilvl w:val="0"/>
          <w:numId w:val="2"/>
        </w:numPr>
        <w:spacing w:after="80" w:line="276"/>
      </w:pPr>
      <w:r>
        <w:rPr>
          <w:b/>
          <w:bCs/>
        </w:rPr>
        <w:t xml:space="preserve">Tertiary:</w:t>
      </w:r>
      <w:r>
        <w:rPr>
          <w:b w:val="false"/>
          <w:bCs w:val="false"/>
        </w:rPr>
        <w:t xml:space="preserve"> Provide a 15 to 30 minute glucose trajectory forecast using transparent statistical methods (damped linear regression, bi-exponential IOB, linear carb absorption).</w:t>
      </w:r>
    </w:p>
    <w:p>
      <w:pPr>
        <w:pStyle w:val="ListParagraph"/>
        <w:numPr>
          <w:ilvl w:val="0"/>
          <w:numId w:val="2"/>
        </w:numPr>
        <w:spacing w:after="80" w:line="276"/>
      </w:pPr>
      <w:r>
        <w:rPr>
          <w:b/>
          <w:bCs/>
        </w:rPr>
        <w:t xml:space="preserve">Fourth:</w:t>
      </w:r>
      <w:r>
        <w:rPr>
          <w:b w:val="false"/>
          <w:bCs w:val="false"/>
        </w:rPr>
        <w:t xml:space="preserve"> Reduce the number of glances that require opening an app at all, via Live Activity, Lock Screen, and Watch surfaces.</w:t>
      </w:r>
    </w:p>
    <w:p>
      <w:pPr>
        <w:pStyle w:val="Heading3"/>
        <w:spacing w:after="120" w:before="220"/>
      </w:pPr>
      <w:r>
        <w:rPr>
          <w:b w:val="false"/>
          <w:bCs w:val="false"/>
        </w:rPr>
        <w:t xml:space="preserve">Non-Goals</w:t>
      </w:r>
    </w:p>
    <w:p>
      <w:pPr>
        <w:pStyle w:val="ListParagraph"/>
        <w:numPr>
          <w:ilvl w:val="0"/>
          <w:numId w:val="2"/>
        </w:numPr>
        <w:spacing w:after="80" w:line="276"/>
      </w:pPr>
      <w:r>
        <w:rPr>
          <w:b w:val="false"/>
          <w:bCs w:val="false"/>
        </w:rPr>
        <w:t xml:space="preserve">This app is </w:t>
      </w:r>
      <w:r>
        <w:rPr>
          <w:b/>
          <w:bCs/>
        </w:rPr>
        <w:t xml:space="preserve">not a medical device</w:t>
      </w:r>
      <w:r>
        <w:rPr>
          <w:b w:val="false"/>
          <w:bCs w:val="false"/>
        </w:rPr>
        <w:t xml:space="preserve"> and will not be submitted to the App Store as one. See §1.4 for the precise boundary.</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replace the official Dexcom G7 app for low-glucose or high-glucose alarms. Those remain on the stock app, which is FDA-cleared for that purpose.</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implement any alarm or push notification tied to a glucose threshold. See §1.3 for why this is a hard line rather than a deferral.</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calculate insulin doses or recommend medical action. This explicitly includes the tempting adjacent feature of a rescue-carb calculator (“how many grams to get from 62 to 100”): once ISF and ICR exist in the data model that computation is two lines of code, and it is out of scope permanently, not until v3.</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support multiple users or family/follower features.</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integrate with, command, or read state from a closed-loop system (Loop, AAPS, iAPS, or a commercial pump). The app is strictly observational.</w:t>
      </w:r>
    </w:p>
    <w:p>
      <w:pPr>
        <w:pBdr>
          <w:left w:val="single" w:color="BFD3E6" w:sz="12" w:space="8"/>
        </w:pBdr>
        <w:spacing w:after="160" w:line="260"/>
        <w:ind w:left="180"/>
      </w:pPr>
      <w:r>
        <w:rPr>
          <w:b w:val="false"/>
          <w:bCs w:val="false"/>
          <w:i/>
          <w:iCs/>
          <w:color w:val="595959"/>
          <w:sz w:val="20"/>
          <w:szCs w:val="20"/>
        </w:rPr>
        <w:t xml:space="preserve">Changed in v1.2: the rescue-carb exclusion and the permanent alarm exclusion are new. Both are boundaries that v1.1 left implicit and that become easy to cross once the prediction engine exists.</w:t>
      </w:r>
    </w:p>
    <w:p>
      <w:pPr>
        <w:pStyle w:val="Heading2"/>
        <w:spacing w:after="140" w:before="280"/>
      </w:pPr>
      <w:r>
        <w:rPr>
          <w:b w:val="false"/>
          <w:bCs w:val="false"/>
        </w:rPr>
        <w:t xml:space="preserve">1.3 Critical Safety Boundary</w:t>
      </w:r>
    </w:p>
    <w:p>
      <w:pPr>
        <w:spacing w:after="120" w:line="276"/>
      </w:pPr>
      <w:r>
        <w:rPr>
          <w:b w:val="false"/>
          <w:bCs w:val="false"/>
        </w:rPr>
        <w:t xml:space="preserve">Neither data source is suitable as a life-safety alarm.</w:t>
      </w:r>
    </w:p>
    <w:p>
      <w:pPr>
        <w:pStyle w:val="ListParagraph"/>
        <w:numPr>
          <w:ilvl w:val="0"/>
          <w:numId w:val="2"/>
        </w:numPr>
        <w:spacing w:after="80" w:line="276"/>
      </w:pPr>
      <w:r>
        <w:rPr>
          <w:b/>
          <w:bCs/>
        </w:rPr>
        <w:t xml:space="preserve">Dexcom Share</w:t>
      </w:r>
      <w:r>
        <w:rPr>
          <w:b w:val="false"/>
          <w:bCs w:val="false"/>
        </w:rPr>
        <w:t xml:space="preserve"> has a typical lag of roughly 5 minutes and depends on the official Dexcom app running, the Dexcom cloud being up, and a stable internet connection on both the phone that uploads and the phone that reads. None of those are guaranteed.</w:t>
      </w:r>
    </w:p>
    <w:p>
      <w:pPr>
        <w:pStyle w:val="ListParagraph"/>
        <w:numPr>
          <w:ilvl w:val="0"/>
          <w:numId w:val="2"/>
        </w:numPr>
        <w:spacing w:after="80" w:line="276"/>
      </w:pPr>
      <w:r>
        <w:rPr>
          <w:b/>
          <w:bCs/>
        </w:rPr>
        <w:t xml:space="preserve">Apple HealthKit</w:t>
      </w:r>
      <w:r>
        <w:rPr>
          <w:b w:val="false"/>
          <w:bCs w:val="false"/>
        </w:rPr>
        <w:t xml:space="preserve"> is more reliable in the sense that it works offline and cannot be logged out, but its readings arrive only when the Dexcom app flushes them, and that flush is batched. The actual lag must be measured on the user's own device before any part of the UI depends on a specific number (see §4.2.2).</w:t>
      </w:r>
    </w:p>
    <w:p>
      <w:pPr>
        <w:spacing w:after="120" w:line="276"/>
      </w:pPr>
      <w:r>
        <w:rPr>
          <w:b w:val="false"/>
          <w:bCs w:val="false"/>
        </w:rPr>
        <w:t xml:space="preserve">For this reason GlucoNoir displays glucose data but </w:t>
      </w:r>
      <w:r>
        <w:rPr>
          <w:b/>
          <w:bCs/>
        </w:rPr>
        <w:t xml:space="preserve">does not alarm on it at all</w:t>
      </w:r>
      <w:r>
        <w:rPr>
          <w:b w:val="false"/>
          <w:bCs w:val="false"/>
        </w:rPr>
        <w:t xml:space="preserve">. The official Dexcom G7 app remains the sole source of low-glucose and high-glucose alerts.</w:t>
      </w:r>
    </w:p>
    <w:p>
      <w:pPr>
        <w:spacing w:after="100" w:before="180"/>
      </w:pPr>
      <w:r>
        <w:rPr>
          <w:b/>
          <w:bCs/>
          <w:color w:val="1F4D78"/>
        </w:rPr>
        <w:t xml:space="preserve">Why alarms are excluded permanently, not deferred</w:t>
      </w:r>
    </w:p>
    <w:p>
      <w:pPr>
        <w:spacing w:after="120" w:line="276"/>
      </w:pPr>
      <w:r>
        <w:rPr>
          <w:b w:val="false"/>
          <w:bCs w:val="false"/>
        </w:rPr>
        <w:t xml:space="preserve">v1.1 described alarms as “supplemental only” but never specified an alarm feature, leaving a governed behaviour that did not exist. The correct resolution is exclusion, for a concrete technical reason:</w:t>
      </w:r>
    </w:p>
    <w:p>
      <w:pPr>
        <w:spacing w:after="120" w:line="276"/>
      </w:pPr>
      <w:r>
        <w:rPr>
          <w:b w:val="false"/>
          <w:bCs w:val="false"/>
        </w:rPr>
        <w:t xml:space="preserve">Breaking through Do Not Disturb, Focus modes, and the ringer switch requires Apple's </w:t>
      </w:r>
      <w:r>
        <w:rPr>
          <w:b/>
          <w:bCs/>
        </w:rPr>
        <w:t xml:space="preserve">Critical Alerts</w:t>
      </w:r>
      <w:r>
        <w:rPr>
          <w:b w:val="false"/>
          <w:bCs w:val="false"/>
        </w:rPr>
        <w:t xml:space="preserve"> entitlement (</w:t>
      </w:r>
      <w:r>
        <w:rPr>
          <w:rFonts w:ascii="Consolas" w:cs="Consolas" w:eastAsia="Consolas" w:hAnsi="Consolas"/>
          <w:b w:val="false"/>
          <w:bCs w:val="false"/>
          <w:sz w:val="19"/>
          <w:szCs w:val="19"/>
        </w:rPr>
        <w:t xml:space="preserve">com.apple.developer.usernotifications.critical</w:t>
      </w:r>
      <w:r>
        <w:rPr>
          <w:b w:val="false"/>
          <w:bCs w:val="false"/>
        </w:rPr>
        <w:t xml:space="preserve">). Apple grants it to a narrow set of cleared medical applications and will not grant it here. Without it, every notification GlucoNoir could send is silently suppressed exactly when it would matter most — overnight. A nighttime alert that fires 80% of the time is more dangerous than no alert at all, because the user begins to rely on it. GlucoNoir therefore ships no glucose-threshold notifications of any kind.</w:t>
      </w:r>
    </w:p>
    <w:p>
      <w:pPr>
        <w:spacing w:after="120" w:line="276"/>
      </w:pPr>
      <w:r>
        <w:rPr>
          <w:b w:val="false"/>
          <w:bCs w:val="false"/>
        </w:rPr>
        <w:t xml:space="preserve">The forecast still surfaces impending lows, but only on surfaces the user is already looking at: the in-app hero area, the Live Activity, and the Watch complication (§3.2.3). This is information the user pulls, never a signal the app pushes.</w:t>
      </w:r>
    </w:p>
    <w:p>
      <w:pPr>
        <w:spacing w:after="100" w:before="180"/>
      </w:pPr>
      <w:r>
        <w:rPr>
          <w:b/>
          <w:bCs/>
          <w:color w:val="1F4D78"/>
        </w:rPr>
        <w:t xml:space="preserve">Staleness enforcement</w:t>
      </w:r>
    </w:p>
    <w:p>
      <w:pPr>
        <w:spacing w:after="120" w:line="276"/>
      </w:pPr>
      <w:r>
        <w:rPr>
          <w:b w:val="false"/>
          <w:bCs w:val="false"/>
        </w:rPr>
        <w:t xml:space="preserve">The UI surfaces data age prominently. Thresholds are set to survive normal signal-loss behaviour without crying wolf: a single missed G7 reading is routine, so a 10-minute warning threshold would fire many times a day and train the user to ignore it.</w:t>
      </w:r>
    </w:p>
    <w:p>
      <w:pPr>
        <w:pStyle w:val="ListParagraph"/>
        <w:numPr>
          <w:ilvl w:val="0"/>
          <w:numId w:val="2"/>
        </w:numPr>
        <w:spacing w:after="80" w:line="276"/>
      </w:pPr>
      <w:r>
        <w:rPr>
          <w:b/>
          <w:bCs/>
        </w:rPr>
        <w:t xml:space="preserve">Fresh:</w:t>
      </w:r>
      <w:r>
        <w:rPr>
          <w:b w:val="false"/>
          <w:bCs w:val="false"/>
        </w:rPr>
        <w:t xml:space="preserve"> newest reading under 12 minutes old. Normal display.</w:t>
      </w:r>
    </w:p>
    <w:p>
      <w:pPr>
        <w:pStyle w:val="ListParagraph"/>
        <w:numPr>
          <w:ilvl w:val="0"/>
          <w:numId w:val="2"/>
        </w:numPr>
        <w:spacing w:after="80" w:line="276"/>
      </w:pPr>
      <w:r>
        <w:rPr>
          <w:b/>
          <w:bCs/>
        </w:rPr>
        <w:t xml:space="preserve">Stale (amber):</w:t>
      </w:r>
      <w:r>
        <w:rPr>
          <w:b w:val="false"/>
          <w:bCs w:val="false"/>
        </w:rPr>
        <w:t xml:space="preserve"> 12 to 30 minutes. Freshness label turns amber; the hero number desaturates.</w:t>
      </w:r>
    </w:p>
    <w:p>
      <w:pPr>
        <w:pStyle w:val="ListParagraph"/>
        <w:numPr>
          <w:ilvl w:val="0"/>
          <w:numId w:val="2"/>
        </w:numPr>
        <w:spacing w:after="80" w:line="276"/>
      </w:pPr>
      <w:r>
        <w:rPr>
          <w:b/>
          <w:bCs/>
        </w:rPr>
        <w:t xml:space="preserve">Critically stale (red):</w:t>
      </w:r>
      <w:r>
        <w:rPr>
          <w:b w:val="false"/>
          <w:bCs w:val="false"/>
        </w:rPr>
        <w:t xml:space="preserve"> over 30 minutes. Hero number is replaced by the last value in a muted treatment with an explicit “open the Dexcom app” prompt. The trend arrow and the forecast are both hidden, because both are meaningless on stale data.</w:t>
      </w:r>
    </w:p>
    <w:p>
      <w:pPr>
        <w:pBdr>
          <w:left w:val="single" w:color="BFD3E6" w:sz="12" w:space="8"/>
        </w:pBdr>
        <w:spacing w:after="160" w:line="260"/>
        <w:ind w:left="180"/>
      </w:pPr>
      <w:r>
        <w:rPr>
          <w:b w:val="false"/>
          <w:bCs w:val="false"/>
          <w:i/>
          <w:iCs/>
          <w:color w:val="595959"/>
          <w:sz w:val="20"/>
          <w:szCs w:val="20"/>
        </w:rPr>
        <w:t xml:space="preserve">Changed in v1.2: thresholds moved from 10/20 minutes to 12/30. Hiding the forecast and arrow in the critically-stale state is new — v1.1 would have continued extrapolating from an old reading.</w:t>
      </w:r>
    </w:p>
    <w:p>
      <w:pPr>
        <w:spacing w:after="120" w:line="276"/>
      </w:pPr>
      <w:r>
        <w:rPr>
          <w:b w:val="false"/>
          <w:bCs w:val="false"/>
        </w:rPr>
        <w:t xml:space="preserve">An always-visible disclaimer appears on the Settings screen, and the critically-stale state repeats it inline.</w:t>
      </w:r>
    </w:p>
    <w:p>
      <w:pPr>
        <w:pStyle w:val="Heading2"/>
        <w:spacing w:after="140" w:before="280"/>
      </w:pPr>
      <w:r>
        <w:rPr>
          <w:b w:val="false"/>
          <w:bCs w:val="false"/>
        </w:rPr>
        <w:t xml:space="preserve">1.4 Regulatory &amp; Distribution Boundary</w:t>
      </w:r>
    </w:p>
    <w:p>
      <w:pPr>
        <w:pBdr>
          <w:left w:val="single" w:color="BFD3E6" w:sz="12" w:space="8"/>
        </w:pBdr>
        <w:spacing w:after="160" w:line="260"/>
        <w:ind w:left="180"/>
      </w:pPr>
      <w:r>
        <w:rPr>
          <w:b w:val="false"/>
          <w:bCs w:val="false"/>
          <w:i/>
          <w:iCs/>
          <w:color w:val="595959"/>
          <w:sz w:val="20"/>
          <w:szCs w:val="20"/>
        </w:rPr>
        <w:t xml:space="preserve">New in v1.2.</w:t>
      </w:r>
    </w:p>
    <w:p>
      <w:pPr>
        <w:spacing w:after="120" w:line="276"/>
      </w:pPr>
      <w:r>
        <w:rPr>
          <w:b w:val="false"/>
          <w:bCs w:val="false"/>
        </w:rPr>
        <w:t xml:space="preserve">v1.1 asserted that the app is not a medical device. That is correct as long as the boundary is understood to be </w:t>
      </w:r>
      <w:r>
        <w:rPr>
          <w:b/>
          <w:bCs/>
        </w:rPr>
        <w:t xml:space="preserve">distribution</w:t>
      </w:r>
      <w:r>
        <w:rPr>
          <w:b w:val="false"/>
          <w:bCs w:val="false"/>
        </w:rPr>
        <w:t xml:space="preserve">, not intent.</w:t>
      </w:r>
    </w:p>
    <w:p>
      <w:pPr>
        <w:pStyle w:val="ListParagraph"/>
        <w:numPr>
          <w:ilvl w:val="0"/>
          <w:numId w:val="2"/>
        </w:numPr>
        <w:spacing w:after="80" w:line="276"/>
      </w:pPr>
      <w:r>
        <w:rPr>
          <w:b/>
          <w:bCs/>
        </w:rPr>
        <w:t xml:space="preserve">Personal use.</w:t>
      </w:r>
      <w:r>
        <w:rPr>
          <w:b w:val="false"/>
          <w:bCs w:val="false"/>
        </w:rPr>
        <w:t xml:space="preserve"> An application built by an individual, signed with their own account, and installed only on their own devices is not a regulated medical device and not subject to FDA premarket requirements. This is the intended and permanent operating mode for GlucoNoir.</w:t>
      </w:r>
    </w:p>
    <w:p>
      <w:pPr>
        <w:pStyle w:val="ListParagraph"/>
        <w:numPr>
          <w:ilvl w:val="0"/>
          <w:numId w:val="2"/>
        </w:numPr>
        <w:spacing w:after="80" w:line="276"/>
      </w:pPr>
      <w:r>
        <w:rPr>
          <w:b/>
          <w:bCs/>
        </w:rPr>
        <w:t xml:space="preserve">The line.</w:t>
      </w:r>
      <w:r>
        <w:rPr>
          <w:b w:val="false"/>
          <w:bCs w:val="false"/>
        </w:rPr>
        <w:t xml:space="preserve"> Distributing the app to even one other person changes the analysis. Displaying CGM data for someone else is secondary display of CGM output, a category the FDA does regulate (Dexcom's own Follow app is separately cleared). App Review Guideline 1.4.1 additionally covers apps that could cause physical harm through inaccurate data.</w:t>
      </w:r>
    </w:p>
    <w:p>
      <w:pPr>
        <w:pStyle w:val="ListParagraph"/>
        <w:numPr>
          <w:ilvl w:val="0"/>
          <w:numId w:val="2"/>
        </w:numPr>
        <w:spacing w:after="80" w:line="276"/>
      </w:pPr>
      <w:r>
        <w:rPr>
          <w:b/>
          <w:bCs/>
        </w:rPr>
        <w:t xml:space="preserve">Terms of service.</w:t>
      </w:r>
      <w:r>
        <w:rPr>
          <w:b w:val="false"/>
          <w:bCs w:val="false"/>
        </w:rPr>
        <w:t xml:space="preserve"> Use of the unofficial Dexcom Share endpoints is almost certainly contrary to Dexcom's terms of service. For personal use this is a private matter between the user and Dexcom; for distribution it is a hard blocker independent of the regulatory question.</w:t>
      </w:r>
    </w:p>
    <w:p>
      <w:pPr>
        <w:pStyle w:val="ListParagraph"/>
        <w:numPr>
          <w:ilvl w:val="0"/>
          <w:numId w:val="2"/>
        </w:numPr>
        <w:spacing w:after="80" w:line="276"/>
      </w:pPr>
      <w:r>
        <w:rPr>
          <w:b/>
          <w:bCs/>
        </w:rPr>
        <w:t xml:space="preserve">Practical consequence.</w:t>
      </w:r>
      <w:r>
        <w:rPr>
          <w:b w:val="false"/>
          <w:bCs w:val="false"/>
        </w:rPr>
        <w:t xml:space="preserve"> GlucoNoir is installed via personal-team signing or a personal TestFlight build with no external testers. No public TestFlight link, no App Store submission, no sharing of the build.</w:t>
      </w:r>
    </w:p>
    <w:p>
      <w:pPr>
        <w:spacing w:after="100" w:before="180"/>
      </w:pPr>
      <w:r>
        <w:rPr>
          <w:b/>
          <w:bCs/>
          <w:color w:val="1F4D78"/>
        </w:rPr>
        <w:t xml:space="preserve">Why not the official Dexcom Developer API?</w:t>
      </w:r>
    </w:p>
    <w:p>
      <w:pPr>
        <w:spacing w:after="120" w:line="276"/>
      </w:pPr>
      <w:r>
        <w:rPr>
          <w:b w:val="false"/>
          <w:bCs w:val="false"/>
        </w:rPr>
        <w:t xml:space="preserve">This is the first question any future reader will ask. The official Dexcom Developer API (developer.dexcom.com) is documented, supported, and sanctioned — and unusable here, because its data is delivered on a multi-hour delay by design. It is built for retrospective analytics, not live display. The unofficial Share endpoints are the only sanctioned-adjacent path to sub-10-minute data, which is precisely why the Nightscout and xDrip communities settled on them. This is a deliberate, informed trade, not an oversight.</w:t>
      </w:r>
    </w:p>
    <w:p>
      <w:pPr>
        <w:pStyle w:val="Heading1"/>
        <w:spacing w:after="160" w:before="360"/>
      </w:pPr>
      <w:r>
        <w:rPr>
          <w:b w:val="false"/>
          <w:bCs w:val="false"/>
        </w:rPr>
        <w:t xml:space="preserve">2. User &amp; Use Cases</w:t>
      </w:r>
    </w:p>
    <w:p>
      <w:pPr>
        <w:pStyle w:val="Heading2"/>
        <w:spacing w:after="140" w:before="280"/>
      </w:pPr>
      <w:r>
        <w:rPr>
          <w:b w:val="false"/>
          <w:bCs w:val="false"/>
        </w:rPr>
        <w:t xml:space="preserve">2.1 Target User</w:t>
      </w:r>
    </w:p>
    <w:p>
      <w:pPr>
        <w:spacing w:after="120" w:line="276"/>
      </w:pPr>
      <w:r>
        <w:rPr>
          <w:b w:val="false"/>
          <w:bCs w:val="false"/>
        </w:rPr>
        <w:t xml:space="preserve">A single primary user: an adult with Type 1 Diabetes who wears a Dexcom G7, manages insulin manually (MDI or pump, not a closed-loop system this app integrates with), and is comfortable with iOS. Technical sophistication is high enough to side-load or TestFlight an app and to maintain a Dexcom Share follower account </w:t>
      </w:r>
      <w:r>
        <w:rPr>
          <w:b/>
          <w:bCs/>
        </w:rPr>
        <w:t xml:space="preserve">if they choose to</w:t>
      </w:r>
      <w:r>
        <w:rPr>
          <w:b w:val="false"/>
          <w:bCs w:val="false"/>
        </w:rPr>
        <w:t xml:space="preserve">.</w:t>
      </w:r>
    </w:p>
    <w:p>
      <w:pPr>
        <w:pBdr>
          <w:left w:val="single" w:color="BFD3E6" w:sz="12" w:space="8"/>
        </w:pBdr>
        <w:spacing w:after="160" w:line="260"/>
        <w:ind w:left="180"/>
      </w:pPr>
      <w:r>
        <w:rPr>
          <w:b w:val="false"/>
          <w:bCs w:val="false"/>
          <w:i/>
          <w:iCs/>
          <w:color w:val="595959"/>
          <w:sz w:val="20"/>
          <w:szCs w:val="20"/>
        </w:rPr>
        <w:t xml:space="preserve">Changed in v1.2: v1.1 listed a Share follower account as a defining requirement of the target user, which contradicted §4.2.5's fully supported HealthKit-only mode. Share is now correctly described as optional.</w:t>
      </w:r>
    </w:p>
    <w:p>
      <w:pPr>
        <w:pStyle w:val="Heading2"/>
        <w:spacing w:after="140" w:before="280"/>
      </w:pPr>
      <w:r>
        <w:rPr>
          <w:b w:val="false"/>
          <w:bCs w:val="false"/>
        </w:rPr>
        <w:t xml:space="preserve">2.2 Primary Use Cases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2600"/>
        <w:gridCol w:w="1700"/>
        <w:gridCol w:w="5060"/>
      </w:tblGrid>
      <w:tr>
        <w:trPr>
          <w:tblHeader/>
        </w:trPr>
        <w:tc>
          <w:tcPr>
            <w:tcW w:type="dxa" w:w="2600"/>
            <w:shd w:fill="DEEAF6" w:color="auto" w:val="clear"/>
            <w:tcMar>
              <w:top w:type="dxa" w:w="60"/>
              <w:left w:type="dxa" w:w="100"/>
              <w:bottom w:type="dxa" w:w="60"/>
              <w:right w:type="dxa" w:w="100"/>
            </w:tcMar>
          </w:tcPr>
          <w:p>
            <w:pPr>
              <w:spacing w:after="0" w:line="250"/>
            </w:pPr>
            <w:r>
              <w:rPr>
                <w:b/>
                <w:bCs/>
                <w:sz w:val="20"/>
                <w:szCs w:val="20"/>
              </w:rPr>
              <w:t xml:space="preserve">Use Case</w:t>
            </w:r>
          </w:p>
        </w:tc>
        <w:tc>
          <w:tcPr>
            <w:tcW w:type="dxa" w:w="1700"/>
            <w:shd w:fill="DEEAF6" w:color="auto" w:val="clear"/>
            <w:tcMar>
              <w:top w:type="dxa" w:w="60"/>
              <w:left w:type="dxa" w:w="100"/>
              <w:bottom w:type="dxa" w:w="60"/>
              <w:right w:type="dxa" w:w="100"/>
            </w:tcMar>
          </w:tcPr>
          <w:p>
            <w:pPr>
              <w:spacing w:after="0" w:line="250"/>
            </w:pPr>
            <w:r>
              <w:rPr>
                <w:b/>
                <w:bCs/>
                <w:sz w:val="20"/>
                <w:szCs w:val="20"/>
              </w:rPr>
              <w:t xml:space="preserve">Frequency</w:t>
            </w:r>
          </w:p>
        </w:tc>
        <w:tc>
          <w:tcPr>
            <w:tcW w:type="dxa" w:w="5060"/>
            <w:shd w:fill="DEEAF6" w:color="auto" w:val="clear"/>
            <w:tcMar>
              <w:top w:type="dxa" w:w="60"/>
              <w:left w:type="dxa" w:w="100"/>
              <w:bottom w:type="dxa" w:w="60"/>
              <w:right w:type="dxa" w:w="100"/>
            </w:tcMar>
          </w:tcPr>
          <w:p>
            <w:pPr>
              <w:spacing w:after="0" w:line="250"/>
            </w:pPr>
            <w:r>
              <w:rPr>
                <w:b/>
                <w:bCs/>
                <w:sz w:val="20"/>
                <w:szCs w:val="20"/>
              </w:rPr>
              <w:t xml:space="preserve">Example</w:t>
            </w:r>
          </w:p>
        </w:tc>
      </w:tr>
      <w:tr>
        <w:tc>
          <w:tcPr>
            <w:tcW w:type="dxa" w:w="2600"/>
            <w:tcMar>
              <w:top w:type="dxa" w:w="60"/>
              <w:left w:type="dxa" w:w="100"/>
              <w:bottom w:type="dxa" w:w="60"/>
              <w:right w:type="dxa" w:w="100"/>
            </w:tcMar>
          </w:tcPr>
          <w:p>
            <w:pPr>
              <w:spacing w:after="0" w:line="250"/>
            </w:pPr>
            <w:r>
              <w:rPr>
                <w:b w:val="false"/>
                <w:bCs w:val="false"/>
                <w:sz w:val="20"/>
                <w:szCs w:val="20"/>
              </w:rPr>
              <w:t xml:space="preserve">Glance at current glucose without opening an app</w:t>
            </w:r>
          </w:p>
        </w:tc>
        <w:tc>
          <w:tcPr>
            <w:tcW w:type="dxa" w:w="1700"/>
            <w:tcMar>
              <w:top w:type="dxa" w:w="60"/>
              <w:left w:type="dxa" w:w="100"/>
              <w:bottom w:type="dxa" w:w="60"/>
              <w:right w:type="dxa" w:w="100"/>
            </w:tcMar>
          </w:tcPr>
          <w:p>
            <w:pPr>
              <w:spacing w:after="0" w:line="250"/>
            </w:pPr>
            <w:r>
              <w:rPr>
                <w:b w:val="false"/>
                <w:bCs w:val="false"/>
                <w:sz w:val="20"/>
                <w:szCs w:val="20"/>
              </w:rPr>
              <w:t xml:space="preserve">20 to 50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Lock Screen, Dynamic Island, or wrist. The dominant case; §3.2.4 exists to serve it.</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Open the app for a considered look</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5 to 10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Wake up, open phone, see number and 3h curve without retina shock.</w:t>
            </w:r>
          </w:p>
        </w:tc>
      </w:tr>
      <w:tr>
        <w:tc>
          <w:tcPr>
            <w:tcW w:type="dxa" w:w="2600"/>
            <w:tcMar>
              <w:top w:type="dxa" w:w="60"/>
              <w:left w:type="dxa" w:w="100"/>
              <w:bottom w:type="dxa" w:w="60"/>
              <w:right w:type="dxa" w:w="100"/>
            </w:tcMar>
          </w:tcPr>
          <w:p>
            <w:pPr>
              <w:spacing w:after="0" w:line="250"/>
            </w:pPr>
            <w:r>
              <w:rPr>
                <w:b w:val="false"/>
                <w:bCs w:val="false"/>
                <w:sz w:val="20"/>
                <w:szCs w:val="20"/>
              </w:rPr>
              <w:t xml:space="preserve">Check trajectory before activity</w:t>
            </w:r>
          </w:p>
        </w:tc>
        <w:tc>
          <w:tcPr>
            <w:tcW w:type="dxa" w:w="1700"/>
            <w:tcMar>
              <w:top w:type="dxa" w:w="60"/>
              <w:left w:type="dxa" w:w="100"/>
              <w:bottom w:type="dxa" w:w="60"/>
              <w:right w:type="dxa" w:w="100"/>
            </w:tcMar>
          </w:tcPr>
          <w:p>
            <w:pPr>
              <w:spacing w:after="0" w:line="250"/>
            </w:pPr>
            <w:r>
              <w:rPr>
                <w:b w:val="false"/>
                <w:bCs w:val="false"/>
                <w:sz w:val="20"/>
                <w:szCs w:val="20"/>
              </w:rPr>
              <w:t xml:space="preserve">3 to 8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Before meals, exercise, driving, sleeping.</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Log a meal with carb estimate</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3 to 5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Snap photo, enter carbs, mark insulin dose.</w:t>
            </w:r>
          </w:p>
        </w:tc>
      </w:tr>
      <w:tr>
        <w:tc>
          <w:tcPr>
            <w:tcW w:type="dxa" w:w="2600"/>
            <w:tcMar>
              <w:top w:type="dxa" w:w="60"/>
              <w:left w:type="dxa" w:w="100"/>
              <w:bottom w:type="dxa" w:w="60"/>
              <w:right w:type="dxa" w:w="100"/>
            </w:tcMar>
          </w:tcPr>
          <w:p>
            <w:pPr>
              <w:spacing w:after="0" w:line="250"/>
            </w:pPr>
            <w:r>
              <w:rPr>
                <w:b w:val="false"/>
                <w:bCs w:val="false"/>
                <w:sz w:val="20"/>
                <w:szCs w:val="20"/>
              </w:rPr>
              <w:t xml:space="preserve">Log an insulin dose</w:t>
            </w:r>
          </w:p>
        </w:tc>
        <w:tc>
          <w:tcPr>
            <w:tcW w:type="dxa" w:w="1700"/>
            <w:tcMar>
              <w:top w:type="dxa" w:w="60"/>
              <w:left w:type="dxa" w:w="100"/>
              <w:bottom w:type="dxa" w:w="60"/>
              <w:right w:type="dxa" w:w="100"/>
            </w:tcMar>
          </w:tcPr>
          <w:p>
            <w:pPr>
              <w:spacing w:after="0" w:line="250"/>
            </w:pPr>
            <w:r>
              <w:rPr>
                <w:b w:val="false"/>
                <w:bCs w:val="false"/>
                <w:sz w:val="20"/>
                <w:szCs w:val="20"/>
              </w:rPr>
              <w:t xml:space="preserve">4 to 8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Bolus or correction, tied to a timestamp.</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Log exercise</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0 to 2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Type, duration, intensity. Auto-suggested from HealthKit workouts.</w:t>
            </w:r>
          </w:p>
        </w:tc>
      </w:tr>
      <w:tr>
        <w:tc>
          <w:tcPr>
            <w:tcW w:type="dxa" w:w="2600"/>
            <w:tcMar>
              <w:top w:type="dxa" w:w="60"/>
              <w:left w:type="dxa" w:w="100"/>
              <w:bottom w:type="dxa" w:w="60"/>
              <w:right w:type="dxa" w:w="100"/>
            </w:tcMar>
          </w:tcPr>
          <w:p>
            <w:pPr>
              <w:spacing w:after="0" w:line="250"/>
            </w:pPr>
            <w:r>
              <w:rPr>
                <w:b w:val="false"/>
                <w:bCs w:val="false"/>
                <w:sz w:val="20"/>
                <w:szCs w:val="20"/>
              </w:rPr>
              <w:t xml:space="preserve">Review last 24h pattern</w:t>
            </w:r>
          </w:p>
        </w:tc>
        <w:tc>
          <w:tcPr>
            <w:tcW w:type="dxa" w:w="1700"/>
            <w:tcMar>
              <w:top w:type="dxa" w:w="60"/>
              <w:left w:type="dxa" w:w="100"/>
              <w:bottom w:type="dxa" w:w="60"/>
              <w:right w:type="dxa" w:w="100"/>
            </w:tcMar>
          </w:tcPr>
          <w:p>
            <w:pPr>
              <w:spacing w:after="0" w:line="250"/>
            </w:pPr>
            <w:r>
              <w:rPr>
                <w:b w:val="false"/>
                <w:bCs w:val="false"/>
                <w:sz w:val="20"/>
                <w:szCs w:val="20"/>
              </w:rPr>
              <w:t xml:space="preserve">1 to 2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Identify spikes, post-meal curves, overnight trends.</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Check a repeated meal's history</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1 to 3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“What did this do to me last four times?” before dosing.</w:t>
            </w:r>
          </w:p>
        </w:tc>
      </w:tr>
      <w:tr>
        <w:tc>
          <w:tcPr>
            <w:tcW w:type="dxa" w:w="2600"/>
            <w:tcMar>
              <w:top w:type="dxa" w:w="60"/>
              <w:left w:type="dxa" w:w="100"/>
              <w:bottom w:type="dxa" w:w="60"/>
              <w:right w:type="dxa" w:w="100"/>
            </w:tcMar>
          </w:tcPr>
          <w:p>
            <w:pPr>
              <w:spacing w:after="0" w:line="250"/>
            </w:pPr>
            <w:r>
              <w:rPr>
                <w:b w:val="false"/>
                <w:bCs w:val="false"/>
                <w:sz w:val="20"/>
                <w:szCs w:val="20"/>
              </w:rPr>
              <w:t xml:space="preserve">Review last 14 or 30 days</w:t>
            </w:r>
          </w:p>
        </w:tc>
        <w:tc>
          <w:tcPr>
            <w:tcW w:type="dxa" w:w="1700"/>
            <w:tcMar>
              <w:top w:type="dxa" w:w="60"/>
              <w:left w:type="dxa" w:w="100"/>
              <w:bottom w:type="dxa" w:w="60"/>
              <w:right w:type="dxa" w:w="100"/>
            </w:tcMar>
          </w:tcPr>
          <w:p>
            <w:pPr>
              <w:spacing w:after="0" w:line="250"/>
            </w:pPr>
            <w:r>
              <w:rPr>
                <w:b w:val="false"/>
                <w:bCs w:val="false"/>
                <w:sz w:val="20"/>
                <w:szCs w:val="20"/>
              </w:rPr>
              <w:t xml:space="preserve">1 to 2 times per week</w:t>
            </w:r>
          </w:p>
        </w:tc>
        <w:tc>
          <w:tcPr>
            <w:tcW w:type="dxa" w:w="5060"/>
            <w:tcMar>
              <w:top w:type="dxa" w:w="60"/>
              <w:left w:type="dxa" w:w="100"/>
              <w:bottom w:type="dxa" w:w="60"/>
              <w:right w:type="dxa" w:w="100"/>
            </w:tcMar>
          </w:tcPr>
          <w:p>
            <w:pPr>
              <w:spacing w:after="0" w:line="250"/>
            </w:pPr>
            <w:r>
              <w:rPr>
                <w:b w:val="false"/>
                <w:bCs w:val="false"/>
                <w:sz w:val="20"/>
                <w:szCs w:val="20"/>
              </w:rPr>
              <w:t xml:space="preserve">Time-in-range, average, GMI, CV for self-review.</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Export for endo visit</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Every 3 months</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PDF formatted as an AGP-style report, plus flagged patterns.</w:t>
            </w:r>
          </w:p>
        </w:tc>
      </w:tr>
    </w:tbl>
    <w:p>
      <w:pPr>
        <w:pBdr>
          <w:left w:val="single" w:color="BFD3E6" w:sz="12" w:space="8"/>
        </w:pBdr>
        <w:spacing w:after="160" w:line="260"/>
        <w:ind w:left="180"/>
      </w:pPr>
      <w:r>
        <w:rPr>
          <w:b w:val="false"/>
          <w:bCs w:val="false"/>
          <w:i/>
          <w:iCs/>
          <w:color w:val="595959"/>
          <w:sz w:val="20"/>
          <w:szCs w:val="20"/>
        </w:rPr>
        <w:t xml:space="preserve">Changed in v1.2: the top row is new. v1.1 counted 20–50 daily app opens; in practice a glanceable surface absorbs most of those, and the roadmap should reflect where the volume actually is.</w:t>
      </w:r>
    </w:p>
    <w:p>
      <w:pPr>
        <w:pStyle w:val="Heading1"/>
        <w:spacing w:after="160" w:before="360"/>
      </w:pPr>
      <w:r>
        <w:rPr>
          <w:b w:val="false"/>
          <w:bCs w:val="false"/>
        </w:rPr>
        <w:t xml:space="preserve">3. Feature Specification</w:t>
      </w:r>
    </w:p>
    <w:p>
      <w:pPr>
        <w:spacing w:after="120" w:line="276"/>
      </w:pPr>
      <w:r>
        <w:rPr>
          <w:b w:val="false"/>
          <w:bCs w:val="false"/>
        </w:rPr>
        <w:t xml:space="preserve">Features are grouped by release phase. v1 is the minimum useful product. v2 adds the differentiating logging, prediction, and glanceable features. v3 is polish and stretch.</w:t>
      </w:r>
    </w:p>
    <w:p>
      <w:pPr>
        <w:pStyle w:val="Heading2"/>
        <w:spacing w:after="140" w:before="280"/>
      </w:pPr>
      <w:r>
        <w:rPr>
          <w:b w:val="false"/>
          <w:bCs w:val="false"/>
        </w:rPr>
        <w:t xml:space="preserve">3.1 v1 — Minimum Viable App</w:t>
      </w:r>
    </w:p>
    <w:p>
      <w:pPr>
        <w:pStyle w:val="Heading3"/>
        <w:spacing w:after="120" w:before="220"/>
      </w:pPr>
      <w:r>
        <w:rPr>
          <w:b w:val="false"/>
          <w:bCs w:val="false"/>
        </w:rPr>
        <w:t xml:space="preserve">3.1.1 Data Source Integration (Dual Source)</w:t>
      </w:r>
    </w:p>
    <w:p>
      <w:pPr>
        <w:spacing w:after="120" w:line="276"/>
      </w:pPr>
      <w:r>
        <w:rPr>
          <w:b w:val="false"/>
          <w:bCs w:val="false"/>
        </w:rPr>
        <w:t xml:space="preserve">GlucoNoir reads glucose from two parallel sources and uses whichever is freshest. The two are not peers: they have different reliability characteristics and different roles.</w:t>
      </w:r>
    </w:p>
    <w:p>
      <w:pPr>
        <w:spacing w:after="100" w:before="180"/>
      </w:pPr>
      <w:r>
        <w:rPr>
          <w:b/>
          <w:bCs/>
          <w:color w:val="1F4D78"/>
        </w:rPr>
        <w:t xml:space="preserve">Source A: Apple HealthKit (heartbeat, history, and background wake)</w:t>
      </w:r>
    </w:p>
    <w:p>
      <w:pPr>
        <w:pStyle w:val="ListParagraph"/>
        <w:numPr>
          <w:ilvl w:val="0"/>
          <w:numId w:val="2"/>
        </w:numPr>
        <w:spacing w:after="80" w:line="276"/>
      </w:pPr>
      <w:r>
        <w:rPr>
          <w:b/>
          <w:bCs/>
        </w:rPr>
        <w:t xml:space="preserve">Role:</w:t>
      </w:r>
      <w:r>
        <w:rPr>
          <w:b w:val="false"/>
          <w:bCs w:val="false"/>
        </w:rPr>
        <w:t xml:space="preserve"> the reliable substrate. Works offline, cannot be logged out, cannot be broken by an undocumented API changing shape, and — critically — is the only mechanism by which iOS will reliably wake this app in the background.</w:t>
      </w:r>
    </w:p>
    <w:p>
      <w:pPr>
        <w:pStyle w:val="ListParagraph"/>
        <w:numPr>
          <w:ilvl w:val="0"/>
          <w:numId w:val="2"/>
        </w:numPr>
        <w:spacing w:after="80" w:line="276"/>
      </w:pPr>
      <w:r>
        <w:rPr>
          <w:b/>
          <w:bCs/>
        </w:rPr>
        <w:t xml:space="preserve">Permission:</w:t>
      </w:r>
      <w:r>
        <w:rPr>
          <w:b w:val="false"/>
          <w:bCs w:val="false"/>
        </w:rPr>
        <w:t xml:space="preserve"> </w:t>
      </w:r>
      <w:r>
        <w:rPr>
          <w:rFonts w:ascii="Consolas" w:cs="Consolas" w:eastAsia="Consolas" w:hAnsi="Consolas"/>
          <w:b w:val="false"/>
          <w:bCs w:val="false"/>
          <w:sz w:val="19"/>
          <w:szCs w:val="19"/>
        </w:rPr>
        <w:t xml:space="preserve">HKQuantityTypeIdentifier.bloodGlucose</w:t>
      </w:r>
      <w:r>
        <w:rPr>
          <w:b w:val="false"/>
          <w:bCs w:val="false"/>
        </w:rPr>
        <w:t xml:space="preserve"> read access requested on first launch with a clear </w:t>
      </w:r>
      <w:r>
        <w:rPr>
          <w:rFonts w:ascii="Consolas" w:cs="Consolas" w:eastAsia="Consolas" w:hAnsi="Consolas"/>
          <w:b w:val="false"/>
          <w:bCs w:val="false"/>
          <w:sz w:val="19"/>
          <w:szCs w:val="19"/>
        </w:rPr>
        <w:t xml:space="preserve">NSHealthShareUsageDescription</w:t>
      </w:r>
      <w:r>
        <w:rPr>
          <w:b w:val="false"/>
          <w:bCs w:val="false"/>
        </w:rPr>
        <w:t xml:space="preserve">.</w:t>
      </w:r>
    </w:p>
    <w:p>
      <w:pPr>
        <w:pStyle w:val="ListParagraph"/>
        <w:numPr>
          <w:ilvl w:val="0"/>
          <w:numId w:val="2"/>
        </w:numPr>
        <w:spacing w:after="80" w:line="276"/>
      </w:pPr>
      <w:r>
        <w:rPr>
          <w:b/>
          <w:bCs/>
        </w:rPr>
        <w:t xml:space="preserve">Live mode:</w:t>
      </w:r>
      <w:r>
        <w:rPr>
          <w:b w:val="false"/>
          <w:bCs w:val="false"/>
        </w:rPr>
        <w:t xml:space="preserve"> </w:t>
      </w:r>
      <w:r>
        <w:rPr>
          <w:rFonts w:ascii="Consolas" w:cs="Consolas" w:eastAsia="Consolas" w:hAnsi="Consolas"/>
          <w:b w:val="false"/>
          <w:bCs w:val="false"/>
          <w:sz w:val="19"/>
          <w:szCs w:val="19"/>
        </w:rPr>
        <w:t xml:space="preserve">HKObserverQuery</w:t>
      </w:r>
      <w:r>
        <w:rPr>
          <w:b w:val="false"/>
          <w:bCs w:val="false"/>
        </w:rPr>
        <w:t xml:space="preserve"> plus </w:t>
      </w:r>
      <w:r>
        <w:rPr>
          <w:rFonts w:ascii="Consolas" w:cs="Consolas" w:eastAsia="Consolas" w:hAnsi="Consolas"/>
          <w:b w:val="false"/>
          <w:bCs w:val="false"/>
          <w:sz w:val="19"/>
          <w:szCs w:val="19"/>
        </w:rPr>
        <w:t xml:space="preserve">HKAnchoredObjectQuery</w:t>
      </w:r>
      <w:r>
        <w:rPr>
          <w:b w:val="false"/>
          <w:bCs w:val="false"/>
        </w:rPr>
        <w:t xml:space="preserve"> for push-style updates whenever Dexcom flushes new readings.</w:t>
      </w:r>
    </w:p>
    <w:p>
      <w:pPr>
        <w:pStyle w:val="ListParagraph"/>
        <w:numPr>
          <w:ilvl w:val="0"/>
          <w:numId w:val="2"/>
        </w:numPr>
        <w:spacing w:after="80" w:line="276"/>
      </w:pPr>
      <w:r>
        <w:rPr>
          <w:b/>
          <w:bCs/>
        </w:rPr>
        <w:t xml:space="preserve">Background delivery:</w:t>
      </w:r>
      <w:r>
        <w:rPr>
          <w:b w:val="false"/>
          <w:bCs w:val="false"/>
        </w:rPr>
        <w:t xml:space="preserve"> </w:t>
      </w:r>
      <w:r>
        <w:rPr>
          <w:rFonts w:ascii="Consolas" w:cs="Consolas" w:eastAsia="Consolas" w:hAnsi="Consolas"/>
          <w:b w:val="false"/>
          <w:bCs w:val="false"/>
          <w:sz w:val="19"/>
          <w:szCs w:val="19"/>
        </w:rPr>
        <w:t xml:space="preserve">enableBackgroundDelivery(for:frequency:)</w:t>
      </w:r>
      <w:r>
        <w:rPr>
          <w:b w:val="false"/>
          <w:bCs w:val="false"/>
        </w:rPr>
        <w:t xml:space="preserve">. Requires the </w:t>
      </w:r>
      <w:r>
        <w:rPr>
          <w:rFonts w:ascii="Consolas" w:cs="Consolas" w:eastAsia="Consolas" w:hAnsi="Consolas"/>
          <w:b w:val="false"/>
          <w:bCs w:val="false"/>
          <w:sz w:val="19"/>
          <w:szCs w:val="19"/>
        </w:rPr>
        <w:t xml:space="preserve">com.apple.developer.healthkit.background-delivery</w:t>
      </w:r>
      <w:r>
        <w:rPr>
          <w:b w:val="false"/>
          <w:bCs w:val="false"/>
        </w:rPr>
        <w:t xml:space="preserve"> entitlement, which v1.1 did not mention and without which the observer will not fire while backgrounded.</w:t>
      </w:r>
    </w:p>
    <w:p>
      <w:pPr>
        <w:pStyle w:val="ListParagraph"/>
        <w:numPr>
          <w:ilvl w:val="0"/>
          <w:numId w:val="2"/>
        </w:numPr>
        <w:spacing w:after="80" w:line="276"/>
      </w:pPr>
      <w:r>
        <w:rPr>
          <w:b/>
          <w:bCs/>
        </w:rPr>
        <w:t xml:space="preserve">Backfill:</w:t>
      </w:r>
      <w:r>
        <w:rPr>
          <w:b w:val="false"/>
          <w:bCs w:val="false"/>
        </w:rPr>
        <w:t xml:space="preserve"> on first launch and once per day, query the last 90 days to populate the historical store instantly rather than waiting for Share to drip-feed.</w:t>
      </w:r>
    </w:p>
    <w:p>
      <w:pPr>
        <w:pStyle w:val="ListParagraph"/>
        <w:numPr>
          <w:ilvl w:val="0"/>
          <w:numId w:val="2"/>
        </w:numPr>
        <w:spacing w:after="80" w:line="276"/>
      </w:pPr>
      <w:r>
        <w:rPr>
          <w:b/>
          <w:bCs/>
        </w:rPr>
        <w:t xml:space="preserve">Additional context reads</w:t>
      </w:r>
      <w:r>
        <w:rPr>
          <w:b w:val="false"/>
          <w:bCs w:val="false"/>
        </w:rPr>
        <w:t xml:space="preserve"> (all optional, all degrade gracefully if denied): </w:t>
      </w:r>
      <w:r>
        <w:rPr>
          <w:rFonts w:ascii="Consolas" w:cs="Consolas" w:eastAsia="Consolas" w:hAnsi="Consolas"/>
          <w:b w:val="false"/>
          <w:bCs w:val="false"/>
          <w:sz w:val="19"/>
          <w:szCs w:val="19"/>
        </w:rPr>
        <w:t xml:space="preserve">sleepAnalysis</w:t>
      </w:r>
      <w:r>
        <w:rPr>
          <w:b w:val="false"/>
          <w:bCs w:val="false"/>
        </w:rPr>
        <w:t xml:space="preserve"> to segment overnight statistics without asking the user; </w:t>
      </w:r>
      <w:r>
        <w:rPr>
          <w:rFonts w:ascii="Consolas" w:cs="Consolas" w:eastAsia="Consolas" w:hAnsi="Consolas"/>
          <w:b w:val="false"/>
          <w:bCs w:val="false"/>
          <w:sz w:val="19"/>
          <w:szCs w:val="19"/>
        </w:rPr>
        <w:t xml:space="preserve">workoutType</w:t>
      </w:r>
      <w:r>
        <w:rPr>
          <w:b w:val="false"/>
          <w:bCs w:val="false"/>
        </w:rPr>
        <w:t xml:space="preserve"> and </w:t>
      </w:r>
      <w:r>
        <w:rPr>
          <w:rFonts w:ascii="Consolas" w:cs="Consolas" w:eastAsia="Consolas" w:hAnsi="Consolas"/>
          <w:b w:val="false"/>
          <w:bCs w:val="false"/>
          <w:sz w:val="19"/>
          <w:szCs w:val="19"/>
        </w:rPr>
        <w:t xml:space="preserve">stepCount</w:t>
      </w:r>
      <w:r>
        <w:rPr>
          <w:b w:val="false"/>
          <w:bCs w:val="false"/>
        </w:rPr>
        <w:t xml:space="preserve"> to auto-suggest exercise log entries; </w:t>
      </w:r>
      <w:r>
        <w:rPr>
          <w:rFonts w:ascii="Consolas" w:cs="Consolas" w:eastAsia="Consolas" w:hAnsi="Consolas"/>
          <w:b w:val="false"/>
          <w:bCs w:val="false"/>
          <w:sz w:val="19"/>
          <w:szCs w:val="19"/>
        </w:rPr>
        <w:t xml:space="preserve">dietaryCarbohydrates</w:t>
      </w:r>
      <w:r>
        <w:rPr>
          <w:b w:val="false"/>
          <w:bCs w:val="false"/>
        </w:rPr>
        <w:t xml:space="preserve"> and </w:t>
      </w:r>
      <w:r>
        <w:rPr>
          <w:rFonts w:ascii="Consolas" w:cs="Consolas" w:eastAsia="Consolas" w:hAnsi="Consolas"/>
          <w:b w:val="false"/>
          <w:bCs w:val="false"/>
          <w:sz w:val="19"/>
          <w:szCs w:val="19"/>
        </w:rPr>
        <w:t xml:space="preserve">insulinDelivery</w:t>
      </w:r>
      <w:r>
        <w:rPr>
          <w:b w:val="false"/>
          <w:bCs w:val="false"/>
        </w:rPr>
        <w:t xml:space="preserve"> to import events logged in other apps. Each reduces manual logging burden, which §10 identifies as the primary adoption risk.</w:t>
      </w:r>
    </w:p>
    <w:p>
      <w:pPr>
        <w:spacing w:after="100" w:before="180"/>
      </w:pPr>
      <w:r>
        <w:rPr>
          <w:b/>
          <w:bCs/>
          <w:color w:val="1F4D78"/>
        </w:rPr>
        <w:t xml:space="preserve">Source B: Dexcom Share (freshness upgrade)</w:t>
      </w:r>
    </w:p>
    <w:p>
      <w:pPr>
        <w:pStyle w:val="ListParagraph"/>
        <w:numPr>
          <w:ilvl w:val="0"/>
          <w:numId w:val="2"/>
        </w:numPr>
        <w:spacing w:after="80" w:line="276"/>
      </w:pPr>
      <w:r>
        <w:rPr>
          <w:b/>
          <w:bCs/>
        </w:rPr>
        <w:t xml:space="preserve">Role:</w:t>
      </w:r>
      <w:r>
        <w:rPr>
          <w:b w:val="false"/>
          <w:bCs w:val="false"/>
        </w:rPr>
        <w:t xml:space="preserve"> reduces latency when it is available. The app must be fully functional without it.</w:t>
      </w:r>
    </w:p>
    <w:p>
      <w:pPr>
        <w:pStyle w:val="ListParagraph"/>
        <w:numPr>
          <w:ilvl w:val="0"/>
          <w:numId w:val="2"/>
        </w:numPr>
        <w:spacing w:after="80" w:line="276"/>
      </w:pPr>
      <w:r>
        <w:rPr>
          <w:b/>
          <w:bCs/>
        </w:rPr>
        <w:t xml:space="preserve">Auth:</w:t>
      </w:r>
      <w:r>
        <w:rPr>
          <w:b w:val="false"/>
          <w:bCs w:val="false"/>
        </w:rPr>
        <w:t xml:space="preserve"> username and password for a </w:t>
      </w:r>
      <w:r>
        <w:rPr>
          <w:b/>
          <w:bCs/>
        </w:rPr>
        <w:t xml:space="preserve">dedicated Dexcom Share follower account</w:t>
      </w:r>
      <w:r>
        <w:rPr>
          <w:b w:val="false"/>
          <w:bCs w:val="false"/>
        </w:rPr>
        <w:t xml:space="preserve">, never the primary account, stored in the iOS Keychain (§6). Using the primary account risks being logged out of the official app, which would take the FDA-cleared alarms down with it.</w:t>
      </w:r>
    </w:p>
    <w:p>
      <w:pPr>
        <w:pStyle w:val="ListParagraph"/>
        <w:numPr>
          <w:ilvl w:val="0"/>
          <w:numId w:val="2"/>
        </w:numPr>
        <w:spacing w:after="80" w:line="276"/>
      </w:pPr>
      <w:r>
        <w:rPr>
          <w:b/>
          <w:bCs/>
        </w:rPr>
        <w:t xml:space="preserve">Region:</w:t>
      </w:r>
      <w:r>
        <w:rPr>
          <w:b w:val="false"/>
          <w:bCs w:val="false"/>
        </w:rPr>
        <w:t xml:space="preserve"> toggle between US (</w:t>
      </w:r>
      <w:r>
        <w:rPr>
          <w:rFonts w:ascii="Consolas" w:cs="Consolas" w:eastAsia="Consolas" w:hAnsi="Consolas"/>
          <w:b w:val="false"/>
          <w:bCs w:val="false"/>
          <w:sz w:val="19"/>
          <w:szCs w:val="19"/>
        </w:rPr>
        <w:t xml:space="preserve">share2.dexcom.com</w:t>
      </w:r>
      <w:r>
        <w:rPr>
          <w:b w:val="false"/>
          <w:bCs w:val="false"/>
        </w:rPr>
        <w:t xml:space="preserve">), OUS (</w:t>
      </w:r>
      <w:r>
        <w:rPr>
          <w:rFonts w:ascii="Consolas" w:cs="Consolas" w:eastAsia="Consolas" w:hAnsi="Consolas"/>
          <w:b w:val="false"/>
          <w:bCs w:val="false"/>
          <w:sz w:val="19"/>
          <w:szCs w:val="19"/>
        </w:rPr>
        <w:t xml:space="preserve">shareous1.dexcom.com</w:t>
      </w:r>
      <w:r>
        <w:rPr>
          <w:b w:val="false"/>
          <w:bCs w:val="false"/>
        </w:rPr>
        <w:t xml:space="preserve">), and Japan (</w:t>
      </w:r>
      <w:r>
        <w:rPr>
          <w:rFonts w:ascii="Consolas" w:cs="Consolas" w:eastAsia="Consolas" w:hAnsi="Consolas"/>
          <w:b w:val="false"/>
          <w:bCs w:val="false"/>
          <w:sz w:val="19"/>
          <w:szCs w:val="19"/>
        </w:rPr>
        <w:t xml:space="preserve">share.dexcom.jp</w:t>
      </w:r>
      <w:r>
        <w:rPr>
          <w:b w:val="false"/>
          <w:bCs w:val="false"/>
        </w:rPr>
        <w:t xml:space="preserve">).</w:t>
      </w:r>
    </w:p>
    <w:p>
      <w:pPr>
        <w:pStyle w:val="ListParagraph"/>
        <w:numPr>
          <w:ilvl w:val="0"/>
          <w:numId w:val="2"/>
        </w:numPr>
        <w:spacing w:after="80" w:line="276"/>
      </w:pPr>
      <w:r>
        <w:rPr>
          <w:b/>
          <w:bCs/>
        </w:rPr>
        <w:t xml:space="preserve">Polling:</w:t>
      </w:r>
      <w:r>
        <w:rPr>
          <w:b w:val="false"/>
          <w:bCs w:val="false"/>
        </w:rPr>
        <w:t xml:space="preserve"> every 5 minutes while in the foreground. In the background, polled opportunistically whenever HealthKit background delivery wakes the app — never on an independent timer (§4.2.1).</w:t>
      </w:r>
    </w:p>
    <w:p>
      <w:pPr>
        <w:pStyle w:val="ListParagraph"/>
        <w:numPr>
          <w:ilvl w:val="0"/>
          <w:numId w:val="2"/>
        </w:numPr>
        <w:spacing w:after="80" w:line="276"/>
      </w:pPr>
      <w:r>
        <w:rPr>
          <w:b/>
          <w:bCs/>
        </w:rPr>
        <w:t xml:space="preserve">Failure handling:</w:t>
      </w:r>
      <w:r>
        <w:rPr>
          <w:b w:val="false"/>
          <w:bCs w:val="false"/>
        </w:rPr>
        <w:t xml:space="preserve"> on transient failure, fall back to HealthKit and surface a subtle “Share offline” indicator with exponential backoff. On an authentication failure, stop immediately and prompt — do not retry (§4.2.3).</w:t>
      </w:r>
    </w:p>
    <w:p>
      <w:pPr>
        <w:spacing w:after="100" w:before="180"/>
      </w:pPr>
      <w:r>
        <w:rPr>
          <w:b/>
          <w:bCs/>
          <w:color w:val="1F4D78"/>
        </w:rPr>
        <w:t xml:space="preserve">Source coordinator</w:t>
      </w:r>
    </w:p>
    <w:p>
      <w:pPr>
        <w:pStyle w:val="ListParagraph"/>
        <w:numPr>
          <w:ilvl w:val="0"/>
          <w:numId w:val="2"/>
        </w:numPr>
        <w:spacing w:after="80" w:line="276"/>
      </w:pPr>
      <w:r>
        <w:rPr>
          <w:b w:val="false"/>
          <w:bCs w:val="false"/>
        </w:rPr>
        <w:t xml:space="preserve">A single </w:t>
      </w:r>
      <w:r>
        <w:rPr>
          <w:rFonts w:ascii="Consolas" w:cs="Consolas" w:eastAsia="Consolas" w:hAnsi="Consolas"/>
          <w:b w:val="false"/>
          <w:bCs w:val="false"/>
          <w:sz w:val="19"/>
          <w:szCs w:val="19"/>
        </w:rPr>
        <w:t xml:space="preserve">GlucoseSourceCoordinator</w:t>
      </w:r>
      <w:r>
        <w:rPr>
          <w:b w:val="false"/>
          <w:bCs w:val="false"/>
        </w:rPr>
        <w:t xml:space="preserve"> actor receives readings from both sources and emits a unified stream.</w:t>
      </w:r>
    </w:p>
    <w:p>
      <w:pPr>
        <w:pStyle w:val="ListParagraph"/>
        <w:numPr>
          <w:ilvl w:val="0"/>
          <w:numId w:val="2"/>
        </w:numPr>
        <w:spacing w:after="80" w:line="276"/>
      </w:pPr>
      <w:r>
        <w:rPr>
          <w:b/>
          <w:bCs/>
        </w:rPr>
        <w:t xml:space="preserve">Deduplication:</w:t>
      </w:r>
      <w:r>
        <w:rPr>
          <w:b w:val="false"/>
          <w:bCs w:val="false"/>
        </w:rPr>
        <w:t xml:space="preserve"> two readings whose timestamps fall within ±2.5 minutes (half the G7 sample cadence) are the same physical sample and are </w:t>
      </w:r>
      <w:r>
        <w:rPr>
          <w:b/>
          <w:bCs/>
        </w:rPr>
        <w:t xml:space="preserve">merged</w:t>
      </w:r>
      <w:r>
        <w:rPr>
          <w:b w:val="false"/>
          <w:bCs w:val="false"/>
        </w:rPr>
        <w:t xml:space="preserve">, not discarded — the merged record takes HealthKit's timestamp and Share's trend and raw fields.</w:t>
      </w:r>
    </w:p>
    <w:p>
      <w:pPr>
        <w:pStyle w:val="ListParagraph"/>
        <w:numPr>
          <w:ilvl w:val="0"/>
          <w:numId w:val="2"/>
        </w:numPr>
        <w:spacing w:after="80" w:line="276"/>
      </w:pPr>
      <w:r>
        <w:rPr>
          <w:b/>
          <w:bCs/>
        </w:rPr>
        <w:t xml:space="preserve">Revision handling:</w:t>
      </w:r>
      <w:r>
        <w:rPr>
          <w:b w:val="false"/>
          <w:bCs w:val="false"/>
        </w:rPr>
        <w:t xml:space="preserve"> Dexcom backfills and occasionally revises readings after the fact. Persistence is upsert-by-sample-time, never insert-only.</w:t>
      </w:r>
    </w:p>
    <w:p>
      <w:pPr>
        <w:pStyle w:val="ListParagraph"/>
        <w:numPr>
          <w:ilvl w:val="0"/>
          <w:numId w:val="2"/>
        </w:numPr>
        <w:spacing w:after="80" w:line="276"/>
      </w:pPr>
      <w:r>
        <w:rPr>
          <w:b/>
          <w:bCs/>
        </w:rPr>
        <w:t xml:space="preserve">Freshness display:</w:t>
      </w:r>
      <w:r>
        <w:rPr>
          <w:b w:val="false"/>
          <w:bCs w:val="false"/>
        </w:rPr>
        <w:t xml:space="preserve"> the UI always shows the timestamp and provenance of the currently displayed reading (small badge: “Share”, “Health”, or “Both”).</w:t>
      </w:r>
    </w:p>
    <w:p>
      <w:pPr>
        <w:pStyle w:val="ListParagraph"/>
        <w:numPr>
          <w:ilvl w:val="0"/>
          <w:numId w:val="2"/>
        </w:numPr>
        <w:spacing w:after="80" w:line="276"/>
      </w:pPr>
      <w:r>
        <w:rPr>
          <w:b/>
          <w:bCs/>
        </w:rPr>
        <w:t xml:space="preserve">Persistence:</w:t>
      </w:r>
      <w:r>
        <w:rPr>
          <w:b w:val="false"/>
          <w:bCs w:val="false"/>
        </w:rPr>
        <w:t xml:space="preserve"> all unique readings, regardless of source, are written to SwiftData for the historical view.</w:t>
      </w:r>
    </w:p>
    <w:p>
      <w:pPr>
        <w:pStyle w:val="ListParagraph"/>
        <w:numPr>
          <w:ilvl w:val="0"/>
          <w:numId w:val="2"/>
        </w:numPr>
        <w:spacing w:after="80" w:line="276"/>
      </w:pPr>
      <w:r>
        <w:rPr>
          <w:b/>
          <w:bCs/>
        </w:rPr>
        <w:t xml:space="preserve">Units:</w:t>
      </w:r>
      <w:r>
        <w:rPr>
          <w:b w:val="false"/>
          <w:bCs w:val="false"/>
        </w:rPr>
        <w:t xml:space="preserve"> display in mg/dL or mmol/L, user-selectable. Stored canonically as an integer mg/dL value; conversion happens at display time only, so round-tripping between unit settings is lossless.</w:t>
      </w:r>
    </w:p>
    <w:p>
      <w:pPr>
        <w:pBdr>
          <w:left w:val="single" w:color="BFD3E6" w:sz="12" w:space="8"/>
        </w:pBdr>
        <w:spacing w:after="160" w:line="260"/>
        <w:ind w:left="180"/>
      </w:pPr>
      <w:r>
        <w:rPr>
          <w:b w:val="false"/>
          <w:bCs w:val="false"/>
          <w:i/>
          <w:iCs/>
          <w:color w:val="595959"/>
          <w:sz w:val="20"/>
          <w:szCs w:val="20"/>
        </w:rPr>
        <w:t xml:space="preserve">Changed in v1.2: source roles swapped (HealthKit is now primary infrastructure, Share is the latency upgrade); dedup window widened from 60s to ±2.5 min; dedup changed from discard-one to merge-both, resolving the §3.1.1/§4.2.4 contradiction in v1.1; revision/upsert semantics, the background-delivery entitlement, the Japan endpoint, and the additional HealthKit context reads are all new.</w:t>
      </w:r>
    </w:p>
    <w:p>
      <w:pPr>
        <w:pStyle w:val="Heading3"/>
        <w:spacing w:after="120" w:before="220"/>
      </w:pPr>
      <w:r>
        <w:rPr>
          <w:b w:val="false"/>
          <w:bCs w:val="false"/>
        </w:rPr>
        <w:t xml:space="preserve">3.1.2 Current Reading Screen</w:t>
      </w:r>
    </w:p>
    <w:p>
      <w:pPr>
        <w:pStyle w:val="ListParagraph"/>
        <w:numPr>
          <w:ilvl w:val="0"/>
          <w:numId w:val="2"/>
        </w:numPr>
        <w:spacing w:after="80" w:line="276"/>
      </w:pPr>
      <w:r>
        <w:rPr>
          <w:b/>
          <w:bCs/>
        </w:rPr>
        <w:t xml:space="preserve">Hero number:</w:t>
      </w:r>
      <w:r>
        <w:rPr>
          <w:b w:val="false"/>
          <w:bCs w:val="false"/>
        </w:rPr>
        <w:t xml:space="preserve"> large, high-contrast glucose value, colour-coded by range (in-range, low, high, urgent).</w:t>
      </w:r>
    </w:p>
    <w:p>
      <w:pPr>
        <w:pStyle w:val="ListParagraph"/>
        <w:numPr>
          <w:ilvl w:val="0"/>
          <w:numId w:val="2"/>
        </w:numPr>
        <w:spacing w:after="80" w:line="276"/>
      </w:pPr>
      <w:r>
        <w:rPr>
          <w:b/>
          <w:bCs/>
        </w:rPr>
        <w:t xml:space="preserve">Out-of-range values:</w:t>
      </w:r>
      <w:r>
        <w:rPr>
          <w:b w:val="false"/>
          <w:bCs w:val="false"/>
        </w:rPr>
        <w:t xml:space="preserve"> the G7 reports only 40–400 mg/dL. Values at the rails render as </w:t>
      </w:r>
      <w:r>
        <w:rPr>
          <w:b/>
          <w:bCs/>
        </w:rPr>
        <w:t xml:space="preserve">LOW</w:t>
      </w:r>
      <w:r>
        <w:rPr>
          <w:b w:val="false"/>
          <w:bCs w:val="false"/>
        </w:rPr>
        <w:t xml:space="preserve"> and </w:t>
      </w:r>
      <w:r>
        <w:rPr>
          <w:b/>
          <w:bCs/>
        </w:rPr>
        <w:t xml:space="preserve">HIGH</w:t>
      </w:r>
      <w:r>
        <w:rPr>
          <w:b w:val="false"/>
          <w:bCs w:val="false"/>
        </w:rPr>
        <w:t xml:space="preserve">, never as the numbers 40 and 400, which would misrepresent an unknown value as a measured one.</w:t>
      </w:r>
    </w:p>
    <w:p>
      <w:pPr>
        <w:pStyle w:val="ListParagraph"/>
        <w:numPr>
          <w:ilvl w:val="0"/>
          <w:numId w:val="2"/>
        </w:numPr>
        <w:spacing w:after="80" w:line="276"/>
      </w:pPr>
      <w:r>
        <w:rPr>
          <w:b/>
          <w:bCs/>
        </w:rPr>
        <w:t xml:space="preserve">Trend arrow:</w:t>
      </w:r>
      <w:r>
        <w:rPr>
          <w:b w:val="false"/>
          <w:bCs w:val="false"/>
        </w:rPr>
        <w:t xml:space="preserve"> the seven directional Dexcom states (double-up through double-down), </w:t>
      </w:r>
      <w:r>
        <w:rPr>
          <w:b/>
          <w:bCs/>
        </w:rPr>
        <w:t xml:space="preserve">plus explicit handling for the three non-arrow states</w:t>
      </w:r>
      <w:r>
        <w:rPr>
          <w:b w:val="false"/>
          <w:bCs w:val="false"/>
        </w:rPr>
        <w:t xml:space="preserve"> the Share API can return: </w:t>
      </w:r>
      <w:r>
        <w:rPr>
          <w:rFonts w:ascii="Consolas" w:cs="Consolas" w:eastAsia="Consolas" w:hAnsi="Consolas"/>
          <w:b w:val="false"/>
          <w:bCs w:val="false"/>
          <w:sz w:val="19"/>
          <w:szCs w:val="19"/>
        </w:rPr>
        <w:t xml:space="preserve">None</w:t>
      </w:r>
      <w:r>
        <w:rPr>
          <w:b w:val="false"/>
          <w:bCs w:val="false"/>
        </w:rPr>
        <w:t xml:space="preserve">, </w:t>
      </w:r>
      <w:r>
        <w:rPr>
          <w:rFonts w:ascii="Consolas" w:cs="Consolas" w:eastAsia="Consolas" w:hAnsi="Consolas"/>
          <w:b w:val="false"/>
          <w:bCs w:val="false"/>
          <w:sz w:val="19"/>
          <w:szCs w:val="19"/>
        </w:rPr>
        <w:t xml:space="preserve">NotComputable</w:t>
      </w:r>
      <w:r>
        <w:rPr>
          <w:b w:val="false"/>
          <w:bCs w:val="false"/>
        </w:rPr>
        <w:t xml:space="preserve">, and </w:t>
      </w:r>
      <w:r>
        <w:rPr>
          <w:rFonts w:ascii="Consolas" w:cs="Consolas" w:eastAsia="Consolas" w:hAnsi="Consolas"/>
          <w:b w:val="false"/>
          <w:bCs w:val="false"/>
          <w:sz w:val="19"/>
          <w:szCs w:val="19"/>
        </w:rPr>
        <w:t xml:space="preserve">RateOutOfRange</w:t>
      </w:r>
      <w:r>
        <w:rPr>
          <w:b w:val="false"/>
          <w:bCs w:val="false"/>
        </w:rPr>
        <w:t xml:space="preserve">. These render as a neutral glyph, not as a flat arrow.</w:t>
      </w:r>
    </w:p>
    <w:p>
      <w:pPr>
        <w:pStyle w:val="ListParagraph"/>
        <w:numPr>
          <w:ilvl w:val="0"/>
          <w:numId w:val="2"/>
        </w:numPr>
        <w:spacing w:after="80" w:line="276"/>
      </w:pPr>
      <w:r>
        <w:rPr>
          <w:b/>
          <w:bCs/>
        </w:rPr>
        <w:t xml:space="preserve">Source badge:</w:t>
      </w:r>
      <w:r>
        <w:rPr>
          <w:b w:val="false"/>
          <w:bCs w:val="false"/>
        </w:rPr>
        <w:t xml:space="preserve"> small, low-contrast label showing which source produced the displayed value (mandated by §3.1.1; absent from v1.1's screen spec).</w:t>
      </w:r>
    </w:p>
    <w:p>
      <w:pPr>
        <w:pStyle w:val="ListParagraph"/>
        <w:numPr>
          <w:ilvl w:val="0"/>
          <w:numId w:val="2"/>
        </w:numPr>
        <w:spacing w:after="80" w:line="276"/>
      </w:pPr>
      <w:r>
        <w:rPr>
          <w:b/>
          <w:bCs/>
        </w:rPr>
        <w:t xml:space="preserve">Delta:</w:t>
      </w:r>
      <w:r>
        <w:rPr>
          <w:b w:val="false"/>
          <w:bCs w:val="false"/>
        </w:rPr>
        <w:t xml:space="preserve"> change from the previous reading and from 15 minutes ago. Suppressed when the intervening data has gaps.</w:t>
      </w:r>
    </w:p>
    <w:p>
      <w:pPr>
        <w:pStyle w:val="ListParagraph"/>
        <w:numPr>
          <w:ilvl w:val="0"/>
          <w:numId w:val="2"/>
        </w:numPr>
        <w:spacing w:after="80" w:line="276"/>
      </w:pPr>
      <w:r>
        <w:rPr>
          <w:b/>
          <w:bCs/>
        </w:rPr>
        <w:t xml:space="preserve">Last updated:</w:t>
      </w:r>
      <w:r>
        <w:rPr>
          <w:b w:val="false"/>
          <w:bCs w:val="false"/>
        </w:rPr>
        <w:t xml:space="preserve"> relative time. Amber at &gt;12 min, red at &gt;30 min, per §1.3.</w:t>
      </w:r>
    </w:p>
    <w:p>
      <w:pPr>
        <w:pStyle w:val="ListParagraph"/>
        <w:numPr>
          <w:ilvl w:val="0"/>
          <w:numId w:val="2"/>
        </w:numPr>
        <w:spacing w:after="80" w:line="276"/>
      </w:pPr>
      <w:r>
        <w:rPr>
          <w:b/>
          <w:bCs/>
        </w:rPr>
        <w:t xml:space="preserve">Sensor state banner:</w:t>
      </w:r>
      <w:r>
        <w:rPr>
          <w:b w:val="false"/>
          <w:bCs w:val="false"/>
        </w:rPr>
        <w:t xml:space="preserve"> surfaces warmup, session end, and signal loss as distinct states (§3.1.3), so a 30-minute warmup does not present as a broken app.</w:t>
      </w:r>
    </w:p>
    <w:p>
      <w:pPr>
        <w:pStyle w:val="ListParagraph"/>
        <w:numPr>
          <w:ilvl w:val="0"/>
          <w:numId w:val="2"/>
        </w:numPr>
        <w:spacing w:after="80" w:line="276"/>
      </w:pPr>
      <w:r>
        <w:rPr>
          <w:b/>
          <w:bCs/>
        </w:rPr>
        <w:t xml:space="preserve">3h chart:</w:t>
      </w:r>
      <w:r>
        <w:rPr>
          <w:b w:val="false"/>
          <w:bCs w:val="false"/>
        </w:rPr>
        <w:t xml:space="preserve"> compact line chart of the last 3 hours with the target range band.</w:t>
      </w:r>
    </w:p>
    <w:p>
      <w:pPr>
        <w:pStyle w:val="Heading3"/>
        <w:spacing w:after="120" w:before="220"/>
      </w:pPr>
      <w:r>
        <w:rPr>
          <w:b w:val="false"/>
          <w:bCs w:val="false"/>
        </w:rPr>
        <w:t xml:space="preserve">3.1.3 Sensor Lifecycle &amp; Data States</w:t>
      </w:r>
    </w:p>
    <w:p>
      <w:pPr>
        <w:pBdr>
          <w:left w:val="single" w:color="BFD3E6" w:sz="12" w:space="8"/>
        </w:pBdr>
        <w:spacing w:after="160" w:line="260"/>
        <w:ind w:left="180"/>
      </w:pPr>
      <w:r>
        <w:rPr>
          <w:b w:val="false"/>
          <w:bCs w:val="false"/>
          <w:i/>
          <w:iCs/>
          <w:color w:val="595959"/>
          <w:sz w:val="20"/>
          <w:szCs w:val="20"/>
        </w:rPr>
        <w:t xml:space="preserve">New in v1.2. v1.1 had a single “stale” concept, which would have made every routine sensor change look like a malfunction.</w:t>
      </w:r>
    </w:p>
    <w:p>
      <w:pPr>
        <w:spacing w:after="120" w:line="276"/>
      </w:pPr>
      <w:r>
        <w:rPr>
          <w:b w:val="false"/>
          <w:bCs w:val="false"/>
        </w:rPr>
        <w:t xml:space="preserve">Absence of data is not one condition. The app models these states explicitly and renders each differently:</w:t>
      </w:r>
    </w:p>
    <w:p>
      <w:pPr>
        <w:pStyle w:val="ListParagraph"/>
        <w:numPr>
          <w:ilvl w:val="0"/>
          <w:numId w:val="2"/>
        </w:numPr>
        <w:spacing w:after="80" w:line="276"/>
      </w:pPr>
      <w:r>
        <w:rPr>
          <w:rFonts w:ascii="Consolas" w:cs="Consolas" w:eastAsia="Consolas" w:hAnsi="Consolas"/>
          <w:b/>
          <w:bCs/>
          <w:sz w:val="19"/>
          <w:szCs w:val="19"/>
        </w:rPr>
        <w:t xml:space="preserve">warmup</w:t>
      </w:r>
      <w:r>
        <w:rPr>
          <w:b w:val="false"/>
          <w:bCs w:val="false"/>
        </w:rPr>
        <w:t xml:space="preserve"> — a new G7 session is in its 30-minute warmup. No readings exist and none are expected. Show a countdown, not a staleness warning.</w:t>
      </w:r>
    </w:p>
    <w:p>
      <w:pPr>
        <w:pStyle w:val="ListParagraph"/>
        <w:numPr>
          <w:ilvl w:val="0"/>
          <w:numId w:val="2"/>
        </w:numPr>
        <w:spacing w:after="80" w:line="276"/>
      </w:pPr>
      <w:r>
        <w:rPr>
          <w:rFonts w:ascii="Consolas" w:cs="Consolas" w:eastAsia="Consolas" w:hAnsi="Consolas"/>
          <w:b/>
          <w:bCs/>
          <w:sz w:val="19"/>
          <w:szCs w:val="19"/>
        </w:rPr>
        <w:t xml:space="preserve">signalLoss</w:t>
      </w:r>
      <w:r>
        <w:rPr>
          <w:b w:val="false"/>
          <w:bCs w:val="false"/>
        </w:rPr>
        <w:t xml:space="preserve"> — readings were arriving and stopped, but the session is still valid. Common and usually self-resolving. This is the state that maps to §1.3's amber/red staleness treatment.</w:t>
      </w:r>
    </w:p>
    <w:p>
      <w:pPr>
        <w:pStyle w:val="ListParagraph"/>
        <w:numPr>
          <w:ilvl w:val="0"/>
          <w:numId w:val="2"/>
        </w:numPr>
        <w:spacing w:after="80" w:line="276"/>
      </w:pPr>
      <w:r>
        <w:rPr>
          <w:rFonts w:ascii="Consolas" w:cs="Consolas" w:eastAsia="Consolas" w:hAnsi="Consolas"/>
          <w:b/>
          <w:bCs/>
          <w:sz w:val="19"/>
          <w:szCs w:val="19"/>
        </w:rPr>
        <w:t xml:space="preserve">sessionEnding</w:t>
      </w:r>
      <w:r>
        <w:rPr>
          <w:b w:val="false"/>
          <w:bCs w:val="false"/>
        </w:rPr>
        <w:t xml:space="preserve"> — inside the final 24 hours of the 10-day session. Surface a change reminder.</w:t>
      </w:r>
    </w:p>
    <w:p>
      <w:pPr>
        <w:pStyle w:val="ListParagraph"/>
        <w:numPr>
          <w:ilvl w:val="0"/>
          <w:numId w:val="2"/>
        </w:numPr>
        <w:spacing w:after="80" w:line="276"/>
      </w:pPr>
      <w:r>
        <w:rPr>
          <w:rFonts w:ascii="Consolas" w:cs="Consolas" w:eastAsia="Consolas" w:hAnsi="Consolas"/>
          <w:b/>
          <w:bCs/>
          <w:sz w:val="19"/>
          <w:szCs w:val="19"/>
        </w:rPr>
        <w:t xml:space="preserve">sessionEnded</w:t>
      </w:r>
      <w:r>
        <w:rPr>
          <w:b w:val="false"/>
          <w:bCs w:val="false"/>
        </w:rPr>
        <w:t xml:space="preserve"> — past 10 days and into or past the 12-hour grace period.</w:t>
      </w:r>
    </w:p>
    <w:p>
      <w:pPr>
        <w:pStyle w:val="ListParagraph"/>
        <w:numPr>
          <w:ilvl w:val="0"/>
          <w:numId w:val="2"/>
        </w:numPr>
        <w:spacing w:after="80" w:line="276"/>
      </w:pPr>
      <w:r>
        <w:rPr>
          <w:rFonts w:ascii="Consolas" w:cs="Consolas" w:eastAsia="Consolas" w:hAnsi="Consolas"/>
          <w:b/>
          <w:bCs/>
          <w:sz w:val="19"/>
          <w:szCs w:val="19"/>
        </w:rPr>
        <w:t xml:space="preserve">sensorFailed</w:t>
      </w:r>
      <w:r>
        <w:rPr>
          <w:b w:val="false"/>
          <w:bCs w:val="false"/>
        </w:rPr>
        <w:t xml:space="preserve"> — session terminated early.</w:t>
      </w:r>
    </w:p>
    <w:p>
      <w:pPr>
        <w:pStyle w:val="ListParagraph"/>
        <w:numPr>
          <w:ilvl w:val="0"/>
          <w:numId w:val="2"/>
        </w:numPr>
        <w:spacing w:after="80" w:line="276"/>
      </w:pPr>
      <w:r>
        <w:rPr>
          <w:rFonts w:ascii="Consolas" w:cs="Consolas" w:eastAsia="Consolas" w:hAnsi="Consolas"/>
          <w:b/>
          <w:bCs/>
          <w:sz w:val="19"/>
          <w:szCs w:val="19"/>
        </w:rPr>
        <w:t xml:space="preserve">noSensor</w:t>
      </w:r>
      <w:r>
        <w:rPr>
          <w:b w:val="false"/>
          <w:bCs w:val="false"/>
        </w:rPr>
        <w:t xml:space="preserve"> — no session at all.</w:t>
      </w:r>
    </w:p>
    <w:p>
      <w:pPr>
        <w:spacing w:after="100" w:before="180"/>
      </w:pPr>
      <w:r>
        <w:rPr>
          <w:b/>
          <w:bCs/>
          <w:color w:val="1F4D78"/>
        </w:rPr>
        <w:t xml:space="preserve">Sensor session dashboard</w:t>
      </w:r>
    </w:p>
    <w:p>
      <w:pPr>
        <w:spacing w:after="120" w:line="276"/>
      </w:pPr>
      <w:r>
        <w:rPr>
          <w:b w:val="false"/>
          <w:bCs w:val="false"/>
        </w:rPr>
        <w:t xml:space="preserve">A small card showing session day and hours remaining, warmup countdown when applicable, and a change reminder. This costs almost nothing beyond the state machine above, and it answers a question the user currently has to open the Dexcom app to check.</w:t>
      </w:r>
    </w:p>
    <w:p>
      <w:pPr>
        <w:spacing w:after="120" w:line="276"/>
      </w:pPr>
      <w:r>
        <w:rPr>
          <w:b w:val="false"/>
          <w:bCs w:val="false"/>
        </w:rPr>
        <w:t xml:space="preserve">Session start is inferred rather than read directly: neither Share nor HealthKit exposes session metadata cleanly, so the app detects a session boundary from a gap of &gt;25 minutes followed by resumed readings, and lets the user correct the inferred start date.</w:t>
      </w:r>
    </w:p>
    <w:p>
      <w:pPr>
        <w:pStyle w:val="Heading3"/>
        <w:spacing w:after="120" w:before="220"/>
      </w:pPr>
      <w:r>
        <w:rPr>
          <w:b w:val="false"/>
          <w:bCs w:val="false"/>
        </w:rPr>
        <w:t xml:space="preserve">3.1.4 Adaptive Theme System</w:t>
      </w:r>
    </w:p>
    <w:p>
      <w:pPr>
        <w:pStyle w:val="ListParagraph"/>
        <w:numPr>
          <w:ilvl w:val="0"/>
          <w:numId w:val="2"/>
        </w:numPr>
        <w:spacing w:after="80" w:line="276"/>
      </w:pPr>
      <w:r>
        <w:rPr>
          <w:b/>
          <w:bCs/>
        </w:rPr>
        <w:t xml:space="preserve">Three themes:</w:t>
      </w:r>
      <w:r>
        <w:rPr>
          <w:b w:val="false"/>
          <w:bCs w:val="false"/>
        </w:rPr>
        <w:t xml:space="preserve"> True Black (OLED, pure #000000 background), Soft Dark (#1C1C1E, iOS-standard), Light (high-contrast white for outdoor visibility).</w:t>
      </w:r>
    </w:p>
    <w:p>
      <w:pPr>
        <w:pStyle w:val="ListParagraph"/>
        <w:numPr>
          <w:ilvl w:val="0"/>
          <w:numId w:val="2"/>
        </w:numPr>
        <w:spacing w:after="80" w:line="276"/>
      </w:pPr>
      <w:r>
        <w:rPr>
          <w:b/>
          <w:bCs/>
        </w:rPr>
        <w:t xml:space="preserve">System sync:</w:t>
      </w:r>
      <w:r>
        <w:rPr>
          <w:b w:val="false"/>
          <w:bCs w:val="false"/>
        </w:rPr>
        <w:t xml:space="preserve"> honour the iOS appearance setting by default; the user can override.</w:t>
      </w:r>
    </w:p>
    <w:p>
      <w:pPr>
        <w:pStyle w:val="ListParagraph"/>
        <w:numPr>
          <w:ilvl w:val="0"/>
          <w:numId w:val="2"/>
        </w:numPr>
        <w:spacing w:after="80" w:line="276"/>
      </w:pPr>
      <w:r>
        <w:rPr>
          <w:b/>
          <w:bCs/>
        </w:rPr>
        <w:t xml:space="preserve">Bedside Mode:</w:t>
      </w:r>
      <w:r>
        <w:rPr>
          <w:b w:val="false"/>
          <w:bCs w:val="false"/>
        </w:rPr>
        <w:t xml:space="preserve"> a separate toggle — dimmed, red-shifted palette for nighttime checks without disrupting dark adaptation. Activates manually or on a schedule (default 10pm to 7am), with the ambient light sensor used only as a modifier, never as the sole trigger (§8).</w:t>
      </w:r>
    </w:p>
    <w:p>
      <w:pPr>
        <w:pStyle w:val="ListParagraph"/>
        <w:numPr>
          <w:ilvl w:val="0"/>
          <w:numId w:val="2"/>
        </w:numPr>
        <w:spacing w:after="80" w:line="276"/>
      </w:pPr>
      <w:r>
        <w:rPr>
          <w:b/>
          <w:bCs/>
        </w:rPr>
        <w:t xml:space="preserve">Colour-blind safety:</w:t>
      </w:r>
      <w:r>
        <w:rPr>
          <w:b w:val="false"/>
          <w:bCs w:val="false"/>
        </w:rPr>
        <w:t xml:space="preserve"> range state is encoded in colour </w:t>
      </w:r>
      <w:r>
        <w:rPr>
          <w:b/>
          <w:bCs/>
        </w:rPr>
        <w:t xml:space="preserve">and</w:t>
      </w:r>
      <w:r>
        <w:rPr>
          <w:b w:val="false"/>
          <w:bCs w:val="false"/>
        </w:rPr>
        <w:t xml:space="preserve"> shape (a distinct glyph per range), because in-range green and low red are precisely the deuteranopia-confusable pair. The glyph is load-bearing, not decorative, and must be legible at complication size.</w:t>
      </w:r>
    </w:p>
    <w:p>
      <w:pPr>
        <w:spacing w:after="120" w:line="276"/>
      </w:pPr>
      <w:r>
        <w:rPr>
          <w:b w:val="false"/>
          <w:bCs w:val="false"/>
        </w:rPr>
        <w:t xml:space="preserve">Implementation details, including the corrected dimming approach, are in §5.3.</w:t>
      </w:r>
    </w:p>
    <w:p>
      <w:pPr>
        <w:pStyle w:val="Heading3"/>
        <w:spacing w:after="120" w:before="220"/>
      </w:pPr>
      <w:r>
        <w:rPr>
          <w:b w:val="false"/>
          <w:bCs w:val="false"/>
        </w:rPr>
        <w:t xml:space="preserve">3.1.5 Historical View</w:t>
      </w:r>
    </w:p>
    <w:p>
      <w:pPr>
        <w:pStyle w:val="ListParagraph"/>
        <w:numPr>
          <w:ilvl w:val="0"/>
          <w:numId w:val="2"/>
        </w:numPr>
        <w:spacing w:after="80" w:line="276"/>
      </w:pPr>
      <w:r>
        <w:rPr>
          <w:b/>
          <w:bCs/>
        </w:rPr>
        <w:t xml:space="preserve">Time windows:</w:t>
      </w:r>
      <w:r>
        <w:rPr>
          <w:b w:val="false"/>
          <w:bCs w:val="false"/>
        </w:rPr>
        <w:t xml:space="preserve"> 3h, 6h, 12h, 24h, 7d, 14d, 30d, 90d.</w:t>
      </w:r>
    </w:p>
    <w:p>
      <w:pPr>
        <w:spacing w:after="100" w:before="180"/>
      </w:pPr>
      <w:r>
        <w:rPr>
          <w:b/>
          <w:bCs/>
          <w:color w:val="1F4D78"/>
        </w:rPr>
        <w:t xml:space="preserve">Statistics</w:t>
      </w:r>
    </w:p>
    <w:p>
      <w:pPr>
        <w:spacing w:after="120" w:line="276"/>
      </w:pPr>
      <w:r>
        <w:rPr>
          <w:b w:val="false"/>
          <w:bCs w:val="false"/>
        </w:rPr>
        <w:t xml:space="preserve">Reported per window, using the international consensus (ATTD/ADA) definitions rather than a simplified three-band split:</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2000"/>
        <w:gridCol w:w="2100"/>
        <w:gridCol w:w="2200"/>
        <w:gridCol w:w="3060"/>
      </w:tblGrid>
      <w:tr>
        <w:trPr>
          <w:tblHeader/>
        </w:trPr>
        <w:tc>
          <w:tcPr>
            <w:tcW w:type="dxa" w:w="2000"/>
            <w:shd w:fill="DEEAF6" w:color="auto" w:val="clear"/>
            <w:tcMar>
              <w:top w:type="dxa" w:w="60"/>
              <w:left w:type="dxa" w:w="100"/>
              <w:bottom w:type="dxa" w:w="60"/>
              <w:right w:type="dxa" w:w="100"/>
            </w:tcMar>
          </w:tcPr>
          <w:p>
            <w:pPr>
              <w:spacing w:after="0" w:line="250"/>
            </w:pPr>
            <w:r>
              <w:rPr>
                <w:b/>
                <w:bCs/>
                <w:sz w:val="20"/>
                <w:szCs w:val="20"/>
              </w:rPr>
              <w:t xml:space="preserve">Band</w:t>
            </w:r>
          </w:p>
        </w:tc>
        <w:tc>
          <w:tcPr>
            <w:tcW w:type="dxa" w:w="2100"/>
            <w:shd w:fill="DEEAF6" w:color="auto" w:val="clear"/>
            <w:tcMar>
              <w:top w:type="dxa" w:w="60"/>
              <w:left w:type="dxa" w:w="100"/>
              <w:bottom w:type="dxa" w:w="60"/>
              <w:right w:type="dxa" w:w="100"/>
            </w:tcMar>
          </w:tcPr>
          <w:p>
            <w:pPr>
              <w:spacing w:after="0" w:line="250"/>
            </w:pPr>
            <w:r>
              <w:rPr>
                <w:b/>
                <w:bCs/>
                <w:sz w:val="20"/>
                <w:szCs w:val="20"/>
              </w:rPr>
              <w:t xml:space="preserve">mg/dL</w:t>
            </w:r>
          </w:p>
        </w:tc>
        <w:tc>
          <w:tcPr>
            <w:tcW w:type="dxa" w:w="2200"/>
            <w:shd w:fill="DEEAF6" w:color="auto" w:val="clear"/>
            <w:tcMar>
              <w:top w:type="dxa" w:w="60"/>
              <w:left w:type="dxa" w:w="100"/>
              <w:bottom w:type="dxa" w:w="60"/>
              <w:right w:type="dxa" w:w="100"/>
            </w:tcMar>
          </w:tcPr>
          <w:p>
            <w:pPr>
              <w:spacing w:after="0" w:line="250"/>
            </w:pPr>
            <w:r>
              <w:rPr>
                <w:b/>
                <w:bCs/>
                <w:sz w:val="20"/>
                <w:szCs w:val="20"/>
              </w:rPr>
              <w:t xml:space="preserve">mmol/L</w:t>
            </w:r>
          </w:p>
        </w:tc>
        <w:tc>
          <w:tcPr>
            <w:tcW w:type="dxa" w:w="3060"/>
            <w:shd w:fill="DEEAF6" w:color="auto" w:val="clear"/>
            <w:tcMar>
              <w:top w:type="dxa" w:w="60"/>
              <w:left w:type="dxa" w:w="100"/>
              <w:bottom w:type="dxa" w:w="60"/>
              <w:right w:type="dxa" w:w="100"/>
            </w:tcMar>
          </w:tcPr>
          <w:p>
            <w:pPr>
              <w:spacing w:after="0" w:line="250"/>
            </w:pPr>
            <w:r>
              <w:rPr>
                <w:b/>
                <w:bCs/>
                <w:sz w:val="20"/>
                <w:szCs w:val="20"/>
              </w:rPr>
              <w:t xml:space="preserve">Consensus target</w:t>
            </w:r>
          </w:p>
        </w:tc>
      </w:tr>
      <w:tr>
        <w:tc>
          <w:tcPr>
            <w:tcW w:type="dxa" w:w="2000"/>
            <w:tcMar>
              <w:top w:type="dxa" w:w="60"/>
              <w:left w:type="dxa" w:w="100"/>
              <w:bottom w:type="dxa" w:w="60"/>
              <w:right w:type="dxa" w:w="100"/>
            </w:tcMar>
          </w:tcPr>
          <w:p>
            <w:pPr>
              <w:spacing w:after="0" w:line="250"/>
            </w:pPr>
            <w:r>
              <w:rPr>
                <w:b w:val="false"/>
                <w:bCs w:val="false"/>
                <w:sz w:val="20"/>
                <w:szCs w:val="20"/>
              </w:rPr>
              <w:t xml:space="preserve">Very Low</w:t>
            </w:r>
          </w:p>
        </w:tc>
        <w:tc>
          <w:tcPr>
            <w:tcW w:type="dxa" w:w="2100"/>
            <w:tcMar>
              <w:top w:type="dxa" w:w="60"/>
              <w:left w:type="dxa" w:w="100"/>
              <w:bottom w:type="dxa" w:w="60"/>
              <w:right w:type="dxa" w:w="100"/>
            </w:tcMar>
          </w:tcPr>
          <w:p>
            <w:pPr>
              <w:spacing w:after="0" w:line="250"/>
            </w:pPr>
            <w:r>
              <w:rPr>
                <w:b w:val="false"/>
                <w:bCs w:val="false"/>
                <w:sz w:val="20"/>
                <w:szCs w:val="20"/>
              </w:rPr>
              <w:t xml:space="preserve">&lt; 54</w:t>
            </w:r>
          </w:p>
        </w:tc>
        <w:tc>
          <w:tcPr>
            <w:tcW w:type="dxa" w:w="2200"/>
            <w:tcMar>
              <w:top w:type="dxa" w:w="60"/>
              <w:left w:type="dxa" w:w="100"/>
              <w:bottom w:type="dxa" w:w="60"/>
              <w:right w:type="dxa" w:w="100"/>
            </w:tcMar>
          </w:tcPr>
          <w:p>
            <w:pPr>
              <w:spacing w:after="0" w:line="250"/>
            </w:pPr>
            <w:r>
              <w:rPr>
                <w:b w:val="false"/>
                <w:bCs w:val="false"/>
                <w:sz w:val="20"/>
                <w:szCs w:val="20"/>
              </w:rPr>
              <w:t xml:space="preserve">&lt; 3.0</w:t>
            </w:r>
          </w:p>
        </w:tc>
        <w:tc>
          <w:tcPr>
            <w:tcW w:type="dxa" w:w="3060"/>
            <w:tcMar>
              <w:top w:type="dxa" w:w="60"/>
              <w:left w:type="dxa" w:w="100"/>
              <w:bottom w:type="dxa" w:w="60"/>
              <w:right w:type="dxa" w:w="100"/>
            </w:tcMar>
          </w:tcPr>
          <w:p>
            <w:pPr>
              <w:spacing w:after="0" w:line="250"/>
            </w:pPr>
            <w:r>
              <w:rPr>
                <w:b w:val="false"/>
                <w:bCs w:val="false"/>
                <w:sz w:val="20"/>
                <w:szCs w:val="20"/>
              </w:rPr>
              <w:t xml:space="preserve">&lt; 1% of readings</w:t>
            </w:r>
          </w:p>
        </w:tc>
      </w:tr>
      <w:tr>
        <w:tc>
          <w:tcPr>
            <w:tcW w:type="dxa" w:w="2000"/>
            <w:shd w:fill="F5F8FC" w:color="auto" w:val="clear"/>
            <w:tcMar>
              <w:top w:type="dxa" w:w="60"/>
              <w:left w:type="dxa" w:w="100"/>
              <w:bottom w:type="dxa" w:w="60"/>
              <w:right w:type="dxa" w:w="100"/>
            </w:tcMar>
          </w:tcPr>
          <w:p>
            <w:pPr>
              <w:spacing w:after="0" w:line="250"/>
            </w:pPr>
            <w:r>
              <w:rPr>
                <w:b w:val="false"/>
                <w:bCs w:val="false"/>
                <w:sz w:val="20"/>
                <w:szCs w:val="20"/>
              </w:rPr>
              <w:t xml:space="preserve">Low</w:t>
            </w:r>
          </w:p>
        </w:tc>
        <w:tc>
          <w:tcPr>
            <w:tcW w:type="dxa" w:w="2100"/>
            <w:shd w:fill="F5F8FC" w:color="auto" w:val="clear"/>
            <w:tcMar>
              <w:top w:type="dxa" w:w="60"/>
              <w:left w:type="dxa" w:w="100"/>
              <w:bottom w:type="dxa" w:w="60"/>
              <w:right w:type="dxa" w:w="100"/>
            </w:tcMar>
          </w:tcPr>
          <w:p>
            <w:pPr>
              <w:spacing w:after="0" w:line="250"/>
            </w:pPr>
            <w:r>
              <w:rPr>
                <w:b w:val="false"/>
                <w:bCs w:val="false"/>
                <w:sz w:val="20"/>
                <w:szCs w:val="20"/>
              </w:rPr>
              <w:t xml:space="preserve">54 – 69</w:t>
            </w:r>
          </w:p>
        </w:tc>
        <w:tc>
          <w:tcPr>
            <w:tcW w:type="dxa" w:w="2200"/>
            <w:shd w:fill="F5F8FC" w:color="auto" w:val="clear"/>
            <w:tcMar>
              <w:top w:type="dxa" w:w="60"/>
              <w:left w:type="dxa" w:w="100"/>
              <w:bottom w:type="dxa" w:w="60"/>
              <w:right w:type="dxa" w:w="100"/>
            </w:tcMar>
          </w:tcPr>
          <w:p>
            <w:pPr>
              <w:spacing w:after="0" w:line="250"/>
            </w:pPr>
            <w:r>
              <w:rPr>
                <w:b w:val="false"/>
                <w:bCs w:val="false"/>
                <w:sz w:val="20"/>
                <w:szCs w:val="20"/>
              </w:rPr>
              <w:t xml:space="preserve">3.0 – 3.8</w:t>
            </w:r>
          </w:p>
        </w:tc>
        <w:tc>
          <w:tcPr>
            <w:tcW w:type="dxa" w:w="3060"/>
            <w:shd w:fill="F5F8FC" w:color="auto" w:val="clear"/>
            <w:tcMar>
              <w:top w:type="dxa" w:w="60"/>
              <w:left w:type="dxa" w:w="100"/>
              <w:bottom w:type="dxa" w:w="60"/>
              <w:right w:type="dxa" w:w="100"/>
            </w:tcMar>
          </w:tcPr>
          <w:p>
            <w:pPr>
              <w:spacing w:after="0" w:line="250"/>
            </w:pPr>
            <w:r>
              <w:rPr>
                <w:b w:val="false"/>
                <w:bCs w:val="false"/>
                <w:sz w:val="20"/>
                <w:szCs w:val="20"/>
              </w:rPr>
              <w:t xml:space="preserve">&lt; 4% (Low + Very Low combined)</w:t>
            </w:r>
          </w:p>
        </w:tc>
      </w:tr>
      <w:tr>
        <w:tc>
          <w:tcPr>
            <w:tcW w:type="dxa" w:w="2000"/>
            <w:tcMar>
              <w:top w:type="dxa" w:w="60"/>
              <w:left w:type="dxa" w:w="100"/>
              <w:bottom w:type="dxa" w:w="60"/>
              <w:right w:type="dxa" w:w="100"/>
            </w:tcMar>
          </w:tcPr>
          <w:p>
            <w:pPr>
              <w:spacing w:after="0" w:line="250"/>
            </w:pPr>
            <w:r>
              <w:rPr>
                <w:b w:val="false"/>
                <w:bCs w:val="false"/>
                <w:sz w:val="20"/>
                <w:szCs w:val="20"/>
              </w:rPr>
              <w:t xml:space="preserve">Target</w:t>
            </w:r>
          </w:p>
        </w:tc>
        <w:tc>
          <w:tcPr>
            <w:tcW w:type="dxa" w:w="2100"/>
            <w:tcMar>
              <w:top w:type="dxa" w:w="60"/>
              <w:left w:type="dxa" w:w="100"/>
              <w:bottom w:type="dxa" w:w="60"/>
              <w:right w:type="dxa" w:w="100"/>
            </w:tcMar>
          </w:tcPr>
          <w:p>
            <w:pPr>
              <w:spacing w:after="0" w:line="250"/>
            </w:pPr>
            <w:r>
              <w:rPr>
                <w:b w:val="false"/>
                <w:bCs w:val="false"/>
                <w:sz w:val="20"/>
                <w:szCs w:val="20"/>
              </w:rPr>
              <w:t xml:space="preserve">70 – 180</w:t>
            </w:r>
          </w:p>
        </w:tc>
        <w:tc>
          <w:tcPr>
            <w:tcW w:type="dxa" w:w="2200"/>
            <w:tcMar>
              <w:top w:type="dxa" w:w="60"/>
              <w:left w:type="dxa" w:w="100"/>
              <w:bottom w:type="dxa" w:w="60"/>
              <w:right w:type="dxa" w:w="100"/>
            </w:tcMar>
          </w:tcPr>
          <w:p>
            <w:pPr>
              <w:spacing w:after="0" w:line="250"/>
            </w:pPr>
            <w:r>
              <w:rPr>
                <w:b w:val="false"/>
                <w:bCs w:val="false"/>
                <w:sz w:val="20"/>
                <w:szCs w:val="20"/>
              </w:rPr>
              <w:t xml:space="preserve">3.9 – 10.0</w:t>
            </w:r>
          </w:p>
        </w:tc>
        <w:tc>
          <w:tcPr>
            <w:tcW w:type="dxa" w:w="3060"/>
            <w:tcMar>
              <w:top w:type="dxa" w:w="60"/>
              <w:left w:type="dxa" w:w="100"/>
              <w:bottom w:type="dxa" w:w="60"/>
              <w:right w:type="dxa" w:w="100"/>
            </w:tcMar>
          </w:tcPr>
          <w:p>
            <w:pPr>
              <w:spacing w:after="0" w:line="250"/>
            </w:pPr>
            <w:r>
              <w:rPr>
                <w:b w:val="false"/>
                <w:bCs w:val="false"/>
                <w:sz w:val="20"/>
                <w:szCs w:val="20"/>
              </w:rPr>
              <w:t xml:space="preserve">&gt; 70%</w:t>
            </w:r>
          </w:p>
        </w:tc>
      </w:tr>
      <w:tr>
        <w:tc>
          <w:tcPr>
            <w:tcW w:type="dxa" w:w="2000"/>
            <w:shd w:fill="F5F8FC" w:color="auto" w:val="clear"/>
            <w:tcMar>
              <w:top w:type="dxa" w:w="60"/>
              <w:left w:type="dxa" w:w="100"/>
              <w:bottom w:type="dxa" w:w="60"/>
              <w:right w:type="dxa" w:w="100"/>
            </w:tcMar>
          </w:tcPr>
          <w:p>
            <w:pPr>
              <w:spacing w:after="0" w:line="250"/>
            </w:pPr>
            <w:r>
              <w:rPr>
                <w:b w:val="false"/>
                <w:bCs w:val="false"/>
                <w:sz w:val="20"/>
                <w:szCs w:val="20"/>
              </w:rPr>
              <w:t xml:space="preserve">High</w:t>
            </w:r>
          </w:p>
        </w:tc>
        <w:tc>
          <w:tcPr>
            <w:tcW w:type="dxa" w:w="2100"/>
            <w:shd w:fill="F5F8FC" w:color="auto" w:val="clear"/>
            <w:tcMar>
              <w:top w:type="dxa" w:w="60"/>
              <w:left w:type="dxa" w:w="100"/>
              <w:bottom w:type="dxa" w:w="60"/>
              <w:right w:type="dxa" w:w="100"/>
            </w:tcMar>
          </w:tcPr>
          <w:p>
            <w:pPr>
              <w:spacing w:after="0" w:line="250"/>
            </w:pPr>
            <w:r>
              <w:rPr>
                <w:b w:val="false"/>
                <w:bCs w:val="false"/>
                <w:sz w:val="20"/>
                <w:szCs w:val="20"/>
              </w:rPr>
              <w:t xml:space="preserve">181 – 250</w:t>
            </w:r>
          </w:p>
        </w:tc>
        <w:tc>
          <w:tcPr>
            <w:tcW w:type="dxa" w:w="2200"/>
            <w:shd w:fill="F5F8FC" w:color="auto" w:val="clear"/>
            <w:tcMar>
              <w:top w:type="dxa" w:w="60"/>
              <w:left w:type="dxa" w:w="100"/>
              <w:bottom w:type="dxa" w:w="60"/>
              <w:right w:type="dxa" w:w="100"/>
            </w:tcMar>
          </w:tcPr>
          <w:p>
            <w:pPr>
              <w:spacing w:after="0" w:line="250"/>
            </w:pPr>
            <w:r>
              <w:rPr>
                <w:b w:val="false"/>
                <w:bCs w:val="false"/>
                <w:sz w:val="20"/>
                <w:szCs w:val="20"/>
              </w:rPr>
              <w:t xml:space="preserve">10.1 – 13.9</w:t>
            </w:r>
          </w:p>
        </w:tc>
        <w:tc>
          <w:tcPr>
            <w:tcW w:type="dxa" w:w="3060"/>
            <w:shd w:fill="F5F8FC" w:color="auto" w:val="clear"/>
            <w:tcMar>
              <w:top w:type="dxa" w:w="60"/>
              <w:left w:type="dxa" w:w="100"/>
              <w:bottom w:type="dxa" w:w="60"/>
              <w:right w:type="dxa" w:w="100"/>
            </w:tcMar>
          </w:tcPr>
          <w:p>
            <w:pPr>
              <w:spacing w:after="0" w:line="250"/>
            </w:pPr>
            <w:r>
              <w:rPr>
                <w:b w:val="false"/>
                <w:bCs w:val="false"/>
                <w:sz w:val="20"/>
                <w:szCs w:val="20"/>
              </w:rPr>
              <w:t xml:space="preserve">&lt; 25% (High + Very High combined)</w:t>
            </w:r>
          </w:p>
        </w:tc>
      </w:tr>
      <w:tr>
        <w:tc>
          <w:tcPr>
            <w:tcW w:type="dxa" w:w="2000"/>
            <w:tcMar>
              <w:top w:type="dxa" w:w="60"/>
              <w:left w:type="dxa" w:w="100"/>
              <w:bottom w:type="dxa" w:w="60"/>
              <w:right w:type="dxa" w:w="100"/>
            </w:tcMar>
          </w:tcPr>
          <w:p>
            <w:pPr>
              <w:spacing w:after="0" w:line="250"/>
            </w:pPr>
            <w:r>
              <w:rPr>
                <w:b w:val="false"/>
                <w:bCs w:val="false"/>
                <w:sz w:val="20"/>
                <w:szCs w:val="20"/>
              </w:rPr>
              <w:t xml:space="preserve">Very High</w:t>
            </w:r>
          </w:p>
        </w:tc>
        <w:tc>
          <w:tcPr>
            <w:tcW w:type="dxa" w:w="2100"/>
            <w:tcMar>
              <w:top w:type="dxa" w:w="60"/>
              <w:left w:type="dxa" w:w="100"/>
              <w:bottom w:type="dxa" w:w="60"/>
              <w:right w:type="dxa" w:w="100"/>
            </w:tcMar>
          </w:tcPr>
          <w:p>
            <w:pPr>
              <w:spacing w:after="0" w:line="250"/>
            </w:pPr>
            <w:r>
              <w:rPr>
                <w:b w:val="false"/>
                <w:bCs w:val="false"/>
                <w:sz w:val="20"/>
                <w:szCs w:val="20"/>
              </w:rPr>
              <w:t xml:space="preserve">&gt; 250</w:t>
            </w:r>
          </w:p>
        </w:tc>
        <w:tc>
          <w:tcPr>
            <w:tcW w:type="dxa" w:w="2200"/>
            <w:tcMar>
              <w:top w:type="dxa" w:w="60"/>
              <w:left w:type="dxa" w:w="100"/>
              <w:bottom w:type="dxa" w:w="60"/>
              <w:right w:type="dxa" w:w="100"/>
            </w:tcMar>
          </w:tcPr>
          <w:p>
            <w:pPr>
              <w:spacing w:after="0" w:line="250"/>
            </w:pPr>
            <w:r>
              <w:rPr>
                <w:b w:val="false"/>
                <w:bCs w:val="false"/>
                <w:sz w:val="20"/>
                <w:szCs w:val="20"/>
              </w:rPr>
              <w:t xml:space="preserve">&gt; 13.9</w:t>
            </w:r>
          </w:p>
        </w:tc>
        <w:tc>
          <w:tcPr>
            <w:tcW w:type="dxa" w:w="3060"/>
            <w:tcMar>
              <w:top w:type="dxa" w:w="60"/>
              <w:left w:type="dxa" w:w="100"/>
              <w:bottom w:type="dxa" w:w="60"/>
              <w:right w:type="dxa" w:w="100"/>
            </w:tcMar>
          </w:tcPr>
          <w:p>
            <w:pPr>
              <w:spacing w:after="0" w:line="250"/>
            </w:pPr>
            <w:r>
              <w:rPr>
                <w:b w:val="false"/>
                <w:bCs w:val="false"/>
                <w:sz w:val="20"/>
                <w:szCs w:val="20"/>
              </w:rPr>
              <w:t xml:space="preserve">&lt; 5%</w:t>
            </w:r>
          </w:p>
        </w:tc>
      </w:tr>
    </w:tbl>
    <w:p>
      <w:pPr>
        <w:spacing w:after="100"/>
      </w:pPr>
    </w:p>
    <w:p>
      <w:pPr>
        <w:pStyle w:val="ListParagraph"/>
        <w:numPr>
          <w:ilvl w:val="0"/>
          <w:numId w:val="2"/>
        </w:numPr>
        <w:spacing w:after="80" w:line="276"/>
      </w:pPr>
      <w:r>
        <w:rPr>
          <w:b/>
          <w:bCs/>
        </w:rPr>
        <w:t xml:space="preserve">Average</w:t>
      </w:r>
      <w:r>
        <w:rPr>
          <w:b w:val="false"/>
          <w:bCs w:val="false"/>
        </w:rPr>
        <w:t xml:space="preserve"> glucose over the window.</w:t>
      </w:r>
    </w:p>
    <w:p>
      <w:pPr>
        <w:pStyle w:val="ListParagraph"/>
        <w:numPr>
          <w:ilvl w:val="0"/>
          <w:numId w:val="2"/>
        </w:numPr>
        <w:spacing w:after="80" w:line="276"/>
      </w:pPr>
      <w:r>
        <w:rPr>
          <w:b/>
          <w:bCs/>
        </w:rPr>
        <w:t xml:space="preserve">Coefficient of variation (CV%)</w:t>
      </w:r>
      <w:r>
        <w:rPr>
          <w:b w:val="false"/>
          <w:bCs w:val="false"/>
        </w:rPr>
        <w:t xml:space="preserve"> = SD / mean × 100. Target &lt; 36%. This is the standard glycaemic-variability metric and is more interpretable than raw SD, which is reported alongside it but de-emphasised.</w:t>
      </w:r>
    </w:p>
    <w:p>
      <w:pPr>
        <w:pStyle w:val="ListParagraph"/>
        <w:numPr>
          <w:ilvl w:val="0"/>
          <w:numId w:val="2"/>
        </w:numPr>
        <w:spacing w:after="80" w:line="276"/>
      </w:pPr>
      <w:r>
        <w:rPr>
          <w:b/>
          <w:bCs/>
        </w:rPr>
        <w:t xml:space="preserve">Standard deviation</w:t>
      </w:r>
      <w:r>
        <w:rPr>
          <w:b w:val="false"/>
          <w:bCs w:val="false"/>
        </w:rPr>
        <w:t xml:space="preserve">, retained for continuity.</w:t>
      </w:r>
    </w:p>
    <w:p>
      <w:pPr>
        <w:pStyle w:val="ListParagraph"/>
        <w:numPr>
          <w:ilvl w:val="0"/>
          <w:numId w:val="2"/>
        </w:numPr>
        <w:spacing w:after="80" w:line="276"/>
      </w:pPr>
      <w:r>
        <w:rPr>
          <w:b/>
          <w:bCs/>
        </w:rPr>
        <w:t xml:space="preserve">GMI</w:t>
      </w:r>
      <w:r>
        <w:rPr>
          <w:b w:val="false"/>
          <w:bCs w:val="false"/>
        </w:rPr>
        <w:t xml:space="preserve">, computed as </w:t>
      </w:r>
      <w:r>
        <w:rPr>
          <w:rFonts w:ascii="Consolas" w:cs="Consolas" w:eastAsia="Consolas" w:hAnsi="Consolas"/>
          <w:b w:val="false"/>
          <w:bCs w:val="false"/>
          <w:sz w:val="19"/>
          <w:szCs w:val="19"/>
        </w:rPr>
        <w:t xml:space="preserve">GMI(%) = 3.31 + 0.02392 × mean mg/dL</w:t>
      </w:r>
      <w:r>
        <w:rPr>
          <w:b w:val="false"/>
          <w:bCs w:val="false"/>
        </w:rPr>
        <w:t xml:space="preserve"> (equivalently </w:t>
      </w:r>
      <w:r>
        <w:rPr>
          <w:rFonts w:ascii="Consolas" w:cs="Consolas" w:eastAsia="Consolas" w:hAnsi="Consolas"/>
          <w:b w:val="false"/>
          <w:bCs w:val="false"/>
          <w:sz w:val="19"/>
          <w:szCs w:val="19"/>
        </w:rPr>
        <w:t xml:space="preserve">12.71 + 4.70587 × mean mmol/L</w:t>
      </w:r>
      <w:r>
        <w:rPr>
          <w:b w:val="false"/>
          <w:bCs w:val="false"/>
        </w:rPr>
        <w:t xml:space="preserve">). </w:t>
      </w:r>
      <w:r>
        <w:rPr>
          <w:b/>
          <w:bCs/>
        </w:rPr>
        <w:t xml:space="preserve">GMI is displayed only for windows of 14 days or longer with at least 70% data capture.</w:t>
      </w:r>
      <w:r>
        <w:rPr>
          <w:b w:val="false"/>
          <w:bCs w:val="false"/>
        </w:rPr>
        <w:t xml:space="preserve"> Below that threshold it is statistically meaningless and is hidden rather than shown with a caveat. v1.1 would have rendered a GMI for a 3-hour window.</w:t>
      </w:r>
    </w:p>
    <w:p>
      <w:pPr>
        <w:pStyle w:val="ListParagraph"/>
        <w:numPr>
          <w:ilvl w:val="0"/>
          <w:numId w:val="2"/>
        </w:numPr>
        <w:spacing w:after="80" w:line="276"/>
      </w:pPr>
      <w:r>
        <w:rPr>
          <w:b/>
          <w:bCs/>
        </w:rPr>
        <w:t xml:space="preserve">Data capture %</w:t>
      </w:r>
      <w:r>
        <w:rPr>
          <w:b w:val="false"/>
          <w:bCs w:val="false"/>
        </w:rPr>
        <w:t xml:space="preserve"> — the proportion of expected 5-minute samples actually present. Every other statistic in this list is unreliable below ~70% capture, so it is shown next to them, not buried.</w:t>
      </w:r>
    </w:p>
    <w:p>
      <w:pPr>
        <w:spacing w:after="100" w:before="180"/>
      </w:pPr>
      <w:r>
        <w:rPr>
          <w:b/>
          <w:bCs/>
          <w:color w:val="1F4D78"/>
        </w:rPr>
        <w:t xml:space="preserve">Ambulatory Glucose Profile</w:t>
      </w:r>
    </w:p>
    <w:p>
      <w:pPr>
        <w:spacing w:after="120" w:line="276"/>
      </w:pPr>
      <w:r>
        <w:rPr>
          <w:b w:val="false"/>
          <w:bCs w:val="false"/>
        </w:rPr>
        <w:t xml:space="preserve">A true AGP is not an overlay of raw daily curves. Readings are binned by time of day (30-minute bins) across the selected window, and the chart renders </w:t>
      </w:r>
      <w:r>
        <w:rPr>
          <w:b/>
          <w:bCs/>
        </w:rPr>
        <w:t xml:space="preserve">percentile bands</w:t>
      </w:r>
      <w:r>
        <w:rPr>
          <w:b w:val="false"/>
          <w:bCs w:val="false"/>
        </w:rPr>
        <w:t xml:space="preserve"> — 5th, 25th, 50th (median), 75th, and 95th — as nested shaded regions with the median as a solid line.</w:t>
      </w:r>
    </w:p>
    <w:p>
      <w:pPr>
        <w:spacing w:after="120" w:line="276"/>
      </w:pPr>
      <w:r>
        <w:rPr>
          <w:b w:val="false"/>
          <w:bCs w:val="false"/>
        </w:rPr>
        <w:t xml:space="preserve">v1.1 described stacking 14 days of raw curves, which is a spaghetti plot, and then promised a v3 “PDF export styled like the AGP report.” Building the percentile computation in v1 makes the v3 export a rendering exercise rather than a new feature.</w:t>
      </w:r>
    </w:p>
    <w:p>
      <w:pPr>
        <w:pBdr>
          <w:left w:val="single" w:color="BFD3E6" w:sz="12" w:space="8"/>
        </w:pBdr>
        <w:spacing w:after="160" w:line="260"/>
        <w:ind w:left="180"/>
      </w:pPr>
      <w:r>
        <w:rPr>
          <w:b w:val="false"/>
          <w:bCs w:val="false"/>
          <w:i/>
          <w:iCs/>
          <w:color w:val="595959"/>
          <w:sz w:val="20"/>
          <w:szCs w:val="20"/>
        </w:rPr>
        <w:t xml:space="preserve">Changed in v1.2: five-band TIR, CV%, GMI validity gating, data-capture reporting, and percentile-band AGP are all new or corrected.</w:t>
      </w:r>
    </w:p>
    <w:p>
      <w:pPr>
        <w:pStyle w:val="Heading3"/>
        <w:spacing w:after="120" w:before="220"/>
      </w:pPr>
      <w:r>
        <w:rPr>
          <w:b w:val="false"/>
          <w:bCs w:val="false"/>
        </w:rPr>
        <w:t xml:space="preserve">3.1.6 Settings</w:t>
      </w:r>
    </w:p>
    <w:p>
      <w:pPr>
        <w:pStyle w:val="ListParagraph"/>
        <w:numPr>
          <w:ilvl w:val="0"/>
          <w:numId w:val="2"/>
        </w:numPr>
        <w:spacing w:after="80" w:line="276"/>
      </w:pPr>
      <w:r>
        <w:rPr>
          <w:b/>
          <w:bCs/>
        </w:rPr>
        <w:t xml:space="preserve">Dexcom Share</w:t>
      </w:r>
      <w:r>
        <w:rPr>
          <w:b w:val="false"/>
          <w:bCs w:val="false"/>
        </w:rPr>
        <w:t xml:space="preserve"> credentials and region (optional; the app is fully functional in HealthKit-only mode).</w:t>
      </w:r>
    </w:p>
    <w:p>
      <w:pPr>
        <w:pStyle w:val="ListParagraph"/>
        <w:numPr>
          <w:ilvl w:val="0"/>
          <w:numId w:val="2"/>
        </w:numPr>
        <w:spacing w:after="80" w:line="276"/>
      </w:pPr>
      <w:r>
        <w:rPr>
          <w:b/>
          <w:bCs/>
        </w:rPr>
        <w:t xml:space="preserve">HealthKit permission status</w:t>
      </w:r>
      <w:r>
        <w:rPr>
          <w:b w:val="false"/>
          <w:bCs w:val="false"/>
        </w:rPr>
        <w:t xml:space="preserve"> with a shortcut to Settings.app if denied, listed per data type.</w:t>
      </w:r>
    </w:p>
    <w:p>
      <w:pPr>
        <w:pStyle w:val="ListParagraph"/>
        <w:numPr>
          <w:ilvl w:val="0"/>
          <w:numId w:val="2"/>
        </w:numPr>
        <w:spacing w:after="80" w:line="276"/>
      </w:pPr>
      <w:r>
        <w:rPr>
          <w:b/>
          <w:bCs/>
        </w:rPr>
        <w:t xml:space="preserve">Active source indicator</w:t>
      </w:r>
      <w:r>
        <w:rPr>
          <w:b w:val="false"/>
          <w:bCs w:val="false"/>
        </w:rPr>
        <w:t xml:space="preserve"> showing which source provided the most recent reading.</w:t>
      </w:r>
    </w:p>
    <w:p>
      <w:pPr>
        <w:pStyle w:val="ListParagraph"/>
        <w:numPr>
          <w:ilvl w:val="0"/>
          <w:numId w:val="2"/>
        </w:numPr>
        <w:spacing w:after="80" w:line="276"/>
      </w:pPr>
      <w:r>
        <w:rPr>
          <w:b/>
          <w:bCs/>
        </w:rPr>
        <w:t xml:space="preserve">Units</w:t>
      </w:r>
      <w:r>
        <w:rPr>
          <w:b w:val="false"/>
          <w:bCs w:val="false"/>
        </w:rPr>
        <w:t xml:space="preserve"> (mg/dL or mmol/L).</w:t>
      </w:r>
    </w:p>
    <w:p>
      <w:pPr>
        <w:pStyle w:val="ListParagraph"/>
        <w:numPr>
          <w:ilvl w:val="0"/>
          <w:numId w:val="2"/>
        </w:numPr>
        <w:spacing w:after="80" w:line="276"/>
      </w:pPr>
      <w:r>
        <w:rPr>
          <w:b/>
          <w:bCs/>
        </w:rPr>
        <w:t xml:space="preserve">Target range</w:t>
      </w:r>
      <w:r>
        <w:rPr>
          <w:b w:val="false"/>
          <w:bCs w:val="false"/>
        </w:rPr>
        <w:t xml:space="preserve"> (default 70–180 mg/dL, fully editable). Band thresholds for Very Low/Very High are fixed at the consensus values and are not user-editable, because editing them would silently invalidate comparison against clinical targets.</w:t>
      </w:r>
    </w:p>
    <w:p>
      <w:pPr>
        <w:pStyle w:val="ListParagraph"/>
        <w:numPr>
          <w:ilvl w:val="0"/>
          <w:numId w:val="2"/>
        </w:numPr>
        <w:spacing w:after="80" w:line="276"/>
      </w:pPr>
      <w:r>
        <w:rPr>
          <w:b/>
          <w:bCs/>
        </w:rPr>
        <w:t xml:space="preserve">Insulin sensitivity factor (ISF)</w:t>
      </w:r>
      <w:r>
        <w:rPr>
          <w:b w:val="false"/>
          <w:bCs w:val="false"/>
        </w:rPr>
        <w:t xml:space="preserve"> — mg/dL drop per unit. Required by the prediction engine (§4.4). No default is guessed; the field is empty until the user enters a value, and the meal-response forecast is disabled until then.</w:t>
      </w:r>
    </w:p>
    <w:p>
      <w:pPr>
        <w:pStyle w:val="ListParagraph"/>
        <w:numPr>
          <w:ilvl w:val="0"/>
          <w:numId w:val="2"/>
        </w:numPr>
        <w:spacing w:after="80" w:line="276"/>
      </w:pPr>
      <w:r>
        <w:rPr>
          <w:b/>
          <w:bCs/>
        </w:rPr>
        <w:t xml:space="preserve">Insulin-to-carb ratio (ICR)</w:t>
      </w:r>
      <w:r>
        <w:rPr>
          <w:b w:val="false"/>
          <w:bCs w:val="false"/>
        </w:rPr>
        <w:t xml:space="preserve"> — grams covered per unit. Same treatment as ISF.</w:t>
      </w:r>
    </w:p>
    <w:p>
      <w:pPr>
        <w:pStyle w:val="ListParagraph"/>
        <w:numPr>
          <w:ilvl w:val="0"/>
          <w:numId w:val="2"/>
        </w:numPr>
        <w:spacing w:after="80" w:line="276"/>
      </w:pPr>
      <w:r>
        <w:rPr>
          <w:b/>
          <w:bCs/>
        </w:rPr>
        <w:t xml:space="preserve">Insulin action curve</w:t>
      </w:r>
      <w:r>
        <w:rPr>
          <w:b w:val="false"/>
          <w:bCs w:val="false"/>
        </w:rPr>
        <w:t xml:space="preserve"> — peak time and duration of action per insulin type (§4.4), pre-filled with the defaults in that section and editable.</w:t>
      </w:r>
    </w:p>
    <w:p>
      <w:pPr>
        <w:pStyle w:val="ListParagraph"/>
        <w:numPr>
          <w:ilvl w:val="0"/>
          <w:numId w:val="2"/>
        </w:numPr>
        <w:spacing w:after="80" w:line="276"/>
      </w:pPr>
      <w:r>
        <w:rPr>
          <w:b/>
          <w:bCs/>
        </w:rPr>
        <w:t xml:space="preserve">Carb absorption time</w:t>
      </w:r>
      <w:r>
        <w:rPr>
          <w:b w:val="false"/>
          <w:bCs w:val="false"/>
        </w:rPr>
        <w:t xml:space="preserve"> — default 180 minutes, with faster and slower presets.</w:t>
      </w:r>
    </w:p>
    <w:p>
      <w:pPr>
        <w:pStyle w:val="ListParagraph"/>
        <w:numPr>
          <w:ilvl w:val="0"/>
          <w:numId w:val="2"/>
        </w:numPr>
        <w:spacing w:after="80" w:line="276"/>
      </w:pPr>
      <w:r>
        <w:rPr>
          <w:b/>
          <w:bCs/>
        </w:rPr>
        <w:t xml:space="preserve">Theme and Bedside Mode schedule.</w:t>
      </w:r>
    </w:p>
    <w:p>
      <w:pPr>
        <w:pStyle w:val="ListParagraph"/>
        <w:numPr>
          <w:ilvl w:val="0"/>
          <w:numId w:val="2"/>
        </w:numPr>
        <w:spacing w:after="80" w:line="276"/>
      </w:pPr>
      <w:r>
        <w:rPr>
          <w:b/>
          <w:bCs/>
        </w:rPr>
        <w:t xml:space="preserve">Export and backup</w:t>
      </w:r>
      <w:r>
        <w:rPr>
          <w:b w:val="false"/>
          <w:bCs w:val="false"/>
        </w:rPr>
        <w:t xml:space="preserve"> (§3.1.7).</w:t>
      </w:r>
    </w:p>
    <w:p>
      <w:pPr>
        <w:pStyle w:val="ListParagraph"/>
        <w:numPr>
          <w:ilvl w:val="0"/>
          <w:numId w:val="2"/>
        </w:numPr>
        <w:spacing w:after="80" w:line="276"/>
      </w:pPr>
      <w:r>
        <w:rPr>
          <w:b/>
          <w:bCs/>
        </w:rPr>
        <w:t xml:space="preserve">Diagnostics</w:t>
      </w:r>
      <w:r>
        <w:rPr>
          <w:b w:val="false"/>
          <w:bCs w:val="false"/>
        </w:rPr>
        <w:t xml:space="preserve"> — local-only log of source errors, parse failures, and background wake events, with a copy-to-clipboard action. For an app talking to an undocumented API, this is what makes a 2am failure debuggable.</w:t>
      </w:r>
    </w:p>
    <w:p>
      <w:pPr>
        <w:pStyle w:val="ListParagraph"/>
        <w:numPr>
          <w:ilvl w:val="0"/>
          <w:numId w:val="2"/>
        </w:numPr>
        <w:spacing w:after="80" w:line="276"/>
      </w:pPr>
      <w:r>
        <w:rPr>
          <w:b/>
          <w:bCs/>
        </w:rPr>
        <w:t xml:space="preserve">Always-visible safety disclaimer.</w:t>
      </w:r>
    </w:p>
    <w:p>
      <w:pPr>
        <w:pStyle w:val="ListParagraph"/>
        <w:numPr>
          <w:ilvl w:val="0"/>
          <w:numId w:val="2"/>
        </w:numPr>
        <w:spacing w:after="80" w:line="276"/>
      </w:pPr>
      <w:r>
        <w:rPr>
          <w:b/>
          <w:bCs/>
        </w:rPr>
        <w:t xml:space="preserve">Sign out and clear local data</w:t>
      </w:r>
      <w:r>
        <w:rPr>
          <w:b w:val="false"/>
          <w:bCs w:val="false"/>
        </w:rPr>
        <w:t xml:space="preserve">, with an explicit confirmation naming how many readings and events will be destroyed.</w:t>
      </w:r>
    </w:p>
    <w:p>
      <w:pPr>
        <w:pBdr>
          <w:left w:val="single" w:color="BFD3E6" w:sz="12" w:space="8"/>
        </w:pBdr>
        <w:spacing w:after="160" w:line="260"/>
        <w:ind w:left="180"/>
      </w:pPr>
      <w:r>
        <w:rPr>
          <w:b w:val="false"/>
          <w:bCs w:val="false"/>
          <w:i/>
          <w:iCs/>
          <w:color w:val="595959"/>
          <w:sz w:val="20"/>
          <w:szCs w:val="20"/>
        </w:rPr>
        <w:t xml:space="preserve">Changed in v1.2: ISF, ICR, insulin action curve, carb absorption, and export/backup are new. ISF and ICR were mathematically required by v1.1's §4.4 but appeared in neither its settings nor its data model.</w:t>
      </w:r>
    </w:p>
    <w:p>
      <w:pPr>
        <w:pStyle w:val="Heading3"/>
        <w:spacing w:after="120" w:before="220"/>
      </w:pPr>
      <w:r>
        <w:rPr>
          <w:b w:val="false"/>
          <w:bCs w:val="false"/>
        </w:rPr>
        <w:t xml:space="preserve">3.1.7 Export &amp; Backup</w:t>
      </w:r>
    </w:p>
    <w:p>
      <w:pPr>
        <w:pBdr>
          <w:left w:val="single" w:color="BFD3E6" w:sz="12" w:space="8"/>
        </w:pBdr>
        <w:spacing w:after="160" w:line="260"/>
        <w:ind w:left="180"/>
      </w:pPr>
      <w:r>
        <w:rPr>
          <w:b w:val="false"/>
          <w:bCs w:val="false"/>
          <w:i/>
          <w:iCs/>
          <w:color w:val="595959"/>
          <w:sz w:val="20"/>
          <w:szCs w:val="20"/>
        </w:rPr>
        <w:t xml:space="preserve">New in v1.2. v1.1 had no path for getting data out of the app before v3's iCloud sync — an unacceptable single point of failure for years of personal medical history.</w:t>
      </w:r>
    </w:p>
    <w:p>
      <w:pPr>
        <w:pStyle w:val="ListParagraph"/>
        <w:numPr>
          <w:ilvl w:val="0"/>
          <w:numId w:val="2"/>
        </w:numPr>
        <w:spacing w:after="80" w:line="276"/>
      </w:pPr>
      <w:r>
        <w:rPr>
          <w:b/>
          <w:bCs/>
        </w:rPr>
        <w:t xml:space="preserve">Full export:</w:t>
      </w:r>
      <w:r>
        <w:rPr>
          <w:b w:val="false"/>
          <w:bCs w:val="false"/>
        </w:rPr>
        <w:t xml:space="preserve"> all readings and events as CSV and JSON, via the standard share sheet.</w:t>
      </w:r>
    </w:p>
    <w:p>
      <w:pPr>
        <w:pStyle w:val="ListParagraph"/>
        <w:numPr>
          <w:ilvl w:val="0"/>
          <w:numId w:val="2"/>
        </w:numPr>
        <w:spacing w:after="80" w:line="276"/>
      </w:pPr>
      <w:r>
        <w:rPr>
          <w:b/>
          <w:bCs/>
        </w:rPr>
        <w:t xml:space="preserve">Database backup:</w:t>
      </w:r>
      <w:r>
        <w:rPr>
          <w:b w:val="false"/>
          <w:bCs w:val="false"/>
        </w:rPr>
        <w:t xml:space="preserve"> a single-file export of the SwiftData store, restorable on a fresh install. Manual, plus an automatic weekly write to the user's iCloud Drive folder if enabled.</w:t>
      </w:r>
    </w:p>
    <w:p>
      <w:pPr>
        <w:pStyle w:val="ListParagraph"/>
        <w:numPr>
          <w:ilvl w:val="0"/>
          <w:numId w:val="2"/>
        </w:numPr>
        <w:spacing w:after="80" w:line="276"/>
      </w:pPr>
      <w:r>
        <w:rPr>
          <w:b/>
          <w:bCs/>
        </w:rPr>
        <w:t xml:space="preserve">Nightscout-compatible JSON</w:t>
      </w:r>
      <w:r>
        <w:rPr>
          <w:b w:val="false"/>
          <w:bCs w:val="false"/>
        </w:rPr>
        <w:t xml:space="preserve"> for entries and treatments, so the data is portable into the wider T1D tooling ecosystem rather than trapped in this app.</w:t>
      </w:r>
    </w:p>
    <w:p>
      <w:pPr>
        <w:spacing w:after="120" w:line="276"/>
      </w:pPr>
      <w:r>
        <w:rPr>
          <w:b w:val="false"/>
          <w:bCs w:val="false"/>
        </w:rPr>
        <w:t xml:space="preserve">This ships in v1, not v3. Everything else in the app can be rebuilt; the readings cannot.</w:t>
      </w:r>
    </w:p>
    <w:p>
      <w:pPr>
        <w:pStyle w:val="Heading2"/>
        <w:spacing w:after="140" w:before="280"/>
      </w:pPr>
      <w:r>
        <w:rPr>
          <w:b w:val="false"/>
          <w:bCs w:val="false"/>
        </w:rPr>
        <w:t xml:space="preserve">3.2 v2 — Logging, Prediction &amp; Glanceable Surfaces</w:t>
      </w:r>
    </w:p>
    <w:p>
      <w:pPr>
        <w:pStyle w:val="Heading3"/>
        <w:spacing w:after="120" w:before="220"/>
      </w:pPr>
      <w:r>
        <w:rPr>
          <w:b w:val="false"/>
          <w:bCs w:val="false"/>
        </w:rPr>
        <w:t xml:space="preserve">3.2.1 Event Logging</w:t>
      </w:r>
    </w:p>
    <w:p>
      <w:pPr>
        <w:pStyle w:val="ListParagraph"/>
        <w:numPr>
          <w:ilvl w:val="0"/>
          <w:numId w:val="2"/>
        </w:numPr>
        <w:spacing w:after="80" w:line="276"/>
      </w:pPr>
      <w:r>
        <w:rPr>
          <w:b/>
          <w:bCs/>
        </w:rPr>
        <w:t xml:space="preserve">Meal log:</w:t>
      </w:r>
      <w:r>
        <w:rPr>
          <w:b w:val="false"/>
          <w:bCs w:val="false"/>
        </w:rPr>
        <w:t xml:space="preserve"> photo, carb count in grams, optional notes, optional meal tag (breakfast/lunch/dinner/snack), and an optional name that links it to the food memory (§3.2.5). Carbs are entered in grams only — a second “S/M/L” unit system would have to be reconciled with ICR arithmetic for no real speed gain (§8). A quick-pick row of the user's own recent and frequent entries provides the speed instead.</w:t>
      </w:r>
    </w:p>
    <w:p>
      <w:pPr>
        <w:pStyle w:val="ListParagraph"/>
        <w:numPr>
          <w:ilvl w:val="0"/>
          <w:numId w:val="2"/>
        </w:numPr>
        <w:spacing w:after="80" w:line="276"/>
      </w:pPr>
      <w:r>
        <w:rPr>
          <w:b/>
          <w:bCs/>
        </w:rPr>
        <w:t xml:space="preserve">Insulin log:</w:t>
      </w:r>
      <w:r>
        <w:rPr>
          <w:b w:val="false"/>
          <w:bCs w:val="false"/>
        </w:rPr>
        <w:t xml:space="preserve"> units, type, optional injection site. Type carries the action curve parameters used by the IOB calculation, so what matters is the curve, not the brand name — a short pre-seeded list is offered with free-text entry allowed, and every entry maps to an editable peak/duration pair (§8).</w:t>
      </w:r>
    </w:p>
    <w:p>
      <w:pPr>
        <w:pStyle w:val="ListParagraph"/>
        <w:numPr>
          <w:ilvl w:val="0"/>
          <w:numId w:val="2"/>
        </w:numPr>
        <w:spacing w:after="80" w:line="276"/>
      </w:pPr>
      <w:r>
        <w:rPr>
          <w:b/>
          <w:bCs/>
        </w:rPr>
        <w:t xml:space="preserve">Basal insulin is logged but excluded from IOB.</w:t>
      </w:r>
      <w:r>
        <w:rPr>
          <w:b w:val="false"/>
          <w:bCs w:val="false"/>
        </w:rPr>
        <w:t xml:space="preserve"> Long-acting insulin has a fundamentally different action profile and adding it to bolus IOB makes the number meaningless. It appears on the timeline and in its own display, never in the IOB figure used by the forecast.</w:t>
      </w:r>
    </w:p>
    <w:p>
      <w:pPr>
        <w:pStyle w:val="ListParagraph"/>
        <w:numPr>
          <w:ilvl w:val="0"/>
          <w:numId w:val="2"/>
        </w:numPr>
        <w:spacing w:after="80" w:line="276"/>
      </w:pPr>
      <w:r>
        <w:rPr>
          <w:b/>
          <w:bCs/>
        </w:rPr>
        <w:t xml:space="preserve">Exercise log:</w:t>
      </w:r>
      <w:r>
        <w:rPr>
          <w:b w:val="false"/>
          <w:bCs w:val="false"/>
        </w:rPr>
        <w:t xml:space="preserve"> type (cardio/strength/walk/other), duration, perceived intensity (1–5). Auto-suggested from HealthKit workouts so most entries are a confirmation tap rather than a form.</w:t>
      </w:r>
    </w:p>
    <w:p>
      <w:pPr>
        <w:pStyle w:val="ListParagraph"/>
        <w:numPr>
          <w:ilvl w:val="0"/>
          <w:numId w:val="2"/>
        </w:numPr>
        <w:spacing w:after="80" w:line="276"/>
      </w:pPr>
      <w:r>
        <w:rPr>
          <w:b/>
          <w:bCs/>
        </w:rPr>
        <w:t xml:space="preserve">Quick-add</w:t>
      </w:r>
      <w:r>
        <w:rPr>
          <w:b w:val="false"/>
          <w:bCs w:val="false"/>
        </w:rPr>
        <w:t xml:space="preserve"> via App Intents (§3.2.4).</w:t>
      </w:r>
    </w:p>
    <w:p>
      <w:pPr>
        <w:pStyle w:val="ListParagraph"/>
        <w:numPr>
          <w:ilvl w:val="0"/>
          <w:numId w:val="2"/>
        </w:numPr>
        <w:spacing w:after="80" w:line="276"/>
      </w:pPr>
      <w:r>
        <w:rPr>
          <w:b/>
          <w:bCs/>
        </w:rPr>
        <w:t xml:space="preserve">Edit and delete:</w:t>
      </w:r>
      <w:r>
        <w:rPr>
          <w:b w:val="false"/>
          <w:bCs w:val="false"/>
        </w:rPr>
        <w:t xml:space="preserve"> all logged events are editable with an audit trail (created/edited timestamps).</w:t>
      </w:r>
    </w:p>
    <w:p>
      <w:pPr>
        <w:pStyle w:val="Heading3"/>
        <w:spacing w:after="120" w:before="220"/>
      </w:pPr>
      <w:r>
        <w:rPr>
          <w:b w:val="false"/>
          <w:bCs w:val="false"/>
        </w:rPr>
        <w:t xml:space="preserve">3.2.2 Unified Timeline</w:t>
      </w:r>
    </w:p>
    <w:p>
      <w:pPr>
        <w:pStyle w:val="ListParagraph"/>
        <w:numPr>
          <w:ilvl w:val="0"/>
          <w:numId w:val="2"/>
        </w:numPr>
        <w:spacing w:after="80" w:line="276"/>
      </w:pPr>
      <w:r>
        <w:rPr>
          <w:b w:val="false"/>
          <w:bCs w:val="false"/>
        </w:rPr>
        <w:t xml:space="preserve">Glucose curve with overlaid event markers (meal, insulin, exercise glyphs).</w:t>
      </w:r>
    </w:p>
    <w:p>
      <w:pPr>
        <w:pStyle w:val="ListParagraph"/>
        <w:numPr>
          <w:ilvl w:val="0"/>
          <w:numId w:val="2"/>
        </w:numPr>
        <w:spacing w:after="80" w:line="276"/>
      </w:pPr>
      <w:r>
        <w:rPr>
          <w:b w:val="false"/>
          <w:bCs w:val="false"/>
        </w:rPr>
        <w:t xml:space="preserve">Tap an event to see details and the glucose response over the following 1, 2, and 3 hours.</w:t>
      </w:r>
    </w:p>
    <w:p>
      <w:pPr>
        <w:pStyle w:val="ListParagraph"/>
        <w:numPr>
          <w:ilvl w:val="0"/>
          <w:numId w:val="2"/>
        </w:numPr>
        <w:spacing w:after="80" w:line="276"/>
      </w:pPr>
      <w:r>
        <w:rPr>
          <w:b w:val="false"/>
          <w:bCs w:val="false"/>
        </w:rPr>
        <w:t xml:space="preserve">Filter by event type.</w:t>
      </w:r>
    </w:p>
    <w:p>
      <w:pPr>
        <w:pStyle w:val="ListParagraph"/>
        <w:numPr>
          <w:ilvl w:val="0"/>
          <w:numId w:val="2"/>
        </w:numPr>
        <w:spacing w:after="80" w:line="276"/>
      </w:pPr>
      <w:r>
        <w:rPr>
          <w:b w:val="false"/>
          <w:bCs w:val="false"/>
        </w:rPr>
        <w:t xml:space="preserve">Long-press an event to compare it against the median response to the same tagged meal (§3.2.5).</w:t>
      </w:r>
    </w:p>
    <w:p>
      <w:pPr>
        <w:pStyle w:val="Heading3"/>
        <w:spacing w:after="120" w:before="220"/>
      </w:pPr>
      <w:r>
        <w:rPr>
          <w:b w:val="false"/>
          <w:bCs w:val="false"/>
        </w:rPr>
        <w:t xml:space="preserve">3.2.3 Prediction Engine</w:t>
      </w:r>
    </w:p>
    <w:p>
      <w:pPr>
        <w:spacing w:after="120" w:line="276"/>
      </w:pPr>
      <w:r>
        <w:rPr>
          <w:b w:val="false"/>
          <w:bCs w:val="false"/>
        </w:rPr>
        <w:t xml:space="preserve">All prediction is transparent statistics — no machine learning, no black boxes. Every prediction surface carries a “How is this calculated?” link that shows the actual formula and the actual input values used. Full mathematics is in §4.4.</w:t>
      </w:r>
    </w:p>
    <w:p>
      <w:pPr>
        <w:pStyle w:val="ListParagraph"/>
        <w:numPr>
          <w:ilvl w:val="0"/>
          <w:numId w:val="2"/>
        </w:numPr>
        <w:spacing w:after="80" w:line="276"/>
      </w:pPr>
      <w:r>
        <w:rPr>
          <w:b/>
          <w:bCs/>
        </w:rPr>
        <w:t xml:space="preserve">Short-term forecast (15 to 30 min):</w:t>
      </w:r>
      <w:r>
        <w:rPr>
          <w:b w:val="false"/>
          <w:bCs w:val="false"/>
        </w:rPr>
        <w:t xml:space="preserve"> ordinary least-squares regression on the last 30 minutes of readings, projected forward with </w:t>
      </w:r>
      <w:r>
        <w:rPr>
          <w:b/>
          <w:bCs/>
        </w:rPr>
        <w:t xml:space="preserve">exponential damping</w:t>
      </w:r>
      <w:r>
        <w:rPr>
          <w:b w:val="false"/>
          <w:bCs w:val="false"/>
        </w:rPr>
        <w:t xml:space="preserve"> so the projection flattens toward the horizon rather than continuing linearly. Undamped extrapolation overshoots badly at exactly the moments the user cares about — the post-meal peak and the post-correction nadir. The slope is additionally clamped to ±4 mg/dL/min, outside which glucose does not physiologically move.</w:t>
      </w:r>
    </w:p>
    <w:p>
      <w:pPr>
        <w:pStyle w:val="ListParagraph"/>
        <w:numPr>
          <w:ilvl w:val="0"/>
          <w:numId w:val="2"/>
        </w:numPr>
        <w:spacing w:after="80" w:line="276"/>
      </w:pPr>
      <w:r>
        <w:rPr>
          <w:b/>
          <w:bCs/>
        </w:rPr>
        <w:t xml:space="preserve">Confidence band:</w:t>
      </w:r>
      <w:r>
        <w:rPr>
          <w:b w:val="false"/>
          <w:bCs w:val="false"/>
        </w:rPr>
        <w:t xml:space="preserve"> empirical quantiles (10th/90th) of the app's own historical forecast errors at the same horizon, computed by backtesting against the user's own stored data. Not ±1 SD — that assumes residuals are stationary and normally distributed, and glucose residuals are neither (§8).</w:t>
      </w:r>
    </w:p>
    <w:p>
      <w:pPr>
        <w:pStyle w:val="ListParagraph"/>
        <w:numPr>
          <w:ilvl w:val="0"/>
          <w:numId w:val="2"/>
        </w:numPr>
        <w:spacing w:after="80" w:line="276"/>
      </w:pPr>
      <w:r>
        <w:rPr>
          <w:b/>
          <w:bCs/>
        </w:rPr>
        <w:t xml:space="preserve">Post-meal forecast:</w:t>
      </w:r>
      <w:r>
        <w:rPr>
          <w:b w:val="false"/>
          <w:bCs w:val="false"/>
        </w:rPr>
        <w:t xml:space="preserve"> carb absorption and insulin activity combined into an expected curve using the user's ISF and ICR, compared against actual readings as they arrive. The gap between expected and actual is the useful output — it surfaces dosing accuracy.</w:t>
      </w:r>
    </w:p>
    <w:p>
      <w:pPr>
        <w:pStyle w:val="ListParagraph"/>
        <w:numPr>
          <w:ilvl w:val="0"/>
          <w:numId w:val="2"/>
        </w:numPr>
        <w:spacing w:after="80" w:line="276"/>
      </w:pPr>
      <w:r>
        <w:rPr>
          <w:b/>
          <w:bCs/>
        </w:rPr>
        <w:t xml:space="preserve">IOB:</w:t>
      </w:r>
      <w:r>
        <w:rPr>
          <w:b w:val="false"/>
          <w:bCs w:val="false"/>
        </w:rPr>
        <w:t xml:space="preserve"> continuously calculated from logged bolus doses using the bi-exponential model (§4.4), visible as a numeric badge. </w:t>
      </w:r>
      <w:r>
        <w:rPr>
          <w:b/>
          <w:bCs/>
        </w:rPr>
        <w:t xml:space="preserve">COB</w:t>
      </w:r>
      <w:r>
        <w:rPr>
          <w:b w:val="false"/>
          <w:bCs w:val="false"/>
        </w:rPr>
        <w:t xml:space="preserve"> is displayed alongside it.</w:t>
      </w:r>
    </w:p>
    <w:p>
      <w:pPr>
        <w:pStyle w:val="ListParagraph"/>
        <w:numPr>
          <w:ilvl w:val="0"/>
          <w:numId w:val="2"/>
        </w:numPr>
        <w:spacing w:after="80" w:line="276"/>
      </w:pPr>
      <w:r>
        <w:rPr>
          <w:b/>
          <w:bCs/>
        </w:rPr>
        <w:t xml:space="preserve">Exercise adjustment:</w:t>
      </w:r>
      <w:r>
        <w:rPr>
          <w:b w:val="false"/>
          <w:bCs w:val="false"/>
        </w:rPr>
        <w:t xml:space="preserve"> an active or recent exercise event applies a documented multiplier to insulin sensitivity in the forecast. v1.1 logged exercise and then never used it anywhere, despite it being one of the largest drivers of glucose response.</w:t>
      </w:r>
    </w:p>
    <w:p>
      <w:pPr>
        <w:spacing w:after="100" w:before="180"/>
      </w:pPr>
      <w:r>
        <w:rPr>
          <w:b/>
          <w:bCs/>
          <w:color w:val="1F4D78"/>
        </w:rPr>
        <w:t xml:space="preserve">Predicted-low heads-up</w:t>
      </w:r>
    </w:p>
    <w:p>
      <w:pPr>
        <w:spacing w:after="120" w:line="276"/>
      </w:pPr>
      <w:r>
        <w:rPr>
          <w:b w:val="false"/>
          <w:bCs w:val="false"/>
        </w:rPr>
        <w:t xml:space="preserve">When the forecast crosses the low threshold within the horizon, the app surfaces it prominently in-app, on the Live Activity, and on the Watch complication. It does </w:t>
      </w:r>
      <w:r>
        <w:rPr>
          <w:b/>
          <w:bCs/>
        </w:rPr>
        <w:t xml:space="preserve">not</w:t>
      </w:r>
      <w:r>
        <w:rPr>
          <w:b w:val="false"/>
          <w:bCs w:val="false"/>
        </w:rPr>
        <w:t xml:space="preserve"> send a notification (§1.3). This is deliberately a pull, not a push: the official app keeps the alarm, GlucoNoir keeps the foresight.</w:t>
      </w:r>
    </w:p>
    <w:p>
      <w:pPr>
        <w:spacing w:after="120" w:line="276"/>
      </w:pPr>
      <w:r>
        <w:rPr>
          <w:b w:val="false"/>
          <w:bCs w:val="false"/>
        </w:rPr>
        <w:t xml:space="preserve">The heads-up is visually distinct from anything actionable. A prediction curve sitting next to a dose entry field is dose guidance in practice regardless of how it is labelled, so the two never share a screen region.</w:t>
      </w:r>
    </w:p>
    <w:p>
      <w:pPr>
        <w:pStyle w:val="Heading3"/>
        <w:spacing w:after="120" w:before="220"/>
      </w:pPr>
      <w:r>
        <w:rPr>
          <w:b w:val="false"/>
          <w:bCs w:val="false"/>
        </w:rPr>
        <w:t xml:space="preserve">3.2.4 Glanceable Surfaces</w:t>
      </w:r>
    </w:p>
    <w:p>
      <w:pPr>
        <w:pBdr>
          <w:left w:val="single" w:color="BFD3E6" w:sz="12" w:space="8"/>
        </w:pBdr>
        <w:spacing w:after="160" w:line="260"/>
        <w:ind w:left="180"/>
      </w:pPr>
      <w:r>
        <w:rPr>
          <w:b w:val="false"/>
          <w:bCs w:val="false"/>
          <w:i/>
          <w:iCs/>
          <w:color w:val="595959"/>
          <w:sz w:val="20"/>
          <w:szCs w:val="20"/>
        </w:rPr>
        <w:t xml:space="preserve">New in v1.2 as a consolidated section. v1.1 placed the widget and Watch complication in v2 (§3.2.1) while simultaneously listing them in v3 (§3.3, §4.5). They are consolidated here, in v2, because §2.2's dominant use case is a glance that should not require opening an app.</w:t>
      </w:r>
    </w:p>
    <w:p>
      <w:pPr>
        <w:spacing w:after="100" w:before="180"/>
      </w:pPr>
      <w:r>
        <w:rPr>
          <w:b/>
          <w:bCs/>
          <w:color w:val="1F4D78"/>
        </w:rPr>
        <w:t xml:space="preserve">Live Activity &amp; Dynamic Island</w:t>
      </w:r>
    </w:p>
    <w:p>
      <w:pPr>
        <w:pStyle w:val="ListParagraph"/>
        <w:numPr>
          <w:ilvl w:val="0"/>
          <w:numId w:val="2"/>
        </w:numPr>
        <w:spacing w:after="80" w:line="276"/>
      </w:pPr>
      <w:r>
        <w:rPr>
          <w:b w:val="false"/>
          <w:bCs w:val="false"/>
        </w:rPr>
        <w:t xml:space="preserve">Current value, trend arrow, minutes since reading, and — when relevant — the predicted-low heads-up.</w:t>
      </w:r>
    </w:p>
    <w:p>
      <w:pPr>
        <w:pStyle w:val="ListParagraph"/>
        <w:numPr>
          <w:ilvl w:val="0"/>
          <w:numId w:val="2"/>
        </w:numPr>
        <w:spacing w:after="80" w:line="276"/>
      </w:pPr>
      <w:r>
        <w:rPr>
          <w:b w:val="false"/>
          <w:bCs w:val="false"/>
        </w:rPr>
        <w:t xml:space="preserve">Updated from the same HealthKit background wake that drives everything else (§4.2.1). Add </w:t>
      </w:r>
      <w:r>
        <w:rPr>
          <w:rFonts w:ascii="Consolas" w:cs="Consolas" w:eastAsia="Consolas" w:hAnsi="Consolas"/>
          <w:b w:val="false"/>
          <w:bCs w:val="false"/>
          <w:sz w:val="19"/>
          <w:szCs w:val="19"/>
        </w:rPr>
        <w:t xml:space="preserve">NSSupportsLiveActivitiesFrequentUpdates</w:t>
      </w:r>
      <w:r>
        <w:rPr>
          <w:b w:val="false"/>
          <w:bCs w:val="false"/>
        </w:rPr>
        <w:t xml:space="preserve"> to Info.plist.</w:t>
      </w:r>
    </w:p>
    <w:p>
      <w:pPr>
        <w:pStyle w:val="ListParagraph"/>
        <w:numPr>
          <w:ilvl w:val="0"/>
          <w:numId w:val="2"/>
        </w:numPr>
        <w:spacing w:after="80" w:line="276"/>
      </w:pPr>
      <w:r>
        <w:rPr>
          <w:b w:val="false"/>
          <w:bCs w:val="false"/>
        </w:rPr>
        <w:t xml:space="preserve">Live Activities age out after roughly 8 hours. Plan for it: re-arm on app foreground, and provide an explicit “restart” affordance on the Lock Screen widget rather than pretending the session is indefinite.</w:t>
      </w:r>
    </w:p>
    <w:p>
      <w:pPr>
        <w:pStyle w:val="ListParagraph"/>
        <w:numPr>
          <w:ilvl w:val="0"/>
          <w:numId w:val="2"/>
        </w:numPr>
        <w:spacing w:after="80" w:line="276"/>
      </w:pPr>
      <w:r>
        <w:rPr>
          <w:b w:val="false"/>
          <w:bCs w:val="false"/>
        </w:rPr>
        <w:t xml:space="preserve">The compact and minimal Dynamic Island presentations must remain legible at a glance — value and arrow only, no chart.</w:t>
      </w:r>
    </w:p>
    <w:p>
      <w:pPr>
        <w:spacing w:after="100" w:before="180"/>
      </w:pPr>
      <w:r>
        <w:rPr>
          <w:b/>
          <w:bCs/>
          <w:color w:val="1F4D78"/>
        </w:rPr>
        <w:t xml:space="preserve">Apple Watch complication</w:t>
      </w:r>
    </w:p>
    <w:p>
      <w:pPr>
        <w:pStyle w:val="ListParagraph"/>
        <w:numPr>
          <w:ilvl w:val="0"/>
          <w:numId w:val="2"/>
        </w:numPr>
        <w:spacing w:after="80" w:line="276"/>
      </w:pPr>
      <w:r>
        <w:rPr>
          <w:b w:val="false"/>
          <w:bCs w:val="false"/>
        </w:rPr>
        <w:t xml:space="preserve">Current value, trend arrow, and staleness. The dominant surface for the 20–50 daily glances.</w:t>
      </w:r>
    </w:p>
    <w:p>
      <w:pPr>
        <w:pStyle w:val="ListParagraph"/>
        <w:numPr>
          <w:ilvl w:val="0"/>
          <w:numId w:val="2"/>
        </w:numPr>
        <w:spacing w:after="80" w:line="276"/>
      </w:pPr>
      <w:r>
        <w:rPr>
          <w:b w:val="false"/>
          <w:bCs w:val="false"/>
        </w:rPr>
        <w:t xml:space="preserve">The Watch app reads HealthKit </w:t>
      </w:r>
      <w:r>
        <w:rPr>
          <w:b/>
          <w:bCs/>
        </w:rPr>
        <w:t xml:space="preserve">directly</w:t>
      </w:r>
      <w:r>
        <w:rPr>
          <w:b w:val="false"/>
          <w:bCs w:val="false"/>
        </w:rPr>
        <w:t xml:space="preserve"> rather than depending on WatchConnectivity background transfer, which is unreliable and would make the complication the least fresh surface in the system instead of the most-used one.</w:t>
      </w:r>
    </w:p>
    <w:p>
      <w:pPr>
        <w:spacing w:after="100" w:before="180"/>
      </w:pPr>
      <w:r>
        <w:rPr>
          <w:b/>
          <w:bCs/>
          <w:color w:val="1F4D78"/>
        </w:rPr>
        <w:t xml:space="preserve">App Intents</w:t>
      </w:r>
    </w:p>
    <w:p>
      <w:pPr>
        <w:pStyle w:val="ListParagraph"/>
        <w:numPr>
          <w:ilvl w:val="0"/>
          <w:numId w:val="2"/>
        </w:numPr>
        <w:spacing w:after="80" w:line="276"/>
      </w:pPr>
      <w:r>
        <w:rPr>
          <w:b w:val="false"/>
          <w:bCs w:val="false"/>
        </w:rPr>
        <w:t xml:space="preserve">“Log 4 units”, “Log 30 grams of carbs”, “What's my glucose”. Voice or Lock Screen entry is the fastest logging path available and directly serves §10's sub-30-second target.</w:t>
      </w:r>
    </w:p>
    <w:p>
      <w:pPr>
        <w:pStyle w:val="ListParagraph"/>
        <w:numPr>
          <w:ilvl w:val="0"/>
          <w:numId w:val="2"/>
        </w:numPr>
        <w:spacing w:after="80" w:line="276"/>
      </w:pPr>
      <w:r>
        <w:rPr>
          <w:b w:val="false"/>
          <w:bCs w:val="false"/>
        </w:rPr>
        <w:t xml:space="preserve">One App Intents implementation yields Siri, Shortcuts, Spotlight, and interactive widget buttons together, which is why it belongs in v2 rather than being spread across v3.</w:t>
      </w:r>
    </w:p>
    <w:p>
      <w:pPr>
        <w:pStyle w:val="Heading3"/>
        <w:spacing w:after="120" w:before="220"/>
      </w:pPr>
      <w:r>
        <w:rPr>
          <w:b w:val="false"/>
          <w:bCs w:val="false"/>
        </w:rPr>
        <w:t xml:space="preserve">3.2.5 Meal Fingerprinting</w:t>
      </w:r>
    </w:p>
    <w:p>
      <w:pPr>
        <w:pBdr>
          <w:left w:val="single" w:color="BFD3E6" w:sz="12" w:space="8"/>
        </w:pBdr>
        <w:spacing w:after="160" w:line="260"/>
        <w:ind w:left="180"/>
      </w:pPr>
      <w:r>
        <w:rPr>
          <w:b w:val="false"/>
          <w:bCs w:val="false"/>
          <w:i/>
          <w:iCs/>
          <w:color w:val="595959"/>
          <w:sz w:val="20"/>
          <w:szCs w:val="20"/>
        </w:rPr>
        <w:t xml:space="preserve">Promoted in v1.2 from v1.1's v3 line item “personal food database”, and expanded. This is the feature the official app structurally cannot offer, and it is what justifies the logging discipline the rest of v2 asks for.</w:t>
      </w:r>
    </w:p>
    <w:p>
      <w:pPr>
        <w:pStyle w:val="ListParagraph"/>
        <w:numPr>
          <w:ilvl w:val="0"/>
          <w:numId w:val="2"/>
        </w:numPr>
        <w:spacing w:after="80" w:line="276"/>
      </w:pPr>
      <w:r>
        <w:rPr>
          <w:b w:val="false"/>
          <w:bCs w:val="false"/>
        </w:rPr>
        <w:t xml:space="preserve">Tag a meal with a name. Every subsequent log of the same name links to the same food record.</w:t>
      </w:r>
    </w:p>
    <w:p>
      <w:pPr>
        <w:pStyle w:val="ListParagraph"/>
        <w:numPr>
          <w:ilvl w:val="0"/>
          <w:numId w:val="2"/>
        </w:numPr>
        <w:spacing w:after="80" w:line="276"/>
      </w:pPr>
      <w:r>
        <w:rPr>
          <w:b w:val="false"/>
          <w:bCs w:val="false"/>
        </w:rPr>
        <w:t xml:space="preserve">Opening a tagged meal shows every past glucose response to it overlaid, with a median curve: “the last four times you ate this, you peaked at 210 around 75 minutes.”</w:t>
      </w:r>
    </w:p>
    <w:p>
      <w:pPr>
        <w:pStyle w:val="ListParagraph"/>
        <w:numPr>
          <w:ilvl w:val="0"/>
          <w:numId w:val="2"/>
        </w:numPr>
        <w:spacing w:after="80" w:line="276"/>
      </w:pPr>
      <w:r>
        <w:rPr>
          <w:b w:val="false"/>
          <w:bCs w:val="false"/>
        </w:rPr>
        <w:t xml:space="preserve">Per-meal derived statistics: median peak value, median time-to-peak, median 3-hour delta, and the observed effective carb ratio when a dose was logged with it.</w:t>
      </w:r>
    </w:p>
    <w:p>
      <w:pPr>
        <w:pStyle w:val="ListParagraph"/>
        <w:numPr>
          <w:ilvl w:val="0"/>
          <w:numId w:val="2"/>
        </w:numPr>
        <w:spacing w:after="80" w:line="276"/>
      </w:pPr>
      <w:r>
        <w:rPr>
          <w:b w:val="false"/>
          <w:bCs w:val="false"/>
        </w:rPr>
        <w:t xml:space="preserve">Sorted views: the meals with the highest peaks, the most variable responses, and the flattest curves.</w:t>
      </w:r>
    </w:p>
    <w:p>
      <w:pPr>
        <w:pStyle w:val="Heading3"/>
        <w:spacing w:after="120" w:before="220"/>
      </w:pPr>
      <w:r>
        <w:rPr>
          <w:b w:val="false"/>
          <w:bCs w:val="false"/>
        </w:rPr>
        <w:t xml:space="preserve">3.2.6 Overnight Report Card</w:t>
      </w:r>
    </w:p>
    <w:p>
      <w:pPr>
        <w:pBdr>
          <w:left w:val="single" w:color="BFD3E6" w:sz="12" w:space="8"/>
        </w:pBdr>
        <w:spacing w:after="160" w:line="260"/>
        <w:ind w:left="180"/>
      </w:pPr>
      <w:r>
        <w:rPr>
          <w:b w:val="false"/>
          <w:bCs w:val="false"/>
          <w:i/>
          <w:iCs/>
          <w:color w:val="595959"/>
          <w:sz w:val="20"/>
          <w:szCs w:val="20"/>
        </w:rPr>
        <w:t xml:space="preserve">New in v1.2.</w:t>
      </w:r>
    </w:p>
    <w:p>
      <w:pPr>
        <w:spacing w:after="120" w:line="276"/>
      </w:pPr>
      <w:r>
        <w:rPr>
          <w:b w:val="false"/>
          <w:bCs w:val="false"/>
        </w:rPr>
        <w:t xml:space="preserve">A card presented on first open each morning, covering the sleep window (segmented from HealthKit </w:t>
      </w:r>
      <w:r>
        <w:rPr>
          <w:rFonts w:ascii="Consolas" w:cs="Consolas" w:eastAsia="Consolas" w:hAnsi="Consolas"/>
          <w:b w:val="false"/>
          <w:bCs w:val="false"/>
          <w:sz w:val="19"/>
          <w:szCs w:val="19"/>
        </w:rPr>
        <w:t xml:space="preserve">sleepAnalysis</w:t>
      </w:r>
      <w:r>
        <w:rPr>
          <w:b w:val="false"/>
          <w:bCs w:val="false"/>
        </w:rPr>
        <w:t xml:space="preserve"> where available, otherwise the Bedside Mode schedule):</w:t>
      </w:r>
    </w:p>
    <w:p>
      <w:pPr>
        <w:pStyle w:val="ListParagraph"/>
        <w:numPr>
          <w:ilvl w:val="0"/>
          <w:numId w:val="2"/>
        </w:numPr>
        <w:spacing w:after="80" w:line="276"/>
      </w:pPr>
      <w:r>
        <w:rPr>
          <w:b w:val="false"/>
          <w:bCs w:val="false"/>
        </w:rPr>
        <w:t xml:space="preserve">Overnight low and high with times; time-in-range while asleep; longest flat stretch.</w:t>
      </w:r>
    </w:p>
    <w:p>
      <w:pPr>
        <w:pStyle w:val="ListParagraph"/>
        <w:numPr>
          <w:ilvl w:val="0"/>
          <w:numId w:val="2"/>
        </w:numPr>
        <w:spacing w:after="80" w:line="276"/>
      </w:pPr>
      <w:r>
        <w:rPr>
          <w:b w:val="false"/>
          <w:bCs w:val="false"/>
        </w:rPr>
        <w:t xml:space="preserve">A suspected </w:t>
      </w:r>
      <w:r>
        <w:rPr>
          <w:b/>
          <w:bCs/>
        </w:rPr>
        <w:t xml:space="preserve">compression low</w:t>
      </w:r>
      <w:r>
        <w:rPr>
          <w:b w:val="false"/>
          <w:bCs w:val="false"/>
        </w:rPr>
        <w:t xml:space="preserve"> flag — a sharp drop to a low value with an equally sharp recovery and no corresponding treatment, which is a sensor artifact rather than a physiological event. Flagging these prevents the user from over-correcting a pattern that was never real, and prevents the prediction engine's own error statistics from being polluted by them.</w:t>
      </w:r>
    </w:p>
    <w:p>
      <w:pPr>
        <w:pStyle w:val="ListParagraph"/>
        <w:numPr>
          <w:ilvl w:val="0"/>
          <w:numId w:val="2"/>
        </w:numPr>
        <w:spacing w:after="80" w:line="276"/>
      </w:pPr>
      <w:r>
        <w:rPr>
          <w:b w:val="false"/>
          <w:bCs w:val="false"/>
        </w:rPr>
        <w:t xml:space="preserve">Comparison against the trailing 14-night median.</w:t>
      </w:r>
    </w:p>
    <w:p>
      <w:pPr>
        <w:pStyle w:val="Heading3"/>
        <w:spacing w:after="120" w:before="220"/>
      </w:pPr>
      <w:r>
        <w:rPr>
          <w:b w:val="false"/>
          <w:bCs w:val="false"/>
        </w:rPr>
        <w:t xml:space="preserve">3.2.7 Bolus Outcome Review</w:t>
      </w:r>
    </w:p>
    <w:p>
      <w:pPr>
        <w:pBdr>
          <w:left w:val="single" w:color="BFD3E6" w:sz="12" w:space="8"/>
        </w:pBdr>
        <w:spacing w:after="160" w:line="260"/>
        <w:ind w:left="180"/>
      </w:pPr>
      <w:r>
        <w:rPr>
          <w:b w:val="false"/>
          <w:bCs w:val="false"/>
          <w:i/>
          <w:iCs/>
          <w:color w:val="595959"/>
          <w:sz w:val="20"/>
          <w:szCs w:val="20"/>
        </w:rPr>
        <w:t xml:space="preserve">New in v1.2.</w:t>
      </w:r>
    </w:p>
    <w:p>
      <w:pPr>
        <w:spacing w:after="120" w:line="276"/>
      </w:pPr>
      <w:r>
        <w:rPr>
          <w:b w:val="false"/>
          <w:bCs w:val="false"/>
        </w:rPr>
        <w:t xml:space="preserve">For each logged dose, show predicted versus actual glucose over the following three hours. This reuses the prediction engine with no new math, closes the loop between logging and learning, and directly serves the dosing-accuracy goal — while never recommending a dose. It is retrospective by construction, which is what keeps it on the safe side of §1.2.</w:t>
      </w:r>
    </w:p>
    <w:p>
      <w:pPr>
        <w:pStyle w:val="Heading2"/>
        <w:spacing w:after="140" w:before="280"/>
      </w:pPr>
      <w:r>
        <w:rPr>
          <w:b w:val="false"/>
          <w:bCs w:val="false"/>
        </w:rPr>
        <w:t xml:space="preserve">3.3 v3 — Polish &amp; Stretch</w:t>
      </w:r>
    </w:p>
    <w:p>
      <w:pPr>
        <w:pStyle w:val="ListParagraph"/>
        <w:numPr>
          <w:ilvl w:val="0"/>
          <w:numId w:val="2"/>
        </w:numPr>
        <w:spacing w:after="80" w:line="276"/>
      </w:pPr>
      <w:r>
        <w:rPr>
          <w:b/>
          <w:bCs/>
        </w:rPr>
        <w:t xml:space="preserve">AGP PDF export</w:t>
      </w:r>
      <w:r>
        <w:rPr>
          <w:b w:val="false"/>
          <w:bCs w:val="false"/>
        </w:rPr>
        <w:t xml:space="preserve"> styled like the report endocrinologists use, built on the percentile computation already shipped in §3.1.5.</w:t>
      </w:r>
    </w:p>
    <w:p>
      <w:pPr>
        <w:pStyle w:val="ListParagraph"/>
        <w:numPr>
          <w:ilvl w:val="0"/>
          <w:numId w:val="2"/>
        </w:numPr>
        <w:spacing w:after="80" w:line="276"/>
      </w:pPr>
      <w:r>
        <w:rPr>
          <w:b/>
          <w:bCs/>
        </w:rPr>
        <w:t xml:space="preserve">Auto-generated endo prep</w:t>
      </w:r>
      <w:r>
        <w:rPr>
          <w:b w:val="false"/>
          <w:bCs w:val="false"/>
        </w:rPr>
        <w:t xml:space="preserve"> — the top three patterns detected across 90 days (“Tuesday post-lunch spikes”, “overnight drift low after evening exercise”), attached to the export. More useful in an appointment than the raw AGP page.</w:t>
      </w:r>
    </w:p>
    <w:p>
      <w:pPr>
        <w:pStyle w:val="ListParagraph"/>
        <w:numPr>
          <w:ilvl w:val="0"/>
          <w:numId w:val="2"/>
        </w:numPr>
        <w:spacing w:after="80" w:line="276"/>
      </w:pPr>
      <w:r>
        <w:rPr>
          <w:b/>
          <w:bCs/>
        </w:rPr>
        <w:t xml:space="preserve">Lock Screen and StandBy widgets</w:t>
      </w:r>
      <w:r>
        <w:rPr>
          <w:b w:val="false"/>
          <w:bCs w:val="false"/>
        </w:rPr>
        <w:t xml:space="preserve">, extending §3.2.4's surfaces.</w:t>
      </w:r>
    </w:p>
    <w:p>
      <w:pPr>
        <w:pStyle w:val="ListParagraph"/>
        <w:numPr>
          <w:ilvl w:val="0"/>
          <w:numId w:val="2"/>
        </w:numPr>
        <w:spacing w:after="80" w:line="276"/>
      </w:pPr>
      <w:r>
        <w:rPr>
          <w:b/>
          <w:bCs/>
        </w:rPr>
        <w:t xml:space="preserve">HealthKit write-back</w:t>
      </w:r>
      <w:r>
        <w:rPr>
          <w:b w:val="false"/>
          <w:bCs w:val="false"/>
        </w:rPr>
        <w:t xml:space="preserve"> so logged events are visible to other Apple Health apps.</w:t>
      </w:r>
    </w:p>
    <w:p>
      <w:pPr>
        <w:pStyle w:val="ListParagraph"/>
        <w:numPr>
          <w:ilvl w:val="0"/>
          <w:numId w:val="2"/>
        </w:numPr>
        <w:spacing w:after="80" w:line="276"/>
      </w:pPr>
      <w:r>
        <w:rPr>
          <w:b/>
          <w:bCs/>
        </w:rPr>
        <w:t xml:space="preserve">iCloud sync</w:t>
      </w:r>
      <w:r>
        <w:rPr>
          <w:b w:val="false"/>
          <w:bCs w:val="false"/>
        </w:rPr>
        <w:t xml:space="preserve"> of logged events across the user's own devices, via CloudKit private database (see §4.3 for the schema constraints this imposes from day one).</w:t>
      </w:r>
    </w:p>
    <w:p>
      <w:pPr>
        <w:pStyle w:val="ListParagraph"/>
        <w:numPr>
          <w:ilvl w:val="0"/>
          <w:numId w:val="2"/>
        </w:numPr>
        <w:spacing w:after="80" w:line="276"/>
      </w:pPr>
      <w:r>
        <w:rPr>
          <w:b/>
          <w:bCs/>
        </w:rPr>
        <w:t xml:space="preserve">Full Apple Watch app</w:t>
      </w:r>
      <w:r>
        <w:rPr>
          <w:b w:val="false"/>
          <w:bCs w:val="false"/>
        </w:rPr>
        <w:t xml:space="preserve"> beyond the complication — historical chart and logging on-wrist.</w:t>
      </w:r>
    </w:p>
    <w:p>
      <w:pPr>
        <w:pBdr>
          <w:left w:val="single" w:color="BFD3E6" w:sz="12" w:space="8"/>
        </w:pBdr>
        <w:spacing w:after="160" w:line="260"/>
        <w:ind w:left="180"/>
      </w:pPr>
      <w:r>
        <w:rPr>
          <w:b w:val="false"/>
          <w:bCs w:val="false"/>
          <w:i/>
          <w:iCs/>
          <w:color w:val="595959"/>
          <w:sz w:val="20"/>
          <w:szCs w:val="20"/>
        </w:rPr>
        <w:t xml:space="preserve">Changed in v1.2: Watch complication, widgets for logging, Siri, and the food database moved to v2 (§3.2.4, §3.2.5). What remains here is genuinely stretch.</w:t>
      </w:r>
    </w:p>
    <w:p>
      <w:pPr>
        <w:pStyle w:val="Heading1"/>
        <w:spacing w:after="160" w:before="360"/>
      </w:pPr>
      <w:r>
        <w:rPr>
          <w:b w:val="false"/>
          <w:bCs w:val="false"/>
        </w:rPr>
        <w:t xml:space="preserve">4. Technical Architecture</w:t>
      </w:r>
    </w:p>
    <w:p>
      <w:pPr>
        <w:pStyle w:val="Heading2"/>
        <w:spacing w:after="140" w:before="280"/>
      </w:pPr>
      <w:r>
        <w:rPr>
          <w:b w:val="false"/>
          <w:bCs w:val="false"/>
        </w:rPr>
        <w:t xml:space="preserve">4.1 Stack</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600"/>
        <w:gridCol w:w="2300"/>
        <w:gridCol w:w="5460"/>
      </w:tblGrid>
      <w:tr>
        <w:trPr>
          <w:tblHeader/>
        </w:trPr>
        <w:tc>
          <w:tcPr>
            <w:tcW w:type="dxa" w:w="1600"/>
            <w:shd w:fill="DEEAF6" w:color="auto" w:val="clear"/>
            <w:tcMar>
              <w:top w:type="dxa" w:w="60"/>
              <w:left w:type="dxa" w:w="100"/>
              <w:bottom w:type="dxa" w:w="60"/>
              <w:right w:type="dxa" w:w="100"/>
            </w:tcMar>
          </w:tcPr>
          <w:p>
            <w:pPr>
              <w:spacing w:after="0" w:line="250"/>
            </w:pPr>
            <w:r>
              <w:rPr>
                <w:b/>
                <w:bCs/>
                <w:sz w:val="20"/>
                <w:szCs w:val="20"/>
              </w:rPr>
              <w:t xml:space="preserve">Layer</w:t>
            </w:r>
          </w:p>
        </w:tc>
        <w:tc>
          <w:tcPr>
            <w:tcW w:type="dxa" w:w="2300"/>
            <w:shd w:fill="DEEAF6" w:color="auto" w:val="clear"/>
            <w:tcMar>
              <w:top w:type="dxa" w:w="60"/>
              <w:left w:type="dxa" w:w="100"/>
              <w:bottom w:type="dxa" w:w="60"/>
              <w:right w:type="dxa" w:w="100"/>
            </w:tcMar>
          </w:tcPr>
          <w:p>
            <w:pPr>
              <w:spacing w:after="0" w:line="250"/>
            </w:pPr>
            <w:r>
              <w:rPr>
                <w:b/>
                <w:bCs/>
                <w:sz w:val="20"/>
                <w:szCs w:val="20"/>
              </w:rPr>
              <w:t xml:space="preserve">Choice</w:t>
            </w:r>
          </w:p>
        </w:tc>
        <w:tc>
          <w:tcPr>
            <w:tcW w:type="dxa" w:w="5460"/>
            <w:shd w:fill="DEEAF6" w:color="auto" w:val="clear"/>
            <w:tcMar>
              <w:top w:type="dxa" w:w="60"/>
              <w:left w:type="dxa" w:w="100"/>
              <w:bottom w:type="dxa" w:w="60"/>
              <w:right w:type="dxa" w:w="100"/>
            </w:tcMar>
          </w:tcPr>
          <w:p>
            <w:pPr>
              <w:spacing w:after="0" w:line="250"/>
            </w:pPr>
            <w:r>
              <w:rPr>
                <w:b/>
                <w:bCs/>
                <w:sz w:val="20"/>
                <w:szCs w:val="20"/>
              </w:rPr>
              <w:t xml:space="preserve">Rationale</w:t>
            </w:r>
          </w:p>
        </w:tc>
      </w:tr>
      <w:tr>
        <w:tc>
          <w:tcPr>
            <w:tcW w:type="dxa" w:w="1600"/>
            <w:tcMar>
              <w:top w:type="dxa" w:w="60"/>
              <w:left w:type="dxa" w:w="100"/>
              <w:bottom w:type="dxa" w:w="60"/>
              <w:right w:type="dxa" w:w="100"/>
            </w:tcMar>
          </w:tcPr>
          <w:p>
            <w:pPr>
              <w:spacing w:after="0" w:line="250"/>
            </w:pPr>
            <w:r>
              <w:rPr>
                <w:b w:val="false"/>
                <w:bCs w:val="false"/>
                <w:sz w:val="20"/>
                <w:szCs w:val="20"/>
              </w:rPr>
              <w:t xml:space="preserve">Language</w:t>
            </w:r>
          </w:p>
        </w:tc>
        <w:tc>
          <w:tcPr>
            <w:tcW w:type="dxa" w:w="2300"/>
            <w:tcMar>
              <w:top w:type="dxa" w:w="60"/>
              <w:left w:type="dxa" w:w="100"/>
              <w:bottom w:type="dxa" w:w="60"/>
              <w:right w:type="dxa" w:w="100"/>
            </w:tcMar>
          </w:tcPr>
          <w:p>
            <w:pPr>
              <w:spacing w:after="0" w:line="250"/>
            </w:pPr>
            <w:r>
              <w:rPr>
                <w:b w:val="false"/>
                <w:bCs w:val="false"/>
                <w:sz w:val="20"/>
                <w:szCs w:val="20"/>
              </w:rPr>
              <w:t xml:space="preserve">Swift 6</w:t>
            </w:r>
          </w:p>
        </w:tc>
        <w:tc>
          <w:tcPr>
            <w:tcW w:type="dxa" w:w="5460"/>
            <w:tcMar>
              <w:top w:type="dxa" w:w="60"/>
              <w:left w:type="dxa" w:w="100"/>
              <w:bottom w:type="dxa" w:w="60"/>
              <w:right w:type="dxa" w:w="100"/>
            </w:tcMar>
          </w:tcPr>
          <w:p>
            <w:pPr>
              <w:spacing w:after="0" w:line="250"/>
            </w:pPr>
            <w:r>
              <w:rPr>
                <w:b w:val="false"/>
                <w:bCs w:val="false"/>
                <w:sz w:val="20"/>
                <w:szCs w:val="20"/>
              </w:rPr>
              <w:t xml:space="preserve">Native, current, strict concurrency for safe background work. Note: SwiftData's ModelContext is not Sendable — all writes go through a @ModelActor (§4.3).</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UI</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SwiftUI</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Best path for adaptive theming, widgets, Watch app, Live Activities, and Lock Screen.</w:t>
            </w:r>
          </w:p>
        </w:tc>
      </w:tr>
      <w:tr>
        <w:tc>
          <w:tcPr>
            <w:tcW w:type="dxa" w:w="1600"/>
            <w:tcMar>
              <w:top w:type="dxa" w:w="60"/>
              <w:left w:type="dxa" w:w="100"/>
              <w:bottom w:type="dxa" w:w="60"/>
              <w:right w:type="dxa" w:w="100"/>
            </w:tcMar>
          </w:tcPr>
          <w:p>
            <w:pPr>
              <w:spacing w:after="0" w:line="250"/>
            </w:pPr>
            <w:r>
              <w:rPr>
                <w:b w:val="false"/>
                <w:bCs w:val="false"/>
                <w:sz w:val="20"/>
                <w:szCs w:val="20"/>
              </w:rPr>
              <w:t xml:space="preserve">Min iOS</w:t>
            </w:r>
          </w:p>
        </w:tc>
        <w:tc>
          <w:tcPr>
            <w:tcW w:type="dxa" w:w="2300"/>
            <w:tcMar>
              <w:top w:type="dxa" w:w="60"/>
              <w:left w:type="dxa" w:w="100"/>
              <w:bottom w:type="dxa" w:w="60"/>
              <w:right w:type="dxa" w:w="100"/>
            </w:tcMar>
          </w:tcPr>
          <w:p>
            <w:pPr>
              <w:spacing w:after="0" w:line="250"/>
            </w:pPr>
            <w:r>
              <w:rPr>
                <w:b w:val="false"/>
                <w:bCs w:val="false"/>
                <w:sz w:val="20"/>
                <w:szCs w:val="20"/>
              </w:rPr>
              <w:t xml:space="preserve">Current major release</w:t>
            </w:r>
          </w:p>
        </w:tc>
        <w:tc>
          <w:tcPr>
            <w:tcW w:type="dxa" w:w="5460"/>
            <w:tcMar>
              <w:top w:type="dxa" w:w="60"/>
              <w:left w:type="dxa" w:w="100"/>
              <w:bottom w:type="dxa" w:w="60"/>
              <w:right w:type="dxa" w:w="100"/>
            </w:tcMar>
          </w:tcPr>
          <w:p>
            <w:pPr>
              <w:spacing w:after="0" w:line="250"/>
            </w:pPr>
            <w:r>
              <w:rPr>
                <w:b w:val="false"/>
                <w:bCs w:val="false"/>
                <w:sz w:val="20"/>
                <w:szCs w:val="20"/>
              </w:rPr>
              <w:t xml:space="preserve">Changed in v1.2 from iOS 17. Backward compatibility is a market concern and there is no market — one user, one phone. Targeting current buys materially better SwiftData, Swift Charts, and ActivityKit behaviour; iOS 17's SwiftData in particular had performance and migration problems this project would inherit for nothing.</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Persistence</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SwiftData</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First-party, versioned migrations, CloudKit-ready for v3 — subject to the constraints in §4.3.</w:t>
            </w:r>
          </w:p>
        </w:tc>
      </w:tr>
      <w:tr>
        <w:tc>
          <w:tcPr>
            <w:tcW w:type="dxa" w:w="1600"/>
            <w:tcMar>
              <w:top w:type="dxa" w:w="60"/>
              <w:left w:type="dxa" w:w="100"/>
              <w:bottom w:type="dxa" w:w="60"/>
              <w:right w:type="dxa" w:w="100"/>
            </w:tcMar>
          </w:tcPr>
          <w:p>
            <w:pPr>
              <w:spacing w:after="0" w:line="250"/>
            </w:pPr>
            <w:r>
              <w:rPr>
                <w:b w:val="false"/>
                <w:bCs w:val="false"/>
                <w:sz w:val="20"/>
                <w:szCs w:val="20"/>
              </w:rPr>
              <w:t xml:space="preserve">Charts</w:t>
            </w:r>
          </w:p>
        </w:tc>
        <w:tc>
          <w:tcPr>
            <w:tcW w:type="dxa" w:w="2300"/>
            <w:tcMar>
              <w:top w:type="dxa" w:w="60"/>
              <w:left w:type="dxa" w:w="100"/>
              <w:bottom w:type="dxa" w:w="60"/>
              <w:right w:type="dxa" w:w="100"/>
            </w:tcMar>
          </w:tcPr>
          <w:p>
            <w:pPr>
              <w:spacing w:after="0" w:line="250"/>
            </w:pPr>
            <w:r>
              <w:rPr>
                <w:b w:val="false"/>
                <w:bCs w:val="false"/>
                <w:sz w:val="20"/>
                <w:szCs w:val="20"/>
              </w:rPr>
              <w:t xml:space="preserve">Swift Charts (Apple)</w:t>
            </w:r>
          </w:p>
        </w:tc>
        <w:tc>
          <w:tcPr>
            <w:tcW w:type="dxa" w:w="5460"/>
            <w:tcMar>
              <w:top w:type="dxa" w:w="60"/>
              <w:left w:type="dxa" w:w="100"/>
              <w:bottom w:type="dxa" w:w="60"/>
              <w:right w:type="dxa" w:w="100"/>
            </w:tcMar>
          </w:tcPr>
          <w:p>
            <w:pPr>
              <w:spacing w:after="0" w:line="250"/>
            </w:pPr>
            <w:r>
              <w:rPr>
                <w:b w:val="false"/>
                <w:bCs w:val="false"/>
                <w:sz w:val="20"/>
                <w:szCs w:val="20"/>
              </w:rPr>
              <w:t xml:space="preserve">Native, performant, theme-aware. Requires explicit downsampling above ~2,000 points (§4.5).</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Networking</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URLSession + async/await</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No third-party HTTP dependency needed.</w:t>
            </w:r>
          </w:p>
        </w:tc>
      </w:tr>
      <w:tr>
        <w:tc>
          <w:tcPr>
            <w:tcW w:type="dxa" w:w="1600"/>
            <w:tcMar>
              <w:top w:type="dxa" w:w="60"/>
              <w:left w:type="dxa" w:w="100"/>
              <w:bottom w:type="dxa" w:w="60"/>
              <w:right w:type="dxa" w:w="100"/>
            </w:tcMar>
          </w:tcPr>
          <w:p>
            <w:pPr>
              <w:spacing w:after="0" w:line="250"/>
            </w:pPr>
            <w:r>
              <w:rPr>
                <w:b w:val="false"/>
                <w:bCs w:val="false"/>
                <w:sz w:val="20"/>
                <w:szCs w:val="20"/>
              </w:rPr>
              <w:t xml:space="preserve">Secrets</w:t>
            </w:r>
          </w:p>
        </w:tc>
        <w:tc>
          <w:tcPr>
            <w:tcW w:type="dxa" w:w="2300"/>
            <w:tcMar>
              <w:top w:type="dxa" w:w="60"/>
              <w:left w:type="dxa" w:w="100"/>
              <w:bottom w:type="dxa" w:w="60"/>
              <w:right w:type="dxa" w:w="100"/>
            </w:tcMar>
          </w:tcPr>
          <w:p>
            <w:pPr>
              <w:spacing w:after="0" w:line="250"/>
            </w:pPr>
            <w:r>
              <w:rPr>
                <w:b w:val="false"/>
                <w:bCs w:val="false"/>
                <w:sz w:val="20"/>
                <w:szCs w:val="20"/>
              </w:rPr>
              <w:t xml:space="preserve">Keychain Services</w:t>
            </w:r>
          </w:p>
        </w:tc>
        <w:tc>
          <w:tcPr>
            <w:tcW w:type="dxa" w:w="5460"/>
            <w:tcMar>
              <w:top w:type="dxa" w:w="60"/>
              <w:left w:type="dxa" w:w="100"/>
              <w:bottom w:type="dxa" w:w="60"/>
              <w:right w:type="dxa" w:w="100"/>
            </w:tcMar>
          </w:tcPr>
          <w:p>
            <w:pPr>
              <w:spacing w:after="0" w:line="250"/>
            </w:pPr>
            <w:r>
              <w:rPr>
                <w:b w:val="false"/>
                <w:bCs w:val="false"/>
                <w:sz w:val="20"/>
                <w:szCs w:val="20"/>
              </w:rPr>
              <w:t xml:space="preserve">Dexcom credentials must never touch UserDefaults. Accessibility class per §6.</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Background</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HealthKit background delivery</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Changed in v1.2 from BGAppRefreshTask, which cannot deliver a guaranteed interval (§4.2.1).</w:t>
            </w:r>
          </w:p>
        </w:tc>
      </w:tr>
      <w:tr>
        <w:tc>
          <w:tcPr>
            <w:tcW w:type="dxa" w:w="1600"/>
            <w:tcMar>
              <w:top w:type="dxa" w:w="60"/>
              <w:left w:type="dxa" w:w="100"/>
              <w:bottom w:type="dxa" w:w="60"/>
              <w:right w:type="dxa" w:w="100"/>
            </w:tcMar>
          </w:tcPr>
          <w:p>
            <w:pPr>
              <w:spacing w:after="0" w:line="250"/>
            </w:pPr>
            <w:r>
              <w:rPr>
                <w:b w:val="false"/>
                <w:bCs w:val="false"/>
                <w:sz w:val="20"/>
                <w:szCs w:val="20"/>
              </w:rPr>
              <w:t xml:space="preserve">Container</w:t>
            </w:r>
          </w:p>
        </w:tc>
        <w:tc>
          <w:tcPr>
            <w:tcW w:type="dxa" w:w="2300"/>
            <w:tcMar>
              <w:top w:type="dxa" w:w="60"/>
              <w:left w:type="dxa" w:w="100"/>
              <w:bottom w:type="dxa" w:w="60"/>
              <w:right w:type="dxa" w:w="100"/>
            </w:tcMar>
          </w:tcPr>
          <w:p>
            <w:pPr>
              <w:spacing w:after="0" w:line="250"/>
            </w:pPr>
            <w:r>
              <w:rPr>
                <w:b w:val="false"/>
                <w:bCs w:val="false"/>
                <w:sz w:val="20"/>
                <w:szCs w:val="20"/>
              </w:rPr>
              <w:t xml:space="preserve">App Group</w:t>
            </w:r>
          </w:p>
        </w:tc>
        <w:tc>
          <w:tcPr>
            <w:tcW w:type="dxa" w:w="5460"/>
            <w:tcMar>
              <w:top w:type="dxa" w:w="60"/>
              <w:left w:type="dxa" w:w="100"/>
              <w:bottom w:type="dxa" w:w="60"/>
              <w:right w:type="dxa" w:w="100"/>
            </w:tcMar>
          </w:tcPr>
          <w:p>
            <w:pPr>
              <w:spacing w:after="0" w:line="250"/>
            </w:pPr>
            <w:r>
              <w:rPr>
                <w:b w:val="false"/>
                <w:bCs w:val="false"/>
                <w:sz w:val="20"/>
                <w:szCs w:val="20"/>
              </w:rPr>
              <w:t xml:space="preserve">New in v1.2. Required from Phase 0 so widgets, the Live Activity, and the Watch app can read the store. Retrofitting means migrating the entire history.</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Entitlements</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HealthKit, HealthKit background delivery, App Groups, (v3) iCloud</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The background-delivery entitlement was missing from v1.1 and is not optional.</w:t>
            </w:r>
          </w:p>
        </w:tc>
      </w:tr>
      <w:tr>
        <w:tc>
          <w:tcPr>
            <w:tcW w:type="dxa" w:w="1600"/>
            <w:tcMar>
              <w:top w:type="dxa" w:w="60"/>
              <w:left w:type="dxa" w:w="100"/>
              <w:bottom w:type="dxa" w:w="60"/>
              <w:right w:type="dxa" w:w="100"/>
            </w:tcMar>
          </w:tcPr>
          <w:p>
            <w:pPr>
              <w:spacing w:after="0" w:line="250"/>
            </w:pPr>
            <w:r>
              <w:rPr>
                <w:b w:val="false"/>
                <w:bCs w:val="false"/>
                <w:sz w:val="20"/>
                <w:szCs w:val="20"/>
              </w:rPr>
              <w:t xml:space="preserve">Testing</w:t>
            </w:r>
          </w:p>
        </w:tc>
        <w:tc>
          <w:tcPr>
            <w:tcW w:type="dxa" w:w="2300"/>
            <w:tcMar>
              <w:top w:type="dxa" w:w="60"/>
              <w:left w:type="dxa" w:w="100"/>
              <w:bottom w:type="dxa" w:w="60"/>
              <w:right w:type="dxa" w:w="100"/>
            </w:tcMar>
          </w:tcPr>
          <w:p>
            <w:pPr>
              <w:spacing w:after="0" w:line="250"/>
            </w:pPr>
            <w:r>
              <w:rPr>
                <w:b w:val="false"/>
                <w:bCs w:val="false"/>
                <w:sz w:val="20"/>
                <w:szCs w:val="20"/>
              </w:rPr>
              <w:t xml:space="preserve">Swift Testing + XCTest</w:t>
            </w:r>
          </w:p>
        </w:tc>
        <w:tc>
          <w:tcPr>
            <w:tcW w:type="dxa" w:w="5460"/>
            <w:tcMar>
              <w:top w:type="dxa" w:w="60"/>
              <w:left w:type="dxa" w:w="100"/>
              <w:bottom w:type="dxa" w:w="60"/>
              <w:right w:type="dxa" w:w="100"/>
            </w:tcMar>
          </w:tcPr>
          <w:p>
            <w:pPr>
              <w:spacing w:after="0" w:line="250"/>
            </w:pPr>
            <w:r>
              <w:rPr>
                <w:b w:val="false"/>
                <w:bCs w:val="false"/>
                <w:sz w:val="20"/>
                <w:szCs w:val="20"/>
              </w:rPr>
              <w:t xml:space="preserve">Unit tests for prediction math, Share parsing, and coordinator merge logic, against recorded fixtures (§4.5).</w:t>
            </w:r>
          </w:p>
        </w:tc>
      </w:tr>
    </w:tbl>
    <w:p>
      <w:pPr>
        <w:pStyle w:val="Heading2"/>
        <w:spacing w:after="140" w:before="280"/>
      </w:pPr>
      <w:r>
        <w:rPr>
          <w:b w:val="false"/>
          <w:bCs w:val="false"/>
        </w:rPr>
        <w:t xml:space="preserve">4.2 Data Source Layer</w:t>
      </w:r>
    </w:p>
    <w:p>
      <w:pPr>
        <w:spacing w:after="120" w:line="276"/>
      </w:pPr>
      <w:r>
        <w:rPr>
          <w:b w:val="false"/>
          <w:bCs w:val="false"/>
        </w:rPr>
        <w:t xml:space="preserve">Two independent source clients feed a single coordinator. Each source is a Swift actor exposing an </w:t>
      </w:r>
      <w:r>
        <w:rPr>
          <w:rFonts w:ascii="Consolas" w:cs="Consolas" w:eastAsia="Consolas" w:hAnsi="Consolas"/>
          <w:b w:val="false"/>
          <w:bCs w:val="false"/>
          <w:sz w:val="19"/>
          <w:szCs w:val="19"/>
        </w:rPr>
        <w:t xml:space="preserve">AsyncStream&lt;GlucoseReading&gt;</w:t>
      </w:r>
      <w:r>
        <w:rPr>
          <w:b w:val="false"/>
          <w:bCs w:val="false"/>
        </w:rPr>
        <w:t xml:space="preserve">. This isolates threading concerns and makes both sources independently testable.</w:t>
      </w:r>
    </w:p>
    <w:p>
      <w:pPr>
        <w:pStyle w:val="Heading3"/>
        <w:spacing w:after="120" w:before="220"/>
      </w:pPr>
      <w:r>
        <w:rPr>
          <w:b w:val="false"/>
          <w:bCs w:val="false"/>
        </w:rPr>
        <w:t xml:space="preserve">4.2.1 Background &amp; Wake Architecture</w:t>
      </w:r>
    </w:p>
    <w:p>
      <w:pPr>
        <w:pBdr>
          <w:left w:val="single" w:color="BFD3E6" w:sz="12" w:space="8"/>
        </w:pBdr>
        <w:spacing w:after="160" w:line="260"/>
        <w:ind w:left="180"/>
      </w:pPr>
      <w:r>
        <w:rPr>
          <w:b w:val="false"/>
          <w:bCs w:val="false"/>
          <w:i/>
          <w:iCs/>
          <w:color w:val="595959"/>
          <w:sz w:val="20"/>
          <w:szCs w:val="20"/>
        </w:rPr>
        <w:t xml:space="preserve">New in v1.2. This section replaces v1.1's assumption that BGAppRefreshTask provides a 15-minute background poll, and it is the most consequential change in this revision.</w:t>
      </w:r>
    </w:p>
    <w:p>
      <w:pPr>
        <w:spacing w:after="100" w:before="180"/>
      </w:pPr>
      <w:r>
        <w:rPr>
          <w:b/>
          <w:bCs/>
          <w:color w:val="1F4D78"/>
        </w:rPr>
        <w:t xml:space="preserve">Why the v1.1 design does not work</w:t>
      </w:r>
    </w:p>
    <w:p>
      <w:pPr>
        <w:spacing w:after="120" w:line="276"/>
      </w:pPr>
      <w:r>
        <w:rPr>
          <w:rFonts w:ascii="Consolas" w:cs="Consolas" w:eastAsia="Consolas" w:hAnsi="Consolas"/>
          <w:b w:val="false"/>
          <w:bCs w:val="false"/>
          <w:sz w:val="19"/>
          <w:szCs w:val="19"/>
        </w:rPr>
        <w:t xml:space="preserve">BGAppRefreshTask.earliestBeginDate</w:t>
      </w:r>
      <w:r>
        <w:rPr>
          <w:b w:val="false"/>
          <w:bCs w:val="false"/>
        </w:rPr>
        <w:t xml:space="preserve"> is a </w:t>
      </w:r>
      <w:r>
        <w:rPr>
          <w:b/>
          <w:bCs/>
        </w:rPr>
        <w:t xml:space="preserve">floor, not a schedule</w:t>
      </w:r>
      <w:r>
        <w:rPr>
          <w:b w:val="false"/>
          <w:bCs w:val="false"/>
        </w:rPr>
        <w:t xml:space="preserve">. iOS decides when — and whether — to run a refresh task based on usage heuristics, battery state, Low Power Mode, and how recently the user opened the app. In practice a background refresh task may run a handful of times per day, and is least likely to run overnight, when the phone is idle and charging and the app has not been foregrounded for hours. That is precisely the window in which fresh data matters most. Building the background freshness story on </w:t>
      </w:r>
      <w:r>
        <w:rPr>
          <w:rFonts w:ascii="Consolas" w:cs="Consolas" w:eastAsia="Consolas" w:hAnsi="Consolas"/>
          <w:b w:val="false"/>
          <w:bCs w:val="false"/>
          <w:sz w:val="19"/>
          <w:szCs w:val="19"/>
        </w:rPr>
        <w:t xml:space="preserve">BGAppRefreshTask</w:t>
      </w:r>
      <w:r>
        <w:rPr>
          <w:b w:val="false"/>
          <w:bCs w:val="false"/>
        </w:rPr>
        <w:t xml:space="preserve"> guarantees it fails at night.</w:t>
      </w:r>
    </w:p>
    <w:p>
      <w:pPr>
        <w:spacing w:after="100" w:before="180"/>
      </w:pPr>
      <w:r>
        <w:rPr>
          <w:b/>
          <w:bCs/>
          <w:color w:val="1F4D78"/>
        </w:rPr>
        <w:t xml:space="preserve">The corrected design</w:t>
      </w:r>
    </w:p>
    <w:p>
      <w:pPr>
        <w:pStyle w:val="ListParagraph"/>
        <w:numPr>
          <w:ilvl w:val="0"/>
          <w:numId w:val="3"/>
        </w:numPr>
        <w:spacing w:after="80" w:line="276"/>
      </w:pPr>
      <w:r>
        <w:rPr>
          <w:b/>
          <w:bCs/>
        </w:rPr>
        <w:t xml:space="preserve">HealthKit background delivery is the wake mechanism.</w:t>
      </w:r>
      <w:r>
        <w:rPr>
          <w:b w:val="false"/>
          <w:bCs w:val="false"/>
        </w:rPr>
        <w:t xml:space="preserve"> </w:t>
      </w:r>
      <w:r>
        <w:rPr>
          <w:rFonts w:ascii="Consolas" w:cs="Consolas" w:eastAsia="Consolas" w:hAnsi="Consolas"/>
          <w:b w:val="false"/>
          <w:bCs w:val="false"/>
          <w:sz w:val="19"/>
          <w:szCs w:val="19"/>
        </w:rPr>
        <w:t xml:space="preserve">HKObserverQuery</w:t>
      </w:r>
      <w:r>
        <w:rPr>
          <w:b w:val="false"/>
          <w:bCs w:val="false"/>
        </w:rPr>
        <w:t xml:space="preserve"> with </w:t>
      </w:r>
      <w:r>
        <w:rPr>
          <w:rFonts w:ascii="Consolas" w:cs="Consolas" w:eastAsia="Consolas" w:hAnsi="Consolas"/>
          <w:b w:val="false"/>
          <w:bCs w:val="false"/>
          <w:sz w:val="19"/>
          <w:szCs w:val="19"/>
        </w:rPr>
        <w:t xml:space="preserve">enableBackgroundDelivery(for:frequency:)</w:t>
      </w:r>
      <w:r>
        <w:rPr>
          <w:b w:val="false"/>
          <w:bCs w:val="false"/>
        </w:rPr>
        <w:t xml:space="preserve"> wakes the app when the Dexcom app writes new glucose to HealthKit. This is a genuine push, not a heuristic schedule.</w:t>
      </w:r>
    </w:p>
    <w:p>
      <w:pPr>
        <w:pStyle w:val="ListParagraph"/>
        <w:numPr>
          <w:ilvl w:val="0"/>
          <w:numId w:val="3"/>
        </w:numPr>
        <w:spacing w:after="80" w:line="276"/>
      </w:pPr>
      <w:r>
        <w:rPr>
          <w:b/>
          <w:bCs/>
        </w:rPr>
        <w:t xml:space="preserve">Blood glucose is specifically eligible for </w:t>
      </w:r>
      <w:r>
        <w:rPr>
          <w:rFonts w:ascii="Consolas" w:cs="Consolas" w:eastAsia="Consolas" w:hAnsi="Consolas"/>
          <w:b/>
          <w:bCs/>
          <w:sz w:val="19"/>
          <w:szCs w:val="19"/>
        </w:rPr>
        <w:t xml:space="preserve">HKUpdateFrequency.immediate</w:t>
      </w:r>
      <w:r>
        <w:rPr>
          <w:b/>
          <w:bCs/>
        </w:rPr>
        <w:t xml:space="preserve">.</w:t>
      </w:r>
      <w:r>
        <w:rPr>
          <w:b w:val="false"/>
          <w:bCs w:val="false"/>
        </w:rPr>
        <w:t xml:space="preserve"> Apple caps background delivery at hourly for most quantity types, but calls out blood glucose as an exception permitted immediate delivery. </w:t>
      </w:r>
      <w:r>
        <w:rPr>
          <w:b/>
          <w:bCs/>
        </w:rPr>
        <w:t xml:space="preserve">Verify this on the current SDK before relying on it</w:t>
      </w:r>
      <w:r>
        <w:rPr>
          <w:b w:val="false"/>
          <w:bCs w:val="false"/>
        </w:rPr>
        <w:t xml:space="preserve"> — it is a documented carve-out, and the entire wake cadence depends on it. If it has changed, the fallback is hourly delivery plus foreground polling, and the freshness expectations in §1.3 must be revised accordingly.</w:t>
      </w:r>
    </w:p>
    <w:p>
      <w:pPr>
        <w:pStyle w:val="ListParagraph"/>
        <w:numPr>
          <w:ilvl w:val="0"/>
          <w:numId w:val="3"/>
        </w:numPr>
        <w:spacing w:after="80" w:line="276"/>
      </w:pPr>
      <w:r>
        <w:rPr>
          <w:b/>
          <w:bCs/>
        </w:rPr>
        <w:t xml:space="preserve">Share is polled opportunistically inside the wake.</w:t>
      </w:r>
      <w:r>
        <w:rPr>
          <w:b w:val="false"/>
          <w:bCs w:val="false"/>
        </w:rPr>
        <w:t xml:space="preserve"> When the observer fires, the app has a short execution window. Within it: process the HealthKit anchored query, then attempt one Share poll with a 10-second timeout. If Share responds, the user gets a fresher value than HealthKit alone provided; if it does not, nothing is lost.</w:t>
      </w:r>
    </w:p>
    <w:p>
      <w:pPr>
        <w:pStyle w:val="ListParagraph"/>
        <w:numPr>
          <w:ilvl w:val="0"/>
          <w:numId w:val="3"/>
        </w:numPr>
        <w:spacing w:after="80" w:line="276"/>
      </w:pPr>
      <w:r>
        <w:rPr>
          <w:b/>
          <w:bCs/>
        </w:rPr>
        <w:t xml:space="preserve">Live Activity and complication updates ride the same wake.</w:t>
      </w:r>
      <w:r>
        <w:rPr>
          <w:b w:val="false"/>
          <w:bCs w:val="false"/>
        </w:rPr>
        <w:t xml:space="preserve"> One wake, one update pass across every surface.</w:t>
      </w:r>
    </w:p>
    <w:p>
      <w:pPr>
        <w:pStyle w:val="ListParagraph"/>
        <w:numPr>
          <w:ilvl w:val="0"/>
          <w:numId w:val="3"/>
        </w:numPr>
        <w:spacing w:after="80" w:line="276"/>
      </w:pPr>
      <w:r>
        <w:rPr>
          <w:rFonts w:ascii="Consolas" w:cs="Consolas" w:eastAsia="Consolas" w:hAnsi="Consolas"/>
          <w:b/>
          <w:bCs/>
          <w:sz w:val="19"/>
          <w:szCs w:val="19"/>
        </w:rPr>
        <w:t xml:space="preserve">BGAppRefreshTask</w:t>
      </w:r>
      <w:r>
        <w:rPr>
          <w:b/>
          <w:bCs/>
        </w:rPr>
        <w:t xml:space="preserve"> is retained only as a low-frequency janitor</w:t>
      </w:r>
      <w:r>
        <w:rPr>
          <w:b w:val="false"/>
          <w:bCs w:val="false"/>
        </w:rPr>
        <w:t xml:space="preserve"> — daily HealthKit backfill, aggregate recomputation, weekly backup — where an unpredictable schedule is acceptable.</w:t>
      </w:r>
    </w:p>
    <w:p>
      <w:pPr>
        <w:spacing w:after="100" w:before="180"/>
      </w:pPr>
      <w:r>
        <w:rPr>
          <w:b/>
          <w:bCs/>
          <w:color w:val="1F4D78"/>
        </w:rPr>
        <w:t xml:space="preserve">Consequence for the source hierarchy</w:t>
      </w:r>
    </w:p>
    <w:p>
      <w:pPr>
        <w:spacing w:after="120" w:line="276"/>
      </w:pPr>
      <w:r>
        <w:rPr>
          <w:b w:val="false"/>
          <w:bCs w:val="false"/>
        </w:rPr>
        <w:t xml:space="preserve">This inverts v1.1's framing. HealthKit is not the fallback; it is the substrate that makes the app work at all when it is not on screen. Share is a latency improvement applied on top. The user-facing behaviour is unchanged — freshest reading wins — but the reliability characteristics are completely different, and the build order in §7 changes to match: HealthKit is built first.</w:t>
      </w:r>
    </w:p>
    <w:p>
      <w:pPr>
        <w:pStyle w:val="Heading3"/>
        <w:spacing w:after="120" w:before="220"/>
      </w:pPr>
      <w:r>
        <w:rPr>
          <w:b w:val="false"/>
          <w:bCs w:val="false"/>
        </w:rPr>
        <w:t xml:space="preserve">4.2.2 HealthKitGlucoseSource</w:t>
      </w:r>
    </w:p>
    <w:p>
      <w:pPr>
        <w:pStyle w:val="ListParagraph"/>
        <w:numPr>
          <w:ilvl w:val="0"/>
          <w:numId w:val="2"/>
        </w:numPr>
        <w:spacing w:after="80" w:line="276"/>
      </w:pPr>
      <w:r>
        <w:rPr>
          <w:b w:val="false"/>
          <w:bCs w:val="false"/>
        </w:rPr>
        <w:t xml:space="preserve">Request </w:t>
      </w:r>
      <w:r>
        <w:rPr>
          <w:rFonts w:ascii="Consolas" w:cs="Consolas" w:eastAsia="Consolas" w:hAnsi="Consolas"/>
          <w:b w:val="false"/>
          <w:bCs w:val="false"/>
          <w:sz w:val="19"/>
          <w:szCs w:val="19"/>
        </w:rPr>
        <w:t xml:space="preserve">HKQuantityTypeIdentifier.bloodGlucose</w:t>
      </w:r>
      <w:r>
        <w:rPr>
          <w:b w:val="false"/>
          <w:bCs w:val="false"/>
        </w:rPr>
        <w:t xml:space="preserve"> read access at first launch with a clear </w:t>
      </w:r>
      <w:r>
        <w:rPr>
          <w:rFonts w:ascii="Consolas" w:cs="Consolas" w:eastAsia="Consolas" w:hAnsi="Consolas"/>
          <w:b w:val="false"/>
          <w:bCs w:val="false"/>
          <w:sz w:val="19"/>
          <w:szCs w:val="19"/>
        </w:rPr>
        <w:t xml:space="preserve">NSHealthShareUsageDescription</w:t>
      </w:r>
      <w:r>
        <w:rPr>
          <w:b w:val="false"/>
          <w:bCs w:val="false"/>
        </w:rPr>
        <w:t xml:space="preserve">. Request the §3.1.1 context types separately and later, so a denial of one does not block glucose.</w:t>
      </w:r>
    </w:p>
    <w:p>
      <w:pPr>
        <w:pStyle w:val="ListParagraph"/>
        <w:numPr>
          <w:ilvl w:val="0"/>
          <w:numId w:val="2"/>
        </w:numPr>
        <w:spacing w:after="80" w:line="276"/>
      </w:pPr>
      <w:r>
        <w:rPr>
          <w:b/>
          <w:bCs/>
        </w:rPr>
        <w:t xml:space="preserve">On launch:</w:t>
      </w:r>
      <w:r>
        <w:rPr>
          <w:b w:val="false"/>
          <w:bCs w:val="false"/>
        </w:rPr>
        <w:t xml:space="preserve"> run an </w:t>
      </w:r>
      <w:r>
        <w:rPr>
          <w:rFonts w:ascii="Consolas" w:cs="Consolas" w:eastAsia="Consolas" w:hAnsi="Consolas"/>
          <w:b w:val="false"/>
          <w:bCs w:val="false"/>
          <w:sz w:val="19"/>
          <w:szCs w:val="19"/>
        </w:rPr>
        <w:t xml:space="preserve">HKAnchoredObjectQuery</w:t>
      </w:r>
      <w:r>
        <w:rPr>
          <w:b w:val="false"/>
          <w:bCs w:val="false"/>
        </w:rPr>
        <w:t xml:space="preserve"> for the last 90 days to populate the historical store. Persist the anchor (in the App Group container, not UserDefaults, so extensions share it) for incremental updates.</w:t>
      </w:r>
    </w:p>
    <w:p>
      <w:pPr>
        <w:pStyle w:val="ListParagraph"/>
        <w:numPr>
          <w:ilvl w:val="0"/>
          <w:numId w:val="2"/>
        </w:numPr>
        <w:spacing w:after="80" w:line="276"/>
      </w:pPr>
      <w:r>
        <w:rPr>
          <w:b/>
          <w:bCs/>
        </w:rPr>
        <w:t xml:space="preserve">Steady state:</w:t>
      </w:r>
      <w:r>
        <w:rPr>
          <w:b w:val="false"/>
          <w:bCs w:val="false"/>
        </w:rPr>
        <w:t xml:space="preserve"> </w:t>
      </w:r>
      <w:r>
        <w:rPr>
          <w:rFonts w:ascii="Consolas" w:cs="Consolas" w:eastAsia="Consolas" w:hAnsi="Consolas"/>
          <w:b w:val="false"/>
          <w:bCs w:val="false"/>
          <w:sz w:val="19"/>
          <w:szCs w:val="19"/>
        </w:rPr>
        <w:t xml:space="preserve">HKObserverQuery</w:t>
      </w:r>
      <w:r>
        <w:rPr>
          <w:b w:val="false"/>
          <w:bCs w:val="false"/>
        </w:rPr>
        <w:t xml:space="preserve"> fires on new data; the handler runs an anchored query from the saved anchor and fetches only what is new. Always call the observer's completion handler, including on the error path — failing to do so causes iOS to throttle or stop delivering.</w:t>
      </w:r>
    </w:p>
    <w:p>
      <w:pPr>
        <w:pStyle w:val="ListParagraph"/>
        <w:numPr>
          <w:ilvl w:val="0"/>
          <w:numId w:val="2"/>
        </w:numPr>
        <w:spacing w:after="80" w:line="276"/>
      </w:pPr>
      <w:r>
        <w:rPr>
          <w:b/>
          <w:bCs/>
        </w:rPr>
        <w:t xml:space="preserve">Background delivery:</w:t>
      </w:r>
      <w:r>
        <w:rPr>
          <w:b w:val="false"/>
          <w:bCs w:val="false"/>
        </w:rPr>
        <w:t xml:space="preserve"> </w:t>
      </w:r>
      <w:r>
        <w:rPr>
          <w:rFonts w:ascii="Consolas" w:cs="Consolas" w:eastAsia="Consolas" w:hAnsi="Consolas"/>
          <w:b w:val="false"/>
          <w:bCs w:val="false"/>
          <w:sz w:val="19"/>
          <w:szCs w:val="19"/>
        </w:rPr>
        <w:t xml:space="preserve">enableBackgroundDelivery(for:frequency:.immediate)</w:t>
      </w:r>
      <w:r>
        <w:rPr>
          <w:b w:val="false"/>
          <w:bCs w:val="false"/>
        </w:rPr>
        <w:t xml:space="preserve">, with the </w:t>
      </w:r>
      <w:r>
        <w:rPr>
          <w:rFonts w:ascii="Consolas" w:cs="Consolas" w:eastAsia="Consolas" w:hAnsi="Consolas"/>
          <w:b w:val="false"/>
          <w:bCs w:val="false"/>
          <w:sz w:val="19"/>
          <w:szCs w:val="19"/>
        </w:rPr>
        <w:t xml:space="preserve">com.apple.developer.healthkit.background-delivery</w:t>
      </w:r>
      <w:r>
        <w:rPr>
          <w:b w:val="false"/>
          <w:bCs w:val="false"/>
        </w:rPr>
        <w:t xml:space="preserve"> entitlement.</w:t>
      </w:r>
    </w:p>
    <w:p>
      <w:pPr>
        <w:pStyle w:val="ListParagraph"/>
        <w:numPr>
          <w:ilvl w:val="0"/>
          <w:numId w:val="2"/>
        </w:numPr>
        <w:spacing w:after="80" w:line="276"/>
      </w:pPr>
      <w:r>
        <w:rPr>
          <w:b/>
          <w:bCs/>
        </w:rPr>
        <w:t xml:space="preserve">Deleted samples:</w:t>
      </w:r>
      <w:r>
        <w:rPr>
          <w:b w:val="false"/>
          <w:bCs w:val="false"/>
        </w:rPr>
        <w:t xml:space="preserve"> the anchored query returns deletions as well as additions. Handle them — Dexcom does occasionally remove samples, and ignoring deletions leaves phantom readings that corrupt every statistic downstream.</w:t>
      </w:r>
    </w:p>
    <w:p>
      <w:pPr>
        <w:pStyle w:val="ListParagraph"/>
        <w:numPr>
          <w:ilvl w:val="0"/>
          <w:numId w:val="2"/>
        </w:numPr>
        <w:spacing w:after="80" w:line="276"/>
      </w:pPr>
      <w:r>
        <w:rPr>
          <w:b/>
          <w:bCs/>
        </w:rPr>
        <w:t xml:space="preserve">Conversion:</w:t>
      </w:r>
      <w:r>
        <w:rPr>
          <w:b w:val="false"/>
          <w:bCs w:val="false"/>
        </w:rPr>
        <w:t xml:space="preserve"> </w:t>
      </w:r>
      <w:r>
        <w:rPr>
          <w:rFonts w:ascii="Consolas" w:cs="Consolas" w:eastAsia="Consolas" w:hAnsi="Consolas"/>
          <w:b w:val="false"/>
          <w:bCs w:val="false"/>
          <w:sz w:val="19"/>
          <w:szCs w:val="19"/>
        </w:rPr>
        <w:t xml:space="preserve">HKQuantitySample</w:t>
      </w:r>
      <w:r>
        <w:rPr>
          <w:b w:val="false"/>
          <w:bCs w:val="false"/>
        </w:rPr>
        <w:t xml:space="preserve"> to </w:t>
      </w:r>
      <w:r>
        <w:rPr>
          <w:rFonts w:ascii="Consolas" w:cs="Consolas" w:eastAsia="Consolas" w:hAnsi="Consolas"/>
          <w:b w:val="false"/>
          <w:bCs w:val="false"/>
          <w:sz w:val="19"/>
          <w:szCs w:val="19"/>
        </w:rPr>
        <w:t xml:space="preserve">GlucoseReading</w:t>
      </w:r>
      <w:r>
        <w:rPr>
          <w:b w:val="false"/>
          <w:bCs w:val="false"/>
        </w:rPr>
        <w:t xml:space="preserve"> — value in mg/dL, </w:t>
      </w:r>
      <w:r>
        <w:rPr>
          <w:rFonts w:ascii="Consolas" w:cs="Consolas" w:eastAsia="Consolas" w:hAnsi="Consolas"/>
          <w:b w:val="false"/>
          <w:bCs w:val="false"/>
          <w:sz w:val="19"/>
          <w:szCs w:val="19"/>
        </w:rPr>
        <w:t xml:space="preserve">startDate</w:t>
      </w:r>
      <w:r>
        <w:rPr>
          <w:b w:val="false"/>
          <w:bCs w:val="false"/>
        </w:rPr>
        <w:t xml:space="preserve"> as sample time, source bundle identifier as provenance. Filter to Dexcom's bundle identifier so a manual fingerstick entry or a third-party app's writes are not mistaken for CGM data.</w:t>
      </w:r>
    </w:p>
    <w:p>
      <w:pPr>
        <w:pStyle w:val="ListParagraph"/>
        <w:numPr>
          <w:ilvl w:val="0"/>
          <w:numId w:val="2"/>
        </w:numPr>
        <w:spacing w:after="80" w:line="276"/>
      </w:pPr>
      <w:r>
        <w:rPr>
          <w:b/>
          <w:bCs/>
        </w:rPr>
        <w:t xml:space="preserve">Trend arrows are not available from HealthKit.</w:t>
      </w:r>
      <w:r>
        <w:rPr>
          <w:b w:val="false"/>
          <w:bCs w:val="false"/>
        </w:rPr>
        <w:t xml:space="preserve"> When a reading comes from this source alone, compute the trend client-side per §4.2.6.</w:t>
      </w:r>
    </w:p>
    <w:p>
      <w:pPr>
        <w:spacing w:after="100" w:before="180"/>
      </w:pPr>
      <w:r>
        <w:rPr>
          <w:b/>
          <w:bCs/>
          <w:color w:val="1F4D78"/>
        </w:rPr>
        <w:t xml:space="preserve">Required calibration measurement</w:t>
      </w:r>
    </w:p>
    <w:p>
      <w:pPr>
        <w:spacing w:after="120" w:line="276"/>
      </w:pPr>
      <w:r>
        <w:rPr>
          <w:b w:val="false"/>
          <w:bCs w:val="false"/>
        </w:rPr>
        <w:t xml:space="preserve">v1.1 asserted that HealthKit glucose is 15 to 30 minutes stale due to Dexcom's batched writes. That figure was accurate for the G6 era; G7's write behaviour differs and has changed across app versions. </w:t>
      </w:r>
      <w:r>
        <w:rPr>
          <w:b/>
          <w:bCs/>
        </w:rPr>
        <w:t xml:space="preserve">This number must be measured on the user's own device before any UI copy or threshold depends on it.</w:t>
      </w:r>
    </w:p>
    <w:p>
      <w:pPr>
        <w:spacing w:after="120" w:line="276"/>
      </w:pPr>
      <w:r>
        <w:rPr>
          <w:b w:val="false"/>
          <w:bCs w:val="false"/>
        </w:rPr>
        <w:t xml:space="preserve">Method: for 48 hours, log every reading's HealthKit arrival time against its sample timestamp and against the Share arrival time for the same sample. Report the median and 90th-percentile lag. Phase 1's exit criterion (§7) is that this measurement exists.</w:t>
      </w:r>
    </w:p>
    <w:p>
      <w:pPr>
        <w:spacing w:after="120" w:line="276"/>
      </w:pPr>
      <w:r>
        <w:rPr>
          <w:b w:val="false"/>
          <w:bCs w:val="false"/>
        </w:rPr>
        <w:t xml:space="preserve">The outcome changes product decisions. If the measured lag is small, HealthKit-only mode is a first-class experience and Share becomes genuinely optional. If it is large, the “add Dexcom Share for fresher data” prompt in §4.2.5 needs to be more prominent than currently specified.</w:t>
      </w:r>
    </w:p>
    <w:p>
      <w:pPr>
        <w:pStyle w:val="Heading3"/>
        <w:spacing w:after="120" w:before="220"/>
      </w:pPr>
      <w:r>
        <w:rPr>
          <w:b w:val="false"/>
          <w:bCs w:val="false"/>
        </w:rPr>
        <w:t xml:space="preserve">4.2.3 DexcomShareClient</w:t>
      </w:r>
    </w:p>
    <w:p>
      <w:pPr>
        <w:spacing w:after="120" w:line="276"/>
      </w:pPr>
      <w:r>
        <w:rPr>
          <w:b w:val="false"/>
          <w:bCs w:val="false"/>
        </w:rPr>
        <w:t xml:space="preserve">The Share API is undocumented and reverse-engineered by the Nightscout and xDrip4iOS communities. Do not derive the protocol from scratch — pin the implementation against a maintained reference (pydexcom, or Nightscout's share bridge) and re-check it when it breaks, because it will.</w:t>
      </w:r>
    </w:p>
    <w:p>
      <w:pPr>
        <w:spacing w:after="100" w:before="180"/>
      </w:pPr>
      <w:r>
        <w:rPr>
          <w:b/>
          <w:bCs/>
          <w:color w:val="1F4D78"/>
        </w:rPr>
        <w:t xml:space="preserve">Authentication flow</w:t>
      </w:r>
    </w:p>
    <w:p>
      <w:pPr>
        <w:spacing w:after="120" w:line="276"/>
      </w:pPr>
      <w:r>
        <w:rPr>
          <w:b w:val="false"/>
          <w:bCs w:val="false"/>
        </w:rPr>
        <w:t xml:space="preserve">v1.1 described a single login call. Current implementations use two steps, and the endpoint names are misleading — “Publisher” appears in the path even when authenticating a follower account:</w:t>
      </w:r>
    </w:p>
    <w:p>
      <w:pPr>
        <w:pStyle w:val="ListParagraph"/>
        <w:numPr>
          <w:ilvl w:val="0"/>
          <w:numId w:val="3"/>
        </w:numPr>
        <w:spacing w:after="80" w:line="276"/>
      </w:pPr>
      <w:r>
        <w:rPr>
          <w:rFonts w:ascii="Consolas" w:cs="Consolas" w:eastAsia="Consolas" w:hAnsi="Consolas"/>
          <w:b w:val="false"/>
          <w:bCs w:val="false"/>
          <w:sz w:val="19"/>
          <w:szCs w:val="19"/>
        </w:rPr>
        <w:t xml:space="preserve">POST /ShareWebServices/Services/General/AuthenticatePublisherAccountByName</w:t>
      </w:r>
      <w:r>
        <w:rPr>
          <w:b w:val="false"/>
          <w:bCs w:val="false"/>
        </w:rPr>
        <w:t xml:space="preserve"> → returns an account ID.</w:t>
      </w:r>
    </w:p>
    <w:p>
      <w:pPr>
        <w:pStyle w:val="ListParagraph"/>
        <w:numPr>
          <w:ilvl w:val="0"/>
          <w:numId w:val="3"/>
        </w:numPr>
        <w:spacing w:after="80" w:line="276"/>
      </w:pPr>
      <w:r>
        <w:rPr>
          <w:rFonts w:ascii="Consolas" w:cs="Consolas" w:eastAsia="Consolas" w:hAnsi="Consolas"/>
          <w:b w:val="false"/>
          <w:bCs w:val="false"/>
          <w:sz w:val="19"/>
          <w:szCs w:val="19"/>
        </w:rPr>
        <w:t xml:space="preserve">POST /ShareWebServices/Services/General/LoginPublisherAccountById</w:t>
      </w:r>
      <w:r>
        <w:rPr>
          <w:b w:val="false"/>
          <w:bCs w:val="false"/>
        </w:rPr>
        <w:t xml:space="preserve"> → returns a session ID.</w:t>
      </w:r>
    </w:p>
    <w:p>
      <w:pPr>
        <w:pStyle w:val="ListParagraph"/>
        <w:numPr>
          <w:ilvl w:val="0"/>
          <w:numId w:val="3"/>
        </w:numPr>
        <w:spacing w:after="80" w:line="276"/>
      </w:pPr>
      <w:r>
        <w:rPr>
          <w:rFonts w:ascii="Consolas" w:cs="Consolas" w:eastAsia="Consolas" w:hAnsi="Consolas"/>
          <w:b w:val="false"/>
          <w:bCs w:val="false"/>
          <w:sz w:val="19"/>
          <w:szCs w:val="19"/>
        </w:rPr>
        <w:t xml:space="preserve">POST /ShareWebServices/Services/Publisher/ReadPublisherLatestGlucoseValues</w:t>
      </w:r>
      <w:r>
        <w:rPr>
          <w:b w:val="false"/>
          <w:bCs w:val="false"/>
        </w:rPr>
        <w:t xml:space="preserve"> with the session ID, a </w:t>
      </w:r>
      <w:r>
        <w:rPr>
          <w:rFonts w:ascii="Consolas" w:cs="Consolas" w:eastAsia="Consolas" w:hAnsi="Consolas"/>
          <w:b w:val="false"/>
          <w:bCs w:val="false"/>
          <w:sz w:val="19"/>
          <w:szCs w:val="19"/>
        </w:rPr>
        <w:t xml:space="preserve">minutes</w:t>
      </w:r>
      <w:r>
        <w:rPr>
          <w:b w:val="false"/>
          <w:bCs w:val="false"/>
        </w:rPr>
        <w:t xml:space="preserve"> window, and a </w:t>
      </w:r>
      <w:r>
        <w:rPr>
          <w:rFonts w:ascii="Consolas" w:cs="Consolas" w:eastAsia="Consolas" w:hAnsi="Consolas"/>
          <w:b w:val="false"/>
          <w:bCs w:val="false"/>
          <w:sz w:val="19"/>
          <w:szCs w:val="19"/>
        </w:rPr>
        <w:t xml:space="preserve">maxCount</w:t>
      </w:r>
      <w:r>
        <w:rPr>
          <w:b w:val="false"/>
          <w:bCs w:val="false"/>
        </w:rPr>
        <w:t xml:space="preserve"> → returns recent values as JSON.</w:t>
      </w:r>
    </w:p>
    <w:p>
      <w:pPr>
        <w:pStyle w:val="ListParagraph"/>
        <w:numPr>
          <w:ilvl w:val="0"/>
          <w:numId w:val="2"/>
        </w:numPr>
        <w:spacing w:after="80" w:line="276"/>
      </w:pPr>
      <w:r>
        <w:rPr>
          <w:b w:val="false"/>
          <w:bCs w:val="false"/>
        </w:rPr>
        <w:t xml:space="preserve">All calls require the well-known </w:t>
      </w:r>
      <w:r>
        <w:rPr>
          <w:rFonts w:ascii="Consolas" w:cs="Consolas" w:eastAsia="Consolas" w:hAnsi="Consolas"/>
          <w:b w:val="false"/>
          <w:bCs w:val="false"/>
          <w:sz w:val="19"/>
          <w:szCs w:val="19"/>
        </w:rPr>
        <w:t xml:space="preserve">applicationId</w:t>
      </w:r>
      <w:r>
        <w:rPr>
          <w:b w:val="false"/>
          <w:bCs w:val="false"/>
        </w:rPr>
        <w:t xml:space="preserve"> constant in the request body. Requests without it fail in ways that are not obviously authentication failures.</w:t>
      </w:r>
    </w:p>
    <w:p>
      <w:pPr>
        <w:pStyle w:val="ListParagraph"/>
        <w:numPr>
          <w:ilvl w:val="0"/>
          <w:numId w:val="2"/>
        </w:numPr>
        <w:spacing w:after="80" w:line="276"/>
      </w:pPr>
      <w:r>
        <w:rPr>
          <w:b w:val="false"/>
          <w:bCs w:val="false"/>
        </w:rPr>
        <w:t xml:space="preserve">Session IDs expire. Refresh on a 401 by re-running both login steps — once.</w:t>
      </w:r>
    </w:p>
    <w:p>
      <w:pPr>
        <w:spacing w:after="100" w:before="180"/>
      </w:pPr>
      <w:r>
        <w:rPr>
          <w:b/>
          <w:bCs/>
          <w:color w:val="1F4D78"/>
        </w:rPr>
        <w:t xml:space="preserve">Parsing hazards</w:t>
      </w:r>
    </w:p>
    <w:p>
      <w:pPr>
        <w:pStyle w:val="ListParagraph"/>
        <w:numPr>
          <w:ilvl w:val="0"/>
          <w:numId w:val="2"/>
        </w:numPr>
        <w:spacing w:after="80" w:line="276"/>
      </w:pPr>
      <w:r>
        <w:rPr>
          <w:b/>
          <w:bCs/>
        </w:rPr>
        <w:t xml:space="preserve">Timestamps arrive in Microsoft JSON date format</w:t>
      </w:r>
      <w:r>
        <w:rPr>
          <w:b w:val="false"/>
          <w:bCs w:val="false"/>
        </w:rPr>
        <w:t xml:space="preserve"> — </w:t>
      </w:r>
      <w:r>
        <w:rPr>
          <w:rFonts w:ascii="Consolas" w:cs="Consolas" w:eastAsia="Consolas" w:hAnsi="Consolas"/>
          <w:b w:val="false"/>
          <w:bCs w:val="false"/>
          <w:sz w:val="19"/>
          <w:szCs w:val="19"/>
        </w:rPr>
        <w:t xml:space="preserve">/Date(1747051200000)/</w:t>
      </w:r>
      <w:r>
        <w:rPr>
          <w:b w:val="false"/>
          <w:bCs w:val="false"/>
        </w:rPr>
        <w:t xml:space="preserve"> — across three separate fields (</w:t>
      </w:r>
      <w:r>
        <w:rPr>
          <w:rFonts w:ascii="Consolas" w:cs="Consolas" w:eastAsia="Consolas" w:hAnsi="Consolas"/>
          <w:b w:val="false"/>
          <w:bCs w:val="false"/>
          <w:sz w:val="19"/>
          <w:szCs w:val="19"/>
        </w:rPr>
        <w:t xml:space="preserve">WT</w:t>
      </w:r>
      <w:r>
        <w:rPr>
          <w:b w:val="false"/>
          <w:bCs w:val="false"/>
        </w:rPr>
        <w:t xml:space="preserve"> wall time, </w:t>
      </w:r>
      <w:r>
        <w:rPr>
          <w:rFonts w:ascii="Consolas" w:cs="Consolas" w:eastAsia="Consolas" w:hAnsi="Consolas"/>
          <w:b w:val="false"/>
          <w:bCs w:val="false"/>
          <w:sz w:val="19"/>
          <w:szCs w:val="19"/>
        </w:rPr>
        <w:t xml:space="preserve">ST</w:t>
      </w:r>
      <w:r>
        <w:rPr>
          <w:b w:val="false"/>
          <w:bCs w:val="false"/>
        </w:rPr>
        <w:t xml:space="preserve"> system time, </w:t>
      </w:r>
      <w:r>
        <w:rPr>
          <w:rFonts w:ascii="Consolas" w:cs="Consolas" w:eastAsia="Consolas" w:hAnsi="Consolas"/>
          <w:b w:val="false"/>
          <w:bCs w:val="false"/>
          <w:sz w:val="19"/>
          <w:szCs w:val="19"/>
        </w:rPr>
        <w:t xml:space="preserve">DT</w:t>
      </w:r>
      <w:r>
        <w:rPr>
          <w:b w:val="false"/>
          <w:bCs w:val="false"/>
        </w:rPr>
        <w:t xml:space="preserve"> display time with a timezone offset). Use </w:t>
      </w:r>
      <w:r>
        <w:rPr>
          <w:rFonts w:ascii="Consolas" w:cs="Consolas" w:eastAsia="Consolas" w:hAnsi="Consolas"/>
          <w:b w:val="false"/>
          <w:bCs w:val="false"/>
          <w:sz w:val="19"/>
          <w:szCs w:val="19"/>
        </w:rPr>
        <w:t xml:space="preserve">WT</w:t>
      </w:r>
      <w:r>
        <w:rPr>
          <w:b w:val="false"/>
          <w:bCs w:val="false"/>
        </w:rPr>
        <w:t xml:space="preserve"> as the canonical sample time. Naive </w:t>
      </w:r>
      <w:r>
        <w:rPr>
          <w:rFonts w:ascii="Consolas" w:cs="Consolas" w:eastAsia="Consolas" w:hAnsi="Consolas"/>
          <w:b w:val="false"/>
          <w:bCs w:val="false"/>
          <w:sz w:val="19"/>
          <w:szCs w:val="19"/>
        </w:rPr>
        <w:t xml:space="preserve">ISO8601DateFormatter</w:t>
      </w:r>
      <w:r>
        <w:rPr>
          <w:b w:val="false"/>
          <w:bCs w:val="false"/>
        </w:rPr>
        <w:t xml:space="preserve"> parsing fails silently here and is a classic source of hours-off bugs.</w:t>
      </w:r>
    </w:p>
    <w:p>
      <w:pPr>
        <w:pStyle w:val="ListParagraph"/>
        <w:numPr>
          <w:ilvl w:val="0"/>
          <w:numId w:val="2"/>
        </w:numPr>
        <w:spacing w:after="80" w:line="276"/>
      </w:pPr>
      <w:r>
        <w:rPr>
          <w:rFonts w:ascii="Consolas" w:cs="Consolas" w:eastAsia="Consolas" w:hAnsi="Consolas"/>
          <w:b/>
          <w:bCs/>
          <w:sz w:val="19"/>
          <w:szCs w:val="19"/>
        </w:rPr>
        <w:t xml:space="preserve">Trend</w:t>
      </w:r>
      <w:r>
        <w:rPr>
          <w:b/>
          <w:bCs/>
        </w:rPr>
        <w:t xml:space="preserve"> is returned as an integer in some responses and a string in others</w:t>
      </w:r>
      <w:r>
        <w:rPr>
          <w:b w:val="false"/>
          <w:bCs w:val="false"/>
        </w:rPr>
        <w:t xml:space="preserve"> (</w:t>
      </w:r>
      <w:r>
        <w:rPr>
          <w:rFonts w:ascii="Consolas" w:cs="Consolas" w:eastAsia="Consolas" w:hAnsi="Consolas"/>
          <w:b w:val="false"/>
          <w:bCs w:val="false"/>
          <w:sz w:val="19"/>
          <w:szCs w:val="19"/>
        </w:rPr>
        <w:t xml:space="preserve">4</w:t>
      </w:r>
      <w:r>
        <w:rPr>
          <w:b w:val="false"/>
          <w:bCs w:val="false"/>
        </w:rPr>
        <w:t xml:space="preserve"> versus </w:t>
      </w:r>
      <w:r>
        <w:rPr>
          <w:rFonts w:ascii="Consolas" w:cs="Consolas" w:eastAsia="Consolas" w:hAnsi="Consolas"/>
          <w:b w:val="false"/>
          <w:bCs w:val="false"/>
          <w:sz w:val="19"/>
          <w:szCs w:val="19"/>
        </w:rPr>
        <w:t xml:space="preserve">"Flat"</w:t>
      </w:r>
      <w:r>
        <w:rPr>
          <w:b w:val="false"/>
          <w:bCs w:val="false"/>
        </w:rPr>
        <w:t xml:space="preserve">). Decode both. This change has broken numerous clients.</w:t>
      </w:r>
    </w:p>
    <w:p>
      <w:pPr>
        <w:pStyle w:val="ListParagraph"/>
        <w:numPr>
          <w:ilvl w:val="0"/>
          <w:numId w:val="2"/>
        </w:numPr>
        <w:spacing w:after="80" w:line="276"/>
      </w:pPr>
      <w:r>
        <w:rPr>
          <w:b/>
          <w:bCs/>
        </w:rPr>
        <w:t xml:space="preserve">Values at the rails</w:t>
      </w:r>
      <w:r>
        <w:rPr>
          <w:b w:val="false"/>
          <w:bCs w:val="false"/>
        </w:rPr>
        <w:t xml:space="preserve"> are reported as the boundary numbers; map them to the LOW/HIGH sentinels of §3.1.2 rather than treating them as measurements.</w:t>
      </w:r>
    </w:p>
    <w:p>
      <w:pPr>
        <w:spacing w:after="100" w:before="180"/>
      </w:pPr>
      <w:r>
        <w:rPr>
          <w:b/>
          <w:bCs/>
          <w:color w:val="1F4D78"/>
        </w:rPr>
        <w:t xml:space="preserve">Failure handling</w:t>
      </w:r>
    </w:p>
    <w:p>
      <w:pPr>
        <w:spacing w:after="120" w:line="276"/>
      </w:pPr>
      <w:r>
        <w:rPr>
          <w:b w:val="false"/>
          <w:bCs w:val="false"/>
        </w:rPr>
        <w:t xml:space="preserve">v1.1 specified a blanket exponential backoff (1, 2, 5, 15 min) for all errors. Applied to a 401 this retries bad credentials indefinitely and will lock the Dexcom account — the same account the official app may depend on. The paths must be separated:</w:t>
      </w:r>
    </w:p>
    <w:p>
      <w:pPr>
        <w:pStyle w:val="ListParagraph"/>
        <w:numPr>
          <w:ilvl w:val="0"/>
          <w:numId w:val="2"/>
        </w:numPr>
        <w:spacing w:after="80" w:line="276"/>
      </w:pPr>
      <w:r>
        <w:rPr>
          <w:b/>
          <w:bCs/>
        </w:rPr>
        <w:t xml:space="preserve">Authentication failure (401 after one refresh attempt, or a login rejection):</w:t>
      </w:r>
      <w:r>
        <w:rPr>
          <w:b w:val="false"/>
          <w:bCs w:val="false"/>
        </w:rPr>
        <w:t xml:space="preserve"> stop immediately. Do not retry. Surface a clear prompt asking the user to re-enter credentials. Record it in diagnostics.</w:t>
      </w:r>
    </w:p>
    <w:p>
      <w:pPr>
        <w:pStyle w:val="ListParagraph"/>
        <w:numPr>
          <w:ilvl w:val="0"/>
          <w:numId w:val="2"/>
        </w:numPr>
        <w:spacing w:after="80" w:line="276"/>
      </w:pPr>
      <w:r>
        <w:rPr>
          <w:b/>
          <w:bCs/>
        </w:rPr>
        <w:t xml:space="preserve">Transient failure (timeout, 5xx, no network):</w:t>
      </w:r>
      <w:r>
        <w:rPr>
          <w:b w:val="false"/>
          <w:bCs w:val="false"/>
        </w:rPr>
        <w:t xml:space="preserve"> exponential backoff 1, 2, 5, 15 minutes, capped. Fall back to HealthKit and show the “Share offline” indicator.</w:t>
      </w:r>
    </w:p>
    <w:p>
      <w:pPr>
        <w:pStyle w:val="ListParagraph"/>
        <w:numPr>
          <w:ilvl w:val="0"/>
          <w:numId w:val="2"/>
        </w:numPr>
        <w:spacing w:after="80" w:line="276"/>
      </w:pPr>
      <w:r>
        <w:rPr>
          <w:b/>
          <w:bCs/>
        </w:rPr>
        <w:t xml:space="preserve">Parse failure:</w:t>
      </w:r>
      <w:r>
        <w:rPr>
          <w:b w:val="false"/>
          <w:bCs w:val="false"/>
        </w:rPr>
        <w:t xml:space="preserve"> never crash. Retain last-known values, log the raw payload to the local diagnostic view, and treat the source as offline. Because the API is undocumented, a shape change is an expected event, not an exceptional one.</w:t>
      </w:r>
    </w:p>
    <w:p>
      <w:pPr>
        <w:pStyle w:val="ListParagraph"/>
        <w:numPr>
          <w:ilvl w:val="0"/>
          <w:numId w:val="2"/>
        </w:numPr>
        <w:spacing w:after="80" w:line="276"/>
      </w:pPr>
      <w:r>
        <w:rPr>
          <w:b w:val="false"/>
          <w:bCs w:val="false"/>
        </w:rPr>
        <w:t xml:space="preserve">Wrap everything in an actor to serialise requests and session refresh. 10-second request timeout. Diagnostics are local-only — nothing is sent to a remote service.</w:t>
      </w:r>
    </w:p>
    <w:p>
      <w:pPr>
        <w:pBdr>
          <w:left w:val="single" w:color="BFD3E6" w:sz="12" w:space="8"/>
        </w:pBdr>
        <w:spacing w:after="160" w:line="260"/>
        <w:ind w:left="180"/>
      </w:pPr>
      <w:r>
        <w:rPr>
          <w:b w:val="false"/>
          <w:bCs w:val="false"/>
          <w:i/>
          <w:iCs/>
          <w:color w:val="595959"/>
          <w:sz w:val="20"/>
          <w:szCs w:val="20"/>
        </w:rPr>
        <w:t xml:space="preserve">Changed in v1.2: two-step auth flow, applicationId, Microsoft date format, integer/string trend polymorphism, the auth-versus-transient backoff split, and the Japan endpoint are all new.</w:t>
      </w:r>
    </w:p>
    <w:p>
      <w:pPr>
        <w:pStyle w:val="Heading3"/>
        <w:spacing w:after="120" w:before="220"/>
      </w:pPr>
      <w:r>
        <w:rPr>
          <w:b w:val="false"/>
          <w:bCs w:val="false"/>
        </w:rPr>
        <w:t xml:space="preserve">4.2.4 GlucoseSourceCoordinator</w:t>
      </w:r>
    </w:p>
    <w:p>
      <w:pPr>
        <w:pStyle w:val="ListParagraph"/>
        <w:numPr>
          <w:ilvl w:val="0"/>
          <w:numId w:val="2"/>
        </w:numPr>
        <w:spacing w:after="80" w:line="276"/>
      </w:pPr>
      <w:r>
        <w:rPr>
          <w:b w:val="false"/>
          <w:bCs w:val="false"/>
        </w:rPr>
        <w:t xml:space="preserve">A single actor subscribing to both sources, merging, and publishing a unified stream the UI observes.</w:t>
      </w:r>
    </w:p>
    <w:p>
      <w:pPr>
        <w:pStyle w:val="ListParagraph"/>
        <w:numPr>
          <w:ilvl w:val="0"/>
          <w:numId w:val="2"/>
        </w:numPr>
        <w:spacing w:after="80" w:line="276"/>
      </w:pPr>
      <w:r>
        <w:rPr>
          <w:b/>
          <w:bCs/>
        </w:rPr>
        <w:t xml:space="preserve">Merge rule:</w:t>
      </w:r>
      <w:r>
        <w:rPr>
          <w:b w:val="false"/>
          <w:bCs w:val="false"/>
        </w:rPr>
        <w:t xml:space="preserve"> two readings whose sample times fall within ±2.5 minutes are the same physical sample. They are </w:t>
      </w:r>
      <w:r>
        <w:rPr>
          <w:b/>
          <w:bCs/>
        </w:rPr>
        <w:t xml:space="preserve">merged into one canonical record</w:t>
      </w:r>
      <w:r>
        <w:rPr>
          <w:b w:val="false"/>
          <w:bCs w:val="false"/>
        </w:rPr>
        <w:t xml:space="preserve"> — HealthKit's timestamp (cleaner, derived from the sample itself) plus Share's trend and raw fields (HealthKit carries no trend) — with provenance recorded as </w:t>
      </w:r>
      <w:r>
        <w:rPr>
          <w:rFonts w:ascii="Consolas" w:cs="Consolas" w:eastAsia="Consolas" w:hAnsi="Consolas"/>
          <w:b w:val="false"/>
          <w:bCs w:val="false"/>
          <w:sz w:val="19"/>
          <w:szCs w:val="19"/>
        </w:rPr>
        <w:t xml:space="preserve">.both</w:t>
      </w:r>
      <w:r>
        <w:rPr>
          <w:b w:val="false"/>
          <w:bCs w:val="false"/>
        </w:rPr>
        <w:t xml:space="preserve">. v1.1 contained two contradictory rules here: §3.1.1 said the earlier timestamp wins, §4.2.3 said the record with the most metadata wins. Neither is right, because both discard information that the other source uniquely holds.</w:t>
      </w:r>
    </w:p>
    <w:p>
      <w:pPr>
        <w:pStyle w:val="ListParagraph"/>
        <w:numPr>
          <w:ilvl w:val="0"/>
          <w:numId w:val="2"/>
        </w:numPr>
        <w:spacing w:after="80" w:line="276"/>
      </w:pPr>
      <w:r>
        <w:rPr>
          <w:b/>
          <w:bCs/>
        </w:rPr>
        <w:t xml:space="preserve">Window rationale:</w:t>
      </w:r>
      <w:r>
        <w:rPr>
          <w:b w:val="false"/>
          <w:bCs w:val="false"/>
        </w:rPr>
        <w:t xml:space="preserve"> 60 seconds (v1.1) is narrower than the clock skew observed between Share's wall time and HealthKit's sample time for the same reading. Half the 5-minute cadence is the widest window that cannot merge two genuinely distinct samples.</w:t>
      </w:r>
    </w:p>
    <w:p>
      <w:pPr>
        <w:pStyle w:val="ListParagraph"/>
        <w:numPr>
          <w:ilvl w:val="0"/>
          <w:numId w:val="2"/>
        </w:numPr>
        <w:spacing w:after="80" w:line="276"/>
      </w:pPr>
      <w:r>
        <w:rPr>
          <w:b/>
          <w:bCs/>
        </w:rPr>
        <w:t xml:space="preserve">Value disagreement:</w:t>
      </w:r>
      <w:r>
        <w:rPr>
          <w:b w:val="false"/>
          <w:bCs w:val="false"/>
        </w:rPr>
        <w:t xml:space="preserve"> if the two sources report different values for the same merged sample, prefer HealthKit's (it is written from the same source data without a cloud round-trip) and record the discrepancy in diagnostics. Persistent disagreement indicates a parsing bug, not a sensor issue.</w:t>
      </w:r>
    </w:p>
    <w:p>
      <w:pPr>
        <w:pStyle w:val="ListParagraph"/>
        <w:numPr>
          <w:ilvl w:val="0"/>
          <w:numId w:val="2"/>
        </w:numPr>
        <w:spacing w:after="80" w:line="276"/>
      </w:pPr>
      <w:r>
        <w:rPr>
          <w:b/>
          <w:bCs/>
        </w:rPr>
        <w:t xml:space="preserve">Upsert semantics:</w:t>
      </w:r>
      <w:r>
        <w:rPr>
          <w:b w:val="false"/>
          <w:bCs w:val="false"/>
        </w:rPr>
        <w:t xml:space="preserve"> persistence is keyed on sample time, not insertion order. A revised or backfilled reading updates the existing record. Insert-only persistence, as implied by v1.1, accumulates duplicates that silently corrupt every aggregate statistic.</w:t>
      </w:r>
    </w:p>
    <w:p>
      <w:pPr>
        <w:pStyle w:val="ListParagraph"/>
        <w:numPr>
          <w:ilvl w:val="0"/>
          <w:numId w:val="2"/>
        </w:numPr>
        <w:spacing w:after="80" w:line="276"/>
      </w:pPr>
      <w:r>
        <w:rPr>
          <w:b/>
          <w:bCs/>
        </w:rPr>
        <w:t xml:space="preserve">Freshness rule:</w:t>
      </w:r>
      <w:r>
        <w:rPr>
          <w:b w:val="false"/>
          <w:bCs w:val="false"/>
        </w:rPr>
        <w:t xml:space="preserve"> the “current” reading is the one with the latest sample time regardless of source, subject to the §1.3 staleness states.</w:t>
      </w:r>
    </w:p>
    <w:p>
      <w:pPr>
        <w:pStyle w:val="ListParagraph"/>
        <w:numPr>
          <w:ilvl w:val="0"/>
          <w:numId w:val="2"/>
        </w:numPr>
        <w:spacing w:after="80" w:line="276"/>
      </w:pPr>
      <w:r>
        <w:rPr>
          <w:b/>
          <w:bCs/>
        </w:rPr>
        <w:t xml:space="preserve">Source attribution:</w:t>
      </w:r>
      <w:r>
        <w:rPr>
          <w:b w:val="false"/>
          <w:bCs w:val="false"/>
        </w:rPr>
        <w:t xml:space="preserve"> every reading carries </w:t>
      </w:r>
      <w:r>
        <w:rPr>
          <w:rFonts w:ascii="Consolas" w:cs="Consolas" w:eastAsia="Consolas" w:hAnsi="Consolas"/>
          <w:b w:val="false"/>
          <w:bCs w:val="false"/>
          <w:sz w:val="19"/>
          <w:szCs w:val="19"/>
        </w:rPr>
        <w:t xml:space="preserve">.share</w:t>
      </w:r>
      <w:r>
        <w:rPr>
          <w:b w:val="false"/>
          <w:bCs w:val="false"/>
        </w:rPr>
        <w:t xml:space="preserve">, </w:t>
      </w:r>
      <w:r>
        <w:rPr>
          <w:rFonts w:ascii="Consolas" w:cs="Consolas" w:eastAsia="Consolas" w:hAnsi="Consolas"/>
          <w:b w:val="false"/>
          <w:bCs w:val="false"/>
          <w:sz w:val="19"/>
          <w:szCs w:val="19"/>
        </w:rPr>
        <w:t xml:space="preserve">.healthKit</w:t>
      </w:r>
      <w:r>
        <w:rPr>
          <w:b w:val="false"/>
          <w:bCs w:val="false"/>
        </w:rPr>
        <w:t xml:space="preserve">, or </w:t>
      </w:r>
      <w:r>
        <w:rPr>
          <w:rFonts w:ascii="Consolas" w:cs="Consolas" w:eastAsia="Consolas" w:hAnsi="Consolas"/>
          <w:b w:val="false"/>
          <w:bCs w:val="false"/>
          <w:sz w:val="19"/>
          <w:szCs w:val="19"/>
        </w:rPr>
        <w:t xml:space="preserve">.both</w:t>
      </w:r>
      <w:r>
        <w:rPr>
          <w:b w:val="false"/>
          <w:bCs w:val="false"/>
        </w:rPr>
        <w:t xml:space="preserve">, so the UI can render the §3.1.2 badge.</w:t>
      </w:r>
    </w:p>
    <w:p>
      <w:pPr>
        <w:pStyle w:val="ListParagraph"/>
        <w:numPr>
          <w:ilvl w:val="0"/>
          <w:numId w:val="2"/>
        </w:numPr>
        <w:spacing w:after="80" w:line="276"/>
      </w:pPr>
      <w:r>
        <w:rPr>
          <w:b w:val="false"/>
          <w:bCs w:val="false"/>
        </w:rPr>
        <w:t xml:space="preserve">All unique readings flow into SwiftData regardless of source; the historical view neither knows nor cares which source produced a given reading.</w:t>
      </w:r>
    </w:p>
    <w:p>
      <w:pPr>
        <w:pStyle w:val="Heading3"/>
        <w:spacing w:after="120" w:before="220"/>
      </w:pPr>
      <w:r>
        <w:rPr>
          <w:b w:val="false"/>
          <w:bCs w:val="false"/>
        </w:rPr>
        <w:t xml:space="preserve">4.2.5 Operating Modes</w:t>
      </w:r>
    </w:p>
    <w:p>
      <w:pPr>
        <w:pStyle w:val="ListParagraph"/>
        <w:numPr>
          <w:ilvl w:val="0"/>
          <w:numId w:val="2"/>
        </w:numPr>
        <w:spacing w:after="80" w:line="276"/>
      </w:pPr>
      <w:r>
        <w:rPr>
          <w:b/>
          <w:bCs/>
        </w:rPr>
        <w:t xml:space="preserve">Dual mode (default):</w:t>
      </w:r>
      <w:r>
        <w:rPr>
          <w:b w:val="false"/>
          <w:bCs w:val="false"/>
        </w:rPr>
        <w:t xml:space="preserve"> both sources active. Best freshness and reliability.</w:t>
      </w:r>
    </w:p>
    <w:p>
      <w:pPr>
        <w:pStyle w:val="ListParagraph"/>
        <w:numPr>
          <w:ilvl w:val="0"/>
          <w:numId w:val="2"/>
        </w:numPr>
        <w:spacing w:after="80" w:line="276"/>
      </w:pPr>
      <w:r>
        <w:rPr>
          <w:b/>
          <w:bCs/>
        </w:rPr>
        <w:t xml:space="preserve">HealthKit-only mode:</w:t>
      </w:r>
      <w:r>
        <w:rPr>
          <w:b w:val="false"/>
          <w:bCs w:val="false"/>
        </w:rPr>
        <w:t xml:space="preserve"> the user has not configured Dexcom Share. Fully functional; live readings lag by the amount measured in §4.2.2. A persistent but dismissible banner offers Share setup. This is a supported first-class mode, not a degraded one.</w:t>
      </w:r>
    </w:p>
    <w:p>
      <w:pPr>
        <w:pStyle w:val="ListParagraph"/>
        <w:numPr>
          <w:ilvl w:val="0"/>
          <w:numId w:val="2"/>
        </w:numPr>
        <w:spacing w:after="80" w:line="276"/>
      </w:pPr>
      <w:r>
        <w:rPr>
          <w:b/>
          <w:bCs/>
        </w:rPr>
        <w:t xml:space="preserve">Share-only mode:</w:t>
      </w:r>
      <w:r>
        <w:rPr>
          <w:b w:val="false"/>
          <w:bCs w:val="false"/>
        </w:rPr>
        <w:t xml:space="preserve"> the user declined HealthKit permission. Live data works in the foreground, but </w:t>
      </w:r>
      <w:r>
        <w:rPr>
          <w:b/>
          <w:bCs/>
        </w:rPr>
        <w:t xml:space="preserve">background updates do not work at all</w:t>
      </w:r>
      <w:r>
        <w:rPr>
          <w:b w:val="false"/>
          <w:bCs w:val="false"/>
        </w:rPr>
        <w:t xml:space="preserve">, because HealthKit background delivery was the wake mechanism. The app must say this plainly at the point of refusal rather than appearing to work and then silently going stale in the user's pocket. v1.1 characterised this mode as merely having slower historical backfill, which understated it substantially.</w:t>
      </w:r>
    </w:p>
    <w:p>
      <w:pPr>
        <w:pStyle w:val="ListParagraph"/>
        <w:numPr>
          <w:ilvl w:val="0"/>
          <w:numId w:val="2"/>
        </w:numPr>
        <w:spacing w:after="80" w:line="276"/>
      </w:pPr>
      <w:r>
        <w:rPr>
          <w:b/>
          <w:bCs/>
        </w:rPr>
        <w:t xml:space="preserve">Offline mode:</w:t>
      </w:r>
      <w:r>
        <w:rPr>
          <w:b w:val="false"/>
          <w:bCs w:val="false"/>
        </w:rPr>
        <w:t xml:space="preserve"> no network. Share fails; HealthKit continues from the local store. The app remains fully usable for logging and reviewing recent data.</w:t>
      </w:r>
    </w:p>
    <w:p>
      <w:pPr>
        <w:pStyle w:val="Heading3"/>
        <w:spacing w:after="120" w:before="220"/>
      </w:pPr>
      <w:r>
        <w:rPr>
          <w:b w:val="false"/>
          <w:bCs w:val="false"/>
        </w:rPr>
        <w:t xml:space="preserve">4.2.6 Trend Computation</w:t>
      </w:r>
    </w:p>
    <w:p>
      <w:pPr>
        <w:pBdr>
          <w:left w:val="single" w:color="BFD3E6" w:sz="12" w:space="8"/>
        </w:pBdr>
        <w:spacing w:after="160" w:line="260"/>
        <w:ind w:left="180"/>
      </w:pPr>
      <w:r>
        <w:rPr>
          <w:b w:val="false"/>
          <w:bCs w:val="false"/>
          <w:i/>
          <w:iCs/>
          <w:color w:val="595959"/>
          <w:sz w:val="20"/>
          <w:szCs w:val="20"/>
        </w:rPr>
        <w:t xml:space="preserve">New in v1.2. v1.1 specified computing the trend client-side but never gave thresholds — which would have produced arrows disagreeing with the official Dexcom app, undermining trust in the whole display.</w:t>
      </w:r>
    </w:p>
    <w:p>
      <w:pPr>
        <w:spacing w:after="120" w:line="276"/>
      </w:pPr>
      <w:r>
        <w:rPr>
          <w:b w:val="false"/>
          <w:bCs w:val="false"/>
        </w:rPr>
        <w:t xml:space="preserve">When a reading has no trend from Share, compute the rate of change by least-squares fit over the last 15 minutes (three to four samples) and map it to Dexcom's published bands: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2400"/>
        <w:gridCol w:w="3000"/>
        <w:gridCol w:w="3960"/>
      </w:tblGrid>
      <w:tr>
        <w:trPr>
          <w:tblHeader/>
        </w:trPr>
        <w:tc>
          <w:tcPr>
            <w:tcW w:type="dxa" w:w="2400"/>
            <w:shd w:fill="DEEAF6" w:color="auto" w:val="clear"/>
            <w:tcMar>
              <w:top w:type="dxa" w:w="60"/>
              <w:left w:type="dxa" w:w="100"/>
              <w:bottom w:type="dxa" w:w="60"/>
              <w:right w:type="dxa" w:w="100"/>
            </w:tcMar>
          </w:tcPr>
          <w:p>
            <w:pPr>
              <w:spacing w:after="0" w:line="250"/>
            </w:pPr>
            <w:r>
              <w:rPr>
                <w:b/>
                <w:bCs/>
                <w:sz w:val="20"/>
                <w:szCs w:val="20"/>
              </w:rPr>
              <w:t xml:space="preserve">State</w:t>
            </w:r>
          </w:p>
        </w:tc>
        <w:tc>
          <w:tcPr>
            <w:tcW w:type="dxa" w:w="3000"/>
            <w:shd w:fill="DEEAF6" w:color="auto" w:val="clear"/>
            <w:tcMar>
              <w:top w:type="dxa" w:w="60"/>
              <w:left w:type="dxa" w:w="100"/>
              <w:bottom w:type="dxa" w:w="60"/>
              <w:right w:type="dxa" w:w="100"/>
            </w:tcMar>
          </w:tcPr>
          <w:p>
            <w:pPr>
              <w:spacing w:after="0" w:line="250"/>
            </w:pPr>
            <w:r>
              <w:rPr>
                <w:b/>
                <w:bCs/>
                <w:sz w:val="20"/>
                <w:szCs w:val="20"/>
              </w:rPr>
              <w:t xml:space="preserve">Rate of change (mg/dL/min)</w:t>
            </w:r>
          </w:p>
        </w:tc>
        <w:tc>
          <w:tcPr>
            <w:tcW w:type="dxa" w:w="3960"/>
            <w:shd w:fill="DEEAF6" w:color="auto" w:val="clear"/>
            <w:tcMar>
              <w:top w:type="dxa" w:w="60"/>
              <w:left w:type="dxa" w:w="100"/>
              <w:bottom w:type="dxa" w:w="60"/>
              <w:right w:type="dxa" w:w="100"/>
            </w:tcMar>
          </w:tcPr>
          <w:p>
            <w:pPr>
              <w:spacing w:after="0" w:line="250"/>
            </w:pPr>
            <w:r>
              <w:rPr>
                <w:b/>
                <w:bCs/>
                <w:sz w:val="20"/>
                <w:szCs w:val="20"/>
              </w:rPr>
              <w:t xml:space="preserve">Notes</w:t>
            </w:r>
          </w:p>
        </w:tc>
      </w:tr>
      <w:tr>
        <w:tc>
          <w:tcPr>
            <w:tcW w:type="dxa" w:w="2400"/>
            <w:tcMar>
              <w:top w:type="dxa" w:w="60"/>
              <w:left w:type="dxa" w:w="100"/>
              <w:bottom w:type="dxa" w:w="60"/>
              <w:right w:type="dxa" w:w="100"/>
            </w:tcMar>
          </w:tcPr>
          <w:p>
            <w:pPr>
              <w:spacing w:after="0" w:line="250"/>
            </w:pPr>
            <w:r>
              <w:rPr>
                <w:b w:val="false"/>
                <w:bCs w:val="false"/>
                <w:sz w:val="20"/>
                <w:szCs w:val="20"/>
              </w:rPr>
              <w:t xml:space="preserve">Double up ⇈</w:t>
            </w:r>
          </w:p>
        </w:tc>
        <w:tc>
          <w:tcPr>
            <w:tcW w:type="dxa" w:w="3000"/>
            <w:tcMar>
              <w:top w:type="dxa" w:w="60"/>
              <w:left w:type="dxa" w:w="100"/>
              <w:bottom w:type="dxa" w:w="60"/>
              <w:right w:type="dxa" w:w="100"/>
            </w:tcMar>
          </w:tcPr>
          <w:p>
            <w:pPr>
              <w:spacing w:after="0" w:line="250"/>
            </w:pPr>
            <w:r>
              <w:rPr>
                <w:b w:val="false"/>
                <w:bCs w:val="false"/>
                <w:sz w:val="20"/>
                <w:szCs w:val="20"/>
              </w:rPr>
              <w:t xml:space="preserve">&gt; +3.0</w:t>
            </w:r>
          </w:p>
        </w:tc>
        <w:tc>
          <w:tcPr>
            <w:tcW w:type="dxa" w:w="3960"/>
            <w:tcMar>
              <w:top w:type="dxa" w:w="60"/>
              <w:left w:type="dxa" w:w="100"/>
              <w:bottom w:type="dxa" w:w="60"/>
              <w:right w:type="dxa" w:w="100"/>
            </w:tcMar>
          </w:tcPr>
          <w:p>
            <w:pPr>
              <w:spacing w:after="0" w:line="250"/>
            </w:pPr>
          </w:p>
        </w:tc>
      </w:tr>
      <w:tr>
        <w:tc>
          <w:tcPr>
            <w:tcW w:type="dxa" w:w="2400"/>
            <w:shd w:fill="F5F8FC" w:color="auto" w:val="clear"/>
            <w:tcMar>
              <w:top w:type="dxa" w:w="60"/>
              <w:left w:type="dxa" w:w="100"/>
              <w:bottom w:type="dxa" w:w="60"/>
              <w:right w:type="dxa" w:w="100"/>
            </w:tcMar>
          </w:tcPr>
          <w:p>
            <w:pPr>
              <w:spacing w:after="0" w:line="250"/>
            </w:pPr>
            <w:r>
              <w:rPr>
                <w:b w:val="false"/>
                <w:bCs w:val="false"/>
                <w:sz w:val="20"/>
                <w:szCs w:val="20"/>
              </w:rPr>
              <w:t xml:space="preserve">Single up ↑</w:t>
            </w:r>
          </w:p>
        </w:tc>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+2.0 to +3.0</w:t>
            </w:r>
          </w:p>
        </w:tc>
        <w:tc>
          <w:tcPr>
            <w:tcW w:type="dxa" w:w="3960"/>
            <w:shd w:fill="F5F8FC" w:color="auto" w:val="clear"/>
            <w:tcMar>
              <w:top w:type="dxa" w:w="60"/>
              <w:left w:type="dxa" w:w="100"/>
              <w:bottom w:type="dxa" w:w="60"/>
              <w:right w:type="dxa" w:w="100"/>
            </w:tcMar>
          </w:tcPr>
          <w:p>
            <w:pPr>
              <w:spacing w:after="0" w:line="250"/>
            </w:pPr>
          </w:p>
        </w:tc>
      </w:tr>
      <w:tr>
        <w:tc>
          <w:tcPr>
            <w:tcW w:type="dxa" w:w="2400"/>
            <w:tcMar>
              <w:top w:type="dxa" w:w="60"/>
              <w:left w:type="dxa" w:w="100"/>
              <w:bottom w:type="dxa" w:w="60"/>
              <w:right w:type="dxa" w:w="100"/>
            </w:tcMar>
          </w:tcPr>
          <w:p>
            <w:pPr>
              <w:spacing w:after="0" w:line="250"/>
            </w:pPr>
            <w:r>
              <w:rPr>
                <w:b w:val="false"/>
                <w:bCs w:val="false"/>
                <w:sz w:val="20"/>
                <w:szCs w:val="20"/>
              </w:rPr>
              <w:t xml:space="preserve">Forty-five up ↗</w:t>
            </w:r>
          </w:p>
        </w:tc>
        <w:tc>
          <w:tcPr>
            <w:tcW w:type="dxa" w:w="3000"/>
            <w:tcMar>
              <w:top w:type="dxa" w:w="60"/>
              <w:left w:type="dxa" w:w="100"/>
              <w:bottom w:type="dxa" w:w="60"/>
              <w:right w:type="dxa" w:w="100"/>
            </w:tcMar>
          </w:tcPr>
          <w:p>
            <w:pPr>
              <w:spacing w:after="0" w:line="250"/>
            </w:pPr>
            <w:r>
              <w:rPr>
                <w:b w:val="false"/>
                <w:bCs w:val="false"/>
                <w:sz w:val="20"/>
                <w:szCs w:val="20"/>
              </w:rPr>
              <w:t xml:space="preserve">+1.0 to +2.0</w:t>
            </w:r>
          </w:p>
        </w:tc>
        <w:tc>
          <w:tcPr>
            <w:tcW w:type="dxa" w:w="3960"/>
            <w:tcMar>
              <w:top w:type="dxa" w:w="60"/>
              <w:left w:type="dxa" w:w="100"/>
              <w:bottom w:type="dxa" w:w="60"/>
              <w:right w:type="dxa" w:w="100"/>
            </w:tcMar>
          </w:tcPr>
          <w:p>
            <w:pPr>
              <w:spacing w:after="0" w:line="250"/>
            </w:pPr>
          </w:p>
        </w:tc>
      </w:tr>
      <w:tr>
        <w:tc>
          <w:tcPr>
            <w:tcW w:type="dxa" w:w="2400"/>
            <w:shd w:fill="F5F8FC" w:color="auto" w:val="clear"/>
            <w:tcMar>
              <w:top w:type="dxa" w:w="60"/>
              <w:left w:type="dxa" w:w="100"/>
              <w:bottom w:type="dxa" w:w="60"/>
              <w:right w:type="dxa" w:w="100"/>
            </w:tcMar>
          </w:tcPr>
          <w:p>
            <w:pPr>
              <w:spacing w:after="0" w:line="250"/>
            </w:pPr>
            <w:r>
              <w:rPr>
                <w:b w:val="false"/>
                <w:bCs w:val="false"/>
                <w:sz w:val="20"/>
                <w:szCs w:val="20"/>
              </w:rPr>
              <w:t xml:space="preserve">Flat →</w:t>
            </w:r>
          </w:p>
        </w:tc>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−1.0 to +1.0</w:t>
            </w:r>
          </w:p>
        </w:tc>
        <w:tc>
          <w:tcPr>
            <w:tcW w:type="dxa" w:w="3960"/>
            <w:shd w:fill="F5F8FC" w:color="auto" w:val="clear"/>
            <w:tcMar>
              <w:top w:type="dxa" w:w="60"/>
              <w:left w:type="dxa" w:w="100"/>
              <w:bottom w:type="dxa" w:w="60"/>
              <w:right w:type="dxa" w:w="100"/>
            </w:tcMar>
          </w:tcPr>
          <w:p>
            <w:pPr>
              <w:spacing w:after="0" w:line="250"/>
            </w:pPr>
          </w:p>
        </w:tc>
      </w:tr>
      <w:tr>
        <w:tc>
          <w:tcPr>
            <w:tcW w:type="dxa" w:w="2400"/>
            <w:tcMar>
              <w:top w:type="dxa" w:w="60"/>
              <w:left w:type="dxa" w:w="100"/>
              <w:bottom w:type="dxa" w:w="60"/>
              <w:right w:type="dxa" w:w="100"/>
            </w:tcMar>
          </w:tcPr>
          <w:p>
            <w:pPr>
              <w:spacing w:after="0" w:line="250"/>
            </w:pPr>
            <w:r>
              <w:rPr>
                <w:b w:val="false"/>
                <w:bCs w:val="false"/>
                <w:sz w:val="20"/>
                <w:szCs w:val="20"/>
              </w:rPr>
              <w:t xml:space="preserve">Forty-five down ↘</w:t>
            </w:r>
          </w:p>
        </w:tc>
        <w:tc>
          <w:tcPr>
            <w:tcW w:type="dxa" w:w="3000"/>
            <w:tcMar>
              <w:top w:type="dxa" w:w="60"/>
              <w:left w:type="dxa" w:w="100"/>
              <w:bottom w:type="dxa" w:w="60"/>
              <w:right w:type="dxa" w:w="100"/>
            </w:tcMar>
          </w:tcPr>
          <w:p>
            <w:pPr>
              <w:spacing w:after="0" w:line="250"/>
            </w:pPr>
            <w:r>
              <w:rPr>
                <w:b w:val="false"/>
                <w:bCs w:val="false"/>
                <w:sz w:val="20"/>
                <w:szCs w:val="20"/>
              </w:rPr>
              <w:t xml:space="preserve">−2.0 to −1.0</w:t>
            </w:r>
          </w:p>
        </w:tc>
        <w:tc>
          <w:tcPr>
            <w:tcW w:type="dxa" w:w="3960"/>
            <w:tcMar>
              <w:top w:type="dxa" w:w="60"/>
              <w:left w:type="dxa" w:w="100"/>
              <w:bottom w:type="dxa" w:w="60"/>
              <w:right w:type="dxa" w:w="100"/>
            </w:tcMar>
          </w:tcPr>
          <w:p>
            <w:pPr>
              <w:spacing w:after="0" w:line="250"/>
            </w:pPr>
          </w:p>
        </w:tc>
      </w:tr>
      <w:tr>
        <w:tc>
          <w:tcPr>
            <w:tcW w:type="dxa" w:w="2400"/>
            <w:shd w:fill="F5F8FC" w:color="auto" w:val="clear"/>
            <w:tcMar>
              <w:top w:type="dxa" w:w="60"/>
              <w:left w:type="dxa" w:w="100"/>
              <w:bottom w:type="dxa" w:w="60"/>
              <w:right w:type="dxa" w:w="100"/>
            </w:tcMar>
          </w:tcPr>
          <w:p>
            <w:pPr>
              <w:spacing w:after="0" w:line="250"/>
            </w:pPr>
            <w:r>
              <w:rPr>
                <w:b w:val="false"/>
                <w:bCs w:val="false"/>
                <w:sz w:val="20"/>
                <w:szCs w:val="20"/>
              </w:rPr>
              <w:t xml:space="preserve">Single down ↓</w:t>
            </w:r>
          </w:p>
        </w:tc>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−3.0 to −2.0</w:t>
            </w:r>
          </w:p>
        </w:tc>
        <w:tc>
          <w:tcPr>
            <w:tcW w:type="dxa" w:w="3960"/>
            <w:shd w:fill="F5F8FC" w:color="auto" w:val="clear"/>
            <w:tcMar>
              <w:top w:type="dxa" w:w="60"/>
              <w:left w:type="dxa" w:w="100"/>
              <w:bottom w:type="dxa" w:w="60"/>
              <w:right w:type="dxa" w:w="100"/>
            </w:tcMar>
          </w:tcPr>
          <w:p>
            <w:pPr>
              <w:spacing w:after="0" w:line="250"/>
            </w:pPr>
          </w:p>
        </w:tc>
      </w:tr>
      <w:tr>
        <w:tc>
          <w:tcPr>
            <w:tcW w:type="dxa" w:w="2400"/>
            <w:tcMar>
              <w:top w:type="dxa" w:w="60"/>
              <w:left w:type="dxa" w:w="100"/>
              <w:bottom w:type="dxa" w:w="60"/>
              <w:right w:type="dxa" w:w="100"/>
            </w:tcMar>
          </w:tcPr>
          <w:p>
            <w:pPr>
              <w:spacing w:after="0" w:line="250"/>
            </w:pPr>
            <w:r>
              <w:rPr>
                <w:b w:val="false"/>
                <w:bCs w:val="false"/>
                <w:sz w:val="20"/>
                <w:szCs w:val="20"/>
              </w:rPr>
              <w:t xml:space="preserve">Double down ⇊</w:t>
            </w:r>
          </w:p>
        </w:tc>
        <w:tc>
          <w:tcPr>
            <w:tcW w:type="dxa" w:w="3000"/>
            <w:tcMar>
              <w:top w:type="dxa" w:w="60"/>
              <w:left w:type="dxa" w:w="100"/>
              <w:bottom w:type="dxa" w:w="60"/>
              <w:right w:type="dxa" w:w="100"/>
            </w:tcMar>
          </w:tcPr>
          <w:p>
            <w:pPr>
              <w:spacing w:after="0" w:line="250"/>
            </w:pPr>
            <w:r>
              <w:rPr>
                <w:b w:val="false"/>
                <w:bCs w:val="false"/>
                <w:sz w:val="20"/>
                <w:szCs w:val="20"/>
              </w:rPr>
              <w:t xml:space="preserve">&lt; −3.0</w:t>
            </w:r>
          </w:p>
        </w:tc>
        <w:tc>
          <w:tcPr>
            <w:tcW w:type="dxa" w:w="3960"/>
            <w:tcMar>
              <w:top w:type="dxa" w:w="60"/>
              <w:left w:type="dxa" w:w="100"/>
              <w:bottom w:type="dxa" w:w="60"/>
              <w:right w:type="dxa" w:w="100"/>
            </w:tcMar>
          </w:tcPr>
          <w:p>
            <w:pPr>
              <w:spacing w:after="0" w:line="250"/>
            </w:pPr>
          </w:p>
        </w:tc>
      </w:tr>
      <w:tr>
        <w:tc>
          <w:tcPr>
            <w:tcW w:type="dxa" w:w="2400"/>
            <w:shd w:fill="F5F8FC" w:color="auto" w:val="clear"/>
            <w:tcMar>
              <w:top w:type="dxa" w:w="60"/>
              <w:left w:type="dxa" w:w="100"/>
              <w:bottom w:type="dxa" w:w="60"/>
              <w:right w:type="dxa" w:w="100"/>
            </w:tcMar>
          </w:tcPr>
          <w:p>
            <w:pPr>
              <w:spacing w:after="0" w:line="250"/>
            </w:pPr>
            <w:r>
              <w:rPr>
                <w:b w:val="false"/>
                <w:bCs w:val="false"/>
                <w:sz w:val="20"/>
                <w:szCs w:val="20"/>
              </w:rPr>
              <w:t xml:space="preserve">Not computable</w:t>
            </w:r>
          </w:p>
        </w:tc>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w:t>
            </w:r>
          </w:p>
        </w:tc>
        <w:tc>
          <w:tcPr>
            <w:tcW w:type="dxa" w:w="3960"/>
            <w:shd w:fill="F5F8FC" w:color="auto" w:val="clear"/>
            <w:tcMar>
              <w:top w:type="dxa" w:w="60"/>
              <w:left w:type="dxa" w:w="100"/>
              <w:bottom w:type="dxa" w:w="60"/>
              <w:right w:type="dxa" w:w="100"/>
            </w:tcMar>
          </w:tcPr>
          <w:p>
            <w:pPr>
              <w:spacing w:after="0" w:line="250"/>
            </w:pPr>
            <w:r>
              <w:rPr>
                <w:b w:val="false"/>
                <w:bCs w:val="false"/>
                <w:sz w:val="20"/>
                <w:szCs w:val="20"/>
              </w:rPr>
              <w:t xml:space="preserve">Fewer than 3 samples in the window, or a gap &gt; 7 minutes.</w:t>
            </w:r>
          </w:p>
        </w:tc>
      </w:tr>
      <w:tr>
        <w:tc>
          <w:tcPr>
            <w:tcW w:type="dxa" w:w="2400"/>
            <w:tcMar>
              <w:top w:type="dxa" w:w="60"/>
              <w:left w:type="dxa" w:w="100"/>
              <w:bottom w:type="dxa" w:w="60"/>
              <w:right w:type="dxa" w:w="100"/>
            </w:tcMar>
          </w:tcPr>
          <w:p>
            <w:pPr>
              <w:spacing w:after="0" w:line="250"/>
            </w:pPr>
            <w:r>
              <w:rPr>
                <w:b w:val="false"/>
                <w:bCs w:val="false"/>
                <w:sz w:val="20"/>
                <w:szCs w:val="20"/>
              </w:rPr>
              <w:t xml:space="preserve">Rate out of range</w:t>
            </w:r>
          </w:p>
        </w:tc>
        <w:tc>
          <w:tcPr>
            <w:tcW w:type="dxa" w:w="3000"/>
            <w:tcMar>
              <w:top w:type="dxa" w:w="60"/>
              <w:left w:type="dxa" w:w="100"/>
              <w:bottom w:type="dxa" w:w="60"/>
              <w:right w:type="dxa" w:w="100"/>
            </w:tcMar>
          </w:tcPr>
          <w:p>
            <w:pPr>
              <w:spacing w:after="0" w:line="250"/>
            </w:pPr>
            <w:r>
              <w:rPr>
                <w:b w:val="false"/>
                <w:bCs w:val="false"/>
                <w:sz w:val="20"/>
                <w:szCs w:val="20"/>
              </w:rPr>
              <w:t xml:space="preserve">—</w:t>
            </w:r>
          </w:p>
        </w:tc>
        <w:tc>
          <w:tcPr>
            <w:tcW w:type="dxa" w:w="3960"/>
            <w:tcMar>
              <w:top w:type="dxa" w:w="60"/>
              <w:left w:type="dxa" w:w="100"/>
              <w:bottom w:type="dxa" w:w="60"/>
              <w:right w:type="dxa" w:w="100"/>
            </w:tcMar>
          </w:tcPr>
          <w:p>
            <w:pPr>
              <w:spacing w:after="0" w:line="250"/>
            </w:pPr>
            <w:r>
              <w:rPr>
                <w:b w:val="false"/>
                <w:bCs w:val="false"/>
                <w:sz w:val="20"/>
                <w:szCs w:val="20"/>
              </w:rPr>
              <w:t xml:space="preserve">Computed rate exceeds ±4.0; treat as sensor artifact, not a trend.</w:t>
            </w:r>
          </w:p>
        </w:tc>
      </w:tr>
    </w:tbl>
    <w:p>
      <w:pPr>
        <w:spacing w:after="100"/>
      </w:pPr>
    </w:p>
    <w:p>
      <w:pPr>
        <w:spacing w:after="120" w:line="276"/>
      </w:pPr>
      <w:r>
        <w:rPr>
          <w:b w:val="false"/>
          <w:bCs w:val="false"/>
        </w:rPr>
        <w:t xml:space="preserve">The computed arrow is rendered identically to a Share-supplied arrow — the source badge already tells the user where the value came from, and a second visual distinction on the arrow would add noise without adding information.</w:t>
      </w:r>
    </w:p>
    <w:p>
      <w:pPr>
        <w:pStyle w:val="Heading2"/>
        <w:spacing w:after="140" w:before="280"/>
      </w:pPr>
      <w:r>
        <w:rPr>
          <w:b w:val="false"/>
          <w:bCs w:val="false"/>
        </w:rPr>
        <w:t xml:space="preserve">4.3 Data Model (SwiftData)</w:t>
      </w:r>
    </w:p>
    <w:p>
      <w:pPr>
        <w:spacing w:after="100" w:before="180"/>
      </w:pPr>
      <w:r>
        <w:rPr>
          <w:b/>
          <w:bCs/>
          <w:color w:val="1F4D78"/>
        </w:rPr>
        <w:t xml:space="preserve">Entities</w:t>
      </w:r>
    </w:p>
    <w:p>
      <w:pPr>
        <w:pStyle w:val="ListParagraph"/>
        <w:numPr>
          <w:ilvl w:val="0"/>
          <w:numId w:val="2"/>
        </w:numPr>
        <w:spacing w:after="80" w:line="276"/>
      </w:pPr>
      <w:r>
        <w:rPr>
          <w:rFonts w:ascii="Consolas" w:cs="Consolas" w:eastAsia="Consolas" w:hAnsi="Consolas"/>
          <w:b/>
          <w:bCs/>
          <w:sz w:val="19"/>
          <w:szCs w:val="19"/>
        </w:rPr>
        <w:t xml:space="preserve">GlucoseReading</w:t>
      </w:r>
      <w:r>
        <w:rPr>
          <w:b w:val="false"/>
          <w:bCs w:val="false"/>
        </w:rPr>
        <w:t xml:space="preserve"> — </w:t>
      </w:r>
      <w:r>
        <w:rPr>
          <w:rFonts w:ascii="Consolas" w:cs="Consolas" w:eastAsia="Consolas" w:hAnsi="Consolas"/>
          <w:b w:val="false"/>
          <w:bCs w:val="false"/>
          <w:sz w:val="19"/>
          <w:szCs w:val="19"/>
        </w:rPr>
        <w:t xml:space="preserve">sampleTime</w:t>
      </w:r>
      <w:r>
        <w:rPr>
          <w:b w:val="false"/>
          <w:bCs w:val="false"/>
        </w:rPr>
        <w:t xml:space="preserve"> (indexed), </w:t>
      </w:r>
      <w:r>
        <w:rPr>
          <w:rFonts w:ascii="Consolas" w:cs="Consolas" w:eastAsia="Consolas" w:hAnsi="Consolas"/>
          <w:b w:val="false"/>
          <w:bCs w:val="false"/>
          <w:sz w:val="19"/>
          <w:szCs w:val="19"/>
        </w:rPr>
        <w:t xml:space="preserve">valueMgdl</w:t>
      </w:r>
      <w:r>
        <w:rPr>
          <w:b w:val="false"/>
          <w:bCs w:val="false"/>
        </w:rPr>
        <w:t xml:space="preserve"> (Int, canonical), </w:t>
      </w:r>
      <w:r>
        <w:rPr>
          <w:rFonts w:ascii="Consolas" w:cs="Consolas" w:eastAsia="Consolas" w:hAnsi="Consolas"/>
          <w:b w:val="false"/>
          <w:bCs w:val="false"/>
          <w:sz w:val="19"/>
          <w:szCs w:val="19"/>
        </w:rPr>
        <w:t xml:space="preserve">trend</w:t>
      </w:r>
      <w:r>
        <w:rPr>
          <w:b w:val="false"/>
          <w:bCs w:val="false"/>
        </w:rPr>
        <w:t xml:space="preserve"> (optional), </w:t>
      </w:r>
      <w:r>
        <w:rPr>
          <w:rFonts w:ascii="Consolas" w:cs="Consolas" w:eastAsia="Consolas" w:hAnsi="Consolas"/>
          <w:b w:val="false"/>
          <w:bCs w:val="false"/>
          <w:sz w:val="19"/>
          <w:szCs w:val="19"/>
        </w:rPr>
        <w:t xml:space="preserve">trendIsComputed</w:t>
      </w:r>
      <w:r>
        <w:rPr>
          <w:b w:val="false"/>
          <w:bCs w:val="false"/>
        </w:rPr>
        <w:t xml:space="preserve"> (Bool), </w:t>
      </w:r>
      <w:r>
        <w:rPr>
          <w:rFonts w:ascii="Consolas" w:cs="Consolas" w:eastAsia="Consolas" w:hAnsi="Consolas"/>
          <w:b w:val="false"/>
          <w:bCs w:val="false"/>
          <w:sz w:val="19"/>
          <w:szCs w:val="19"/>
        </w:rPr>
        <w:t xml:space="preserve">source</w:t>
      </w:r>
      <w:r>
        <w:rPr>
          <w:b w:val="false"/>
          <w:bCs w:val="false"/>
        </w:rPr>
        <w:t xml:space="preserve"> (.share/.healthKit/.both), </w:t>
      </w:r>
      <w:r>
        <w:rPr>
          <w:rFonts w:ascii="Consolas" w:cs="Consolas" w:eastAsia="Consolas" w:hAnsi="Consolas"/>
          <w:b w:val="false"/>
          <w:bCs w:val="false"/>
          <w:sz w:val="19"/>
          <w:szCs w:val="19"/>
        </w:rPr>
        <w:t xml:space="preserve">isSentinelLow</w:t>
      </w:r>
      <w:r>
        <w:rPr>
          <w:b w:val="false"/>
          <w:bCs w:val="false"/>
        </w:rPr>
        <w:t xml:space="preserve">/</w:t>
      </w:r>
      <w:r>
        <w:rPr>
          <w:rFonts w:ascii="Consolas" w:cs="Consolas" w:eastAsia="Consolas" w:hAnsi="Consolas"/>
          <w:b w:val="false"/>
          <w:bCs w:val="false"/>
          <w:sz w:val="19"/>
          <w:szCs w:val="19"/>
        </w:rPr>
        <w:t xml:space="preserve">isSentinelHigh</w:t>
      </w:r>
      <w:r>
        <w:rPr>
          <w:b w:val="false"/>
          <w:bCs w:val="false"/>
        </w:rPr>
        <w:t xml:space="preserve"> (Bool, for out-of-rail values), </w:t>
      </w:r>
      <w:r>
        <w:rPr>
          <w:rFonts w:ascii="Consolas" w:cs="Consolas" w:eastAsia="Consolas" w:hAnsi="Consolas"/>
          <w:b w:val="false"/>
          <w:bCs w:val="false"/>
          <w:sz w:val="19"/>
          <w:szCs w:val="19"/>
        </w:rPr>
        <w:t xml:space="preserve">dedupKey</w:t>
      </w:r>
      <w:r>
        <w:rPr>
          <w:b w:val="false"/>
          <w:bCs w:val="false"/>
        </w:rPr>
        <w:t xml:space="preserve"> (indexed String derived from the rounded sample time).</w:t>
      </w:r>
    </w:p>
    <w:p>
      <w:pPr>
        <w:pStyle w:val="ListParagraph"/>
        <w:numPr>
          <w:ilvl w:val="0"/>
          <w:numId w:val="2"/>
        </w:numPr>
        <w:spacing w:after="80" w:line="276"/>
      </w:pPr>
      <w:r>
        <w:rPr>
          <w:rFonts w:ascii="Consolas" w:cs="Consolas" w:eastAsia="Consolas" w:hAnsi="Consolas"/>
          <w:b/>
          <w:bCs/>
          <w:sz w:val="19"/>
          <w:szCs w:val="19"/>
        </w:rPr>
        <w:t xml:space="preserve">MealEvent</w:t>
      </w:r>
      <w:r>
        <w:rPr>
          <w:b w:val="false"/>
          <w:bCs w:val="false"/>
        </w:rPr>
        <w:t xml:space="preserve"> — </w:t>
      </w:r>
      <w:r>
        <w:rPr>
          <w:rFonts w:ascii="Consolas" w:cs="Consolas" w:eastAsia="Consolas" w:hAnsi="Consolas"/>
          <w:b w:val="false"/>
          <w:bCs w:val="false"/>
          <w:sz w:val="19"/>
          <w:szCs w:val="19"/>
        </w:rPr>
        <w:t xml:space="preserve">timestamp</w:t>
      </w:r>
      <w:r>
        <w:rPr>
          <w:b w:val="false"/>
          <w:bCs w:val="false"/>
        </w:rPr>
        <w:t xml:space="preserve">, </w:t>
      </w:r>
      <w:r>
        <w:rPr>
          <w:rFonts w:ascii="Consolas" w:cs="Consolas" w:eastAsia="Consolas" w:hAnsi="Consolas"/>
          <w:b w:val="false"/>
          <w:bCs w:val="false"/>
          <w:sz w:val="19"/>
          <w:szCs w:val="19"/>
        </w:rPr>
        <w:t xml:space="preserve">carbs</w:t>
      </w:r>
      <w:r>
        <w:rPr>
          <w:b w:val="false"/>
          <w:bCs w:val="false"/>
        </w:rPr>
        <w:t xml:space="preserve">, </w:t>
      </w:r>
      <w:r>
        <w:rPr>
          <w:rFonts w:ascii="Consolas" w:cs="Consolas" w:eastAsia="Consolas" w:hAnsi="Consolas"/>
          <w:b w:val="false"/>
          <w:bCs w:val="false"/>
          <w:sz w:val="19"/>
          <w:szCs w:val="19"/>
        </w:rPr>
        <w:t xml:space="preserve">photoData</w:t>
      </w:r>
      <w:r>
        <w:rPr>
          <w:b w:val="false"/>
          <w:bCs w:val="false"/>
        </w:rPr>
        <w:t xml:space="preserve"> with </w:t>
      </w:r>
      <w:r>
        <w:rPr>
          <w:rFonts w:ascii="Consolas" w:cs="Consolas" w:eastAsia="Consolas" w:hAnsi="Consolas"/>
          <w:b w:val="false"/>
          <w:bCs w:val="false"/>
          <w:sz w:val="19"/>
          <w:szCs w:val="19"/>
        </w:rPr>
        <w:t xml:space="preserve">@Attribute(.externalStorage)</w:t>
      </w:r>
      <w:r>
        <w:rPr>
          <w:b w:val="false"/>
          <w:bCs w:val="false"/>
        </w:rPr>
        <w:t xml:space="preserve">, </w:t>
      </w:r>
      <w:r>
        <w:rPr>
          <w:rFonts w:ascii="Consolas" w:cs="Consolas" w:eastAsia="Consolas" w:hAnsi="Consolas"/>
          <w:b w:val="false"/>
          <w:bCs w:val="false"/>
          <w:sz w:val="19"/>
          <w:szCs w:val="19"/>
        </w:rPr>
        <w:t xml:space="preserve">notes</w:t>
      </w:r>
      <w:r>
        <w:rPr>
          <w:b w:val="false"/>
          <w:bCs w:val="false"/>
        </w:rPr>
        <w:t xml:space="preserve">, </w:t>
      </w:r>
      <w:r>
        <w:rPr>
          <w:rFonts w:ascii="Consolas" w:cs="Consolas" w:eastAsia="Consolas" w:hAnsi="Consolas"/>
          <w:b w:val="false"/>
          <w:bCs w:val="false"/>
          <w:sz w:val="19"/>
          <w:szCs w:val="19"/>
        </w:rPr>
        <w:t xml:space="preserve">tag</w:t>
      </w:r>
      <w:r>
        <w:rPr>
          <w:b w:val="false"/>
          <w:bCs w:val="false"/>
        </w:rPr>
        <w:t xml:space="preserve">, </w:t>
      </w:r>
      <w:r>
        <w:rPr>
          <w:rFonts w:ascii="Consolas" w:cs="Consolas" w:eastAsia="Consolas" w:hAnsi="Consolas"/>
          <w:b w:val="false"/>
          <w:bCs w:val="false"/>
          <w:sz w:val="19"/>
          <w:szCs w:val="19"/>
        </w:rPr>
        <w:t xml:space="preserve">foodName</w:t>
      </w:r>
      <w:r>
        <w:rPr>
          <w:b w:val="false"/>
          <w:bCs w:val="false"/>
        </w:rPr>
        <w:t xml:space="preserve"> (links to </w:t>
      </w:r>
      <w:r>
        <w:rPr>
          <w:rFonts w:ascii="Consolas" w:cs="Consolas" w:eastAsia="Consolas" w:hAnsi="Consolas"/>
          <w:b w:val="false"/>
          <w:bCs w:val="false"/>
          <w:sz w:val="19"/>
          <w:szCs w:val="19"/>
        </w:rPr>
        <w:t xml:space="preserve">FoodRecord</w:t>
      </w:r>
      <w:r>
        <w:rPr>
          <w:b w:val="false"/>
          <w:bCs w:val="false"/>
        </w:rPr>
        <w:t xml:space="preserve">), </w:t>
      </w:r>
      <w:r>
        <w:rPr>
          <w:rFonts w:ascii="Consolas" w:cs="Consolas" w:eastAsia="Consolas" w:hAnsi="Consolas"/>
          <w:b w:val="false"/>
          <w:bCs w:val="false"/>
          <w:sz w:val="19"/>
          <w:szCs w:val="19"/>
        </w:rPr>
        <w:t xml:space="preserve">createdAt</w:t>
      </w:r>
      <w:r>
        <w:rPr>
          <w:b w:val="false"/>
          <w:bCs w:val="false"/>
        </w:rPr>
        <w:t xml:space="preserve">, </w:t>
      </w:r>
      <w:r>
        <w:rPr>
          <w:rFonts w:ascii="Consolas" w:cs="Consolas" w:eastAsia="Consolas" w:hAnsi="Consolas"/>
          <w:b w:val="false"/>
          <w:bCs w:val="false"/>
          <w:sz w:val="19"/>
          <w:szCs w:val="19"/>
        </w:rPr>
        <w:t xml:space="preserve">editedAt</w:t>
      </w:r>
      <w:r>
        <w:rPr>
          <w:b w:val="false"/>
          <w:bCs w:val="false"/>
        </w:rPr>
        <w:t xml:space="preserve">.</w:t>
      </w:r>
    </w:p>
    <w:p>
      <w:pPr>
        <w:pStyle w:val="ListParagraph"/>
        <w:numPr>
          <w:ilvl w:val="0"/>
          <w:numId w:val="2"/>
        </w:numPr>
        <w:spacing w:after="80" w:line="276"/>
      </w:pPr>
      <w:r>
        <w:rPr>
          <w:rFonts w:ascii="Consolas" w:cs="Consolas" w:eastAsia="Consolas" w:hAnsi="Consolas"/>
          <w:b/>
          <w:bCs/>
          <w:sz w:val="19"/>
          <w:szCs w:val="19"/>
        </w:rPr>
        <w:t xml:space="preserve">InsulinEvent</w:t>
      </w:r>
      <w:r>
        <w:rPr>
          <w:b w:val="false"/>
          <w:bCs w:val="false"/>
        </w:rPr>
        <w:t xml:space="preserve"> — </w:t>
      </w:r>
      <w:r>
        <w:rPr>
          <w:rFonts w:ascii="Consolas" w:cs="Consolas" w:eastAsia="Consolas" w:hAnsi="Consolas"/>
          <w:b w:val="false"/>
          <w:bCs w:val="false"/>
          <w:sz w:val="19"/>
          <w:szCs w:val="19"/>
        </w:rPr>
        <w:t xml:space="preserve">timestamp</w:t>
      </w:r>
      <w:r>
        <w:rPr>
          <w:b w:val="false"/>
          <w:bCs w:val="false"/>
        </w:rPr>
        <w:t xml:space="preserve">, </w:t>
      </w:r>
      <w:r>
        <w:rPr>
          <w:rFonts w:ascii="Consolas" w:cs="Consolas" w:eastAsia="Consolas" w:hAnsi="Consolas"/>
          <w:b w:val="false"/>
          <w:bCs w:val="false"/>
          <w:sz w:val="19"/>
          <w:szCs w:val="19"/>
        </w:rPr>
        <w:t xml:space="preserve">units</w:t>
      </w:r>
      <w:r>
        <w:rPr>
          <w:b w:val="false"/>
          <w:bCs w:val="false"/>
        </w:rPr>
        <w:t xml:space="preserve">, </w:t>
      </w:r>
      <w:r>
        <w:rPr>
          <w:rFonts w:ascii="Consolas" w:cs="Consolas" w:eastAsia="Consolas" w:hAnsi="Consolas"/>
          <w:b w:val="false"/>
          <w:bCs w:val="false"/>
          <w:sz w:val="19"/>
          <w:szCs w:val="19"/>
        </w:rPr>
        <w:t xml:space="preserve">insulinTypeId</w:t>
      </w:r>
      <w:r>
        <w:rPr>
          <w:b w:val="false"/>
          <w:bCs w:val="false"/>
        </w:rPr>
        <w:t xml:space="preserve">, </w:t>
      </w:r>
      <w:r>
        <w:rPr>
          <w:rFonts w:ascii="Consolas" w:cs="Consolas" w:eastAsia="Consolas" w:hAnsi="Consolas"/>
          <w:b w:val="false"/>
          <w:bCs w:val="false"/>
          <w:sz w:val="19"/>
          <w:szCs w:val="19"/>
        </w:rPr>
        <w:t xml:space="preserve">isBasal</w:t>
      </w:r>
      <w:r>
        <w:rPr>
          <w:b w:val="false"/>
          <w:bCs w:val="false"/>
        </w:rPr>
        <w:t xml:space="preserve"> (Bool, excluded from IOB), </w:t>
      </w:r>
      <w:r>
        <w:rPr>
          <w:rFonts w:ascii="Consolas" w:cs="Consolas" w:eastAsia="Consolas" w:hAnsi="Consolas"/>
          <w:b w:val="false"/>
          <w:bCs w:val="false"/>
          <w:sz w:val="19"/>
          <w:szCs w:val="19"/>
        </w:rPr>
        <w:t xml:space="preserve">site</w:t>
      </w:r>
      <w:r>
        <w:rPr>
          <w:b w:val="false"/>
          <w:bCs w:val="false"/>
        </w:rPr>
        <w:t xml:space="preserve">, </w:t>
      </w:r>
      <w:r>
        <w:rPr>
          <w:rFonts w:ascii="Consolas" w:cs="Consolas" w:eastAsia="Consolas" w:hAnsi="Consolas"/>
          <w:b w:val="false"/>
          <w:bCs w:val="false"/>
          <w:sz w:val="19"/>
          <w:szCs w:val="19"/>
        </w:rPr>
        <w:t xml:space="preserve">createdAt</w:t>
      </w:r>
      <w:r>
        <w:rPr>
          <w:b w:val="false"/>
          <w:bCs w:val="false"/>
        </w:rPr>
        <w:t xml:space="preserve">, </w:t>
      </w:r>
      <w:r>
        <w:rPr>
          <w:rFonts w:ascii="Consolas" w:cs="Consolas" w:eastAsia="Consolas" w:hAnsi="Consolas"/>
          <w:b w:val="false"/>
          <w:bCs w:val="false"/>
          <w:sz w:val="19"/>
          <w:szCs w:val="19"/>
        </w:rPr>
        <w:t xml:space="preserve">editedAt</w:t>
      </w:r>
      <w:r>
        <w:rPr>
          <w:b w:val="false"/>
          <w:bCs w:val="false"/>
        </w:rPr>
        <w:t xml:space="preserve">.</w:t>
      </w:r>
    </w:p>
    <w:p>
      <w:pPr>
        <w:pStyle w:val="ListParagraph"/>
        <w:numPr>
          <w:ilvl w:val="0"/>
          <w:numId w:val="2"/>
        </w:numPr>
        <w:spacing w:after="80" w:line="276"/>
      </w:pPr>
      <w:r>
        <w:rPr>
          <w:rFonts w:ascii="Consolas" w:cs="Consolas" w:eastAsia="Consolas" w:hAnsi="Consolas"/>
          <w:b/>
          <w:bCs/>
          <w:sz w:val="19"/>
          <w:szCs w:val="19"/>
        </w:rPr>
        <w:t xml:space="preserve">ExerciseEvent</w:t>
      </w:r>
      <w:r>
        <w:rPr>
          <w:b w:val="false"/>
          <w:bCs w:val="false"/>
        </w:rPr>
        <w:t xml:space="preserve"> — </w:t>
      </w:r>
      <w:r>
        <w:rPr>
          <w:rFonts w:ascii="Consolas" w:cs="Consolas" w:eastAsia="Consolas" w:hAnsi="Consolas"/>
          <w:b w:val="false"/>
          <w:bCs w:val="false"/>
          <w:sz w:val="19"/>
          <w:szCs w:val="19"/>
        </w:rPr>
        <w:t xml:space="preserve">timestamp</w:t>
      </w:r>
      <w:r>
        <w:rPr>
          <w:b w:val="false"/>
          <w:bCs w:val="false"/>
        </w:rPr>
        <w:t xml:space="preserve">, </w:t>
      </w:r>
      <w:r>
        <w:rPr>
          <w:rFonts w:ascii="Consolas" w:cs="Consolas" w:eastAsia="Consolas" w:hAnsi="Consolas"/>
          <w:b w:val="false"/>
          <w:bCs w:val="false"/>
          <w:sz w:val="19"/>
          <w:szCs w:val="19"/>
        </w:rPr>
        <w:t xml:space="preserve">type</w:t>
      </w:r>
      <w:r>
        <w:rPr>
          <w:b w:val="false"/>
          <w:bCs w:val="false"/>
        </w:rPr>
        <w:t xml:space="preserve">, </w:t>
      </w:r>
      <w:r>
        <w:rPr>
          <w:rFonts w:ascii="Consolas" w:cs="Consolas" w:eastAsia="Consolas" w:hAnsi="Consolas"/>
          <w:b w:val="false"/>
          <w:bCs w:val="false"/>
          <w:sz w:val="19"/>
          <w:szCs w:val="19"/>
        </w:rPr>
        <w:t xml:space="preserve">durationMinutes</w:t>
      </w:r>
      <w:r>
        <w:rPr>
          <w:b w:val="false"/>
          <w:bCs w:val="false"/>
        </w:rPr>
        <w:t xml:space="preserve">, </w:t>
      </w:r>
      <w:r>
        <w:rPr>
          <w:rFonts w:ascii="Consolas" w:cs="Consolas" w:eastAsia="Consolas" w:hAnsi="Consolas"/>
          <w:b w:val="false"/>
          <w:bCs w:val="false"/>
          <w:sz w:val="19"/>
          <w:szCs w:val="19"/>
        </w:rPr>
        <w:t xml:space="preserve">intensity</w:t>
      </w:r>
      <w:r>
        <w:rPr>
          <w:b w:val="false"/>
          <w:bCs w:val="false"/>
        </w:rPr>
        <w:t xml:space="preserve">, </w:t>
      </w:r>
      <w:r>
        <w:rPr>
          <w:rFonts w:ascii="Consolas" w:cs="Consolas" w:eastAsia="Consolas" w:hAnsi="Consolas"/>
          <w:b w:val="false"/>
          <w:bCs w:val="false"/>
          <w:sz w:val="19"/>
          <w:szCs w:val="19"/>
        </w:rPr>
        <w:t xml:space="preserve">wasAutoSuggested</w:t>
      </w:r>
      <w:r>
        <w:rPr>
          <w:b w:val="false"/>
          <w:bCs w:val="false"/>
        </w:rPr>
        <w:t xml:space="preserve"> (Bool).</w:t>
      </w:r>
    </w:p>
    <w:p>
      <w:pPr>
        <w:pStyle w:val="ListParagraph"/>
        <w:numPr>
          <w:ilvl w:val="0"/>
          <w:numId w:val="2"/>
        </w:numPr>
        <w:spacing w:after="80" w:line="276"/>
      </w:pPr>
      <w:r>
        <w:rPr>
          <w:rFonts w:ascii="Consolas" w:cs="Consolas" w:eastAsia="Consolas" w:hAnsi="Consolas"/>
          <w:b/>
          <w:bCs/>
          <w:sz w:val="19"/>
          <w:szCs w:val="19"/>
        </w:rPr>
        <w:t xml:space="preserve">FoodRecord</w:t>
      </w:r>
      <w:r>
        <w:rPr>
          <w:b w:val="false"/>
          <w:bCs w:val="false"/>
        </w:rPr>
        <w:t xml:space="preserve"> (v2) — </w:t>
      </w:r>
      <w:r>
        <w:rPr>
          <w:rFonts w:ascii="Consolas" w:cs="Consolas" w:eastAsia="Consolas" w:hAnsi="Consolas"/>
          <w:b w:val="false"/>
          <w:bCs w:val="false"/>
          <w:sz w:val="19"/>
          <w:szCs w:val="19"/>
        </w:rPr>
        <w:t xml:space="preserve">name</w:t>
      </w:r>
      <w:r>
        <w:rPr>
          <w:b w:val="false"/>
          <w:bCs w:val="false"/>
        </w:rPr>
        <w:t xml:space="preserve">, derived response statistics, cached from the linked meals.</w:t>
      </w:r>
    </w:p>
    <w:p>
      <w:pPr>
        <w:pStyle w:val="ListParagraph"/>
        <w:numPr>
          <w:ilvl w:val="0"/>
          <w:numId w:val="2"/>
        </w:numPr>
        <w:spacing w:after="80" w:line="276"/>
      </w:pPr>
      <w:r>
        <w:rPr>
          <w:rFonts w:ascii="Consolas" w:cs="Consolas" w:eastAsia="Consolas" w:hAnsi="Consolas"/>
          <w:b/>
          <w:bCs/>
          <w:sz w:val="19"/>
          <w:szCs w:val="19"/>
        </w:rPr>
        <w:t xml:space="preserve">InsulinType</w:t>
      </w:r>
      <w:r>
        <w:rPr>
          <w:b w:val="false"/>
          <w:bCs w:val="false"/>
        </w:rPr>
        <w:t xml:space="preserve"> — </w:t>
      </w:r>
      <w:r>
        <w:rPr>
          <w:rFonts w:ascii="Consolas" w:cs="Consolas" w:eastAsia="Consolas" w:hAnsi="Consolas"/>
          <w:b w:val="false"/>
          <w:bCs w:val="false"/>
          <w:sz w:val="19"/>
          <w:szCs w:val="19"/>
        </w:rPr>
        <w:t xml:space="preserve">name</w:t>
      </w:r>
      <w:r>
        <w:rPr>
          <w:b w:val="false"/>
          <w:bCs w:val="false"/>
        </w:rPr>
        <w:t xml:space="preserve">, </w:t>
      </w:r>
      <w:r>
        <w:rPr>
          <w:rFonts w:ascii="Consolas" w:cs="Consolas" w:eastAsia="Consolas" w:hAnsi="Consolas"/>
          <w:b w:val="false"/>
          <w:bCs w:val="false"/>
          <w:sz w:val="19"/>
          <w:szCs w:val="19"/>
        </w:rPr>
        <w:t xml:space="preserve">peakMinutes</w:t>
      </w:r>
      <w:r>
        <w:rPr>
          <w:b w:val="false"/>
          <w:bCs w:val="false"/>
        </w:rPr>
        <w:t xml:space="preserve">, </w:t>
      </w:r>
      <w:r>
        <w:rPr>
          <w:rFonts w:ascii="Consolas" w:cs="Consolas" w:eastAsia="Consolas" w:hAnsi="Consolas"/>
          <w:b w:val="false"/>
          <w:bCs w:val="false"/>
          <w:sz w:val="19"/>
          <w:szCs w:val="19"/>
        </w:rPr>
        <w:t xml:space="preserve">durationMinutes</w:t>
      </w:r>
      <w:r>
        <w:rPr>
          <w:b w:val="false"/>
          <w:bCs w:val="false"/>
        </w:rPr>
        <w:t xml:space="preserve">, </w:t>
      </w:r>
      <w:r>
        <w:rPr>
          <w:rFonts w:ascii="Consolas" w:cs="Consolas" w:eastAsia="Consolas" w:hAnsi="Consolas"/>
          <w:b w:val="false"/>
          <w:bCs w:val="false"/>
          <w:sz w:val="19"/>
          <w:szCs w:val="19"/>
        </w:rPr>
        <w:t xml:space="preserve">isBasal</w:t>
      </w:r>
      <w:r>
        <w:rPr>
          <w:b w:val="false"/>
          <w:bCs w:val="false"/>
        </w:rPr>
        <w:t xml:space="preserve">.</w:t>
      </w:r>
    </w:p>
    <w:p>
      <w:pPr>
        <w:pStyle w:val="ListParagraph"/>
        <w:numPr>
          <w:ilvl w:val="0"/>
          <w:numId w:val="2"/>
        </w:numPr>
        <w:spacing w:after="80" w:line="276"/>
      </w:pPr>
      <w:r>
        <w:rPr>
          <w:rFonts w:ascii="Consolas" w:cs="Consolas" w:eastAsia="Consolas" w:hAnsi="Consolas"/>
          <w:b/>
          <w:bCs/>
          <w:sz w:val="19"/>
          <w:szCs w:val="19"/>
        </w:rPr>
        <w:t xml:space="preserve">DailyAggregate</w:t>
      </w:r>
      <w:r>
        <w:rPr>
          <w:b w:val="false"/>
          <w:bCs w:val="false"/>
        </w:rPr>
        <w:t xml:space="preserve"> — pre-computed per-day statistics for fast long-window rendering (§4.5).</w:t>
      </w:r>
    </w:p>
    <w:p>
      <w:pPr>
        <w:pStyle w:val="ListParagraph"/>
        <w:numPr>
          <w:ilvl w:val="0"/>
          <w:numId w:val="2"/>
        </w:numPr>
        <w:spacing w:after="80" w:line="276"/>
      </w:pPr>
      <w:r>
        <w:rPr>
          <w:rFonts w:ascii="Consolas" w:cs="Consolas" w:eastAsia="Consolas" w:hAnsi="Consolas"/>
          <w:b/>
          <w:bCs/>
          <w:sz w:val="19"/>
          <w:szCs w:val="19"/>
        </w:rPr>
        <w:t xml:space="preserve">UserSettings</w:t>
      </w:r>
      <w:r>
        <w:rPr>
          <w:b w:val="false"/>
          <w:bCs w:val="false"/>
        </w:rPr>
        <w:t xml:space="preserve"> — </w:t>
      </w:r>
      <w:r>
        <w:rPr>
          <w:rFonts w:ascii="Consolas" w:cs="Consolas" w:eastAsia="Consolas" w:hAnsi="Consolas"/>
          <w:b w:val="false"/>
          <w:bCs w:val="false"/>
          <w:sz w:val="19"/>
          <w:szCs w:val="19"/>
        </w:rPr>
        <w:t xml:space="preserve">targetLow</w:t>
      </w:r>
      <w:r>
        <w:rPr>
          <w:b w:val="false"/>
          <w:bCs w:val="false"/>
        </w:rPr>
        <w:t xml:space="preserve">, </w:t>
      </w:r>
      <w:r>
        <w:rPr>
          <w:rFonts w:ascii="Consolas" w:cs="Consolas" w:eastAsia="Consolas" w:hAnsi="Consolas"/>
          <w:b w:val="false"/>
          <w:bCs w:val="false"/>
          <w:sz w:val="19"/>
          <w:szCs w:val="19"/>
        </w:rPr>
        <w:t xml:space="preserve">targetHigh</w:t>
      </w:r>
      <w:r>
        <w:rPr>
          <w:b w:val="false"/>
          <w:bCs w:val="false"/>
        </w:rPr>
        <w:t xml:space="preserve">, </w:t>
      </w:r>
      <w:r>
        <w:rPr>
          <w:rFonts w:ascii="Consolas" w:cs="Consolas" w:eastAsia="Consolas" w:hAnsi="Consolas"/>
          <w:b w:val="false"/>
          <w:bCs w:val="false"/>
          <w:sz w:val="19"/>
          <w:szCs w:val="19"/>
        </w:rPr>
        <w:t xml:space="preserve">units</w:t>
      </w:r>
      <w:r>
        <w:rPr>
          <w:b w:val="false"/>
          <w:bCs w:val="false"/>
        </w:rPr>
        <w:t xml:space="preserve">, </w:t>
      </w:r>
      <w:r>
        <w:rPr>
          <w:rFonts w:ascii="Consolas" w:cs="Consolas" w:eastAsia="Consolas" w:hAnsi="Consolas"/>
          <w:b w:val="false"/>
          <w:bCs w:val="false"/>
          <w:sz w:val="19"/>
          <w:szCs w:val="19"/>
        </w:rPr>
        <w:t xml:space="preserve">theme</w:t>
      </w:r>
      <w:r>
        <w:rPr>
          <w:b w:val="false"/>
          <w:bCs w:val="false"/>
        </w:rPr>
        <w:t xml:space="preserve">, </w:t>
      </w:r>
      <w:r>
        <w:rPr>
          <w:rFonts w:ascii="Consolas" w:cs="Consolas" w:eastAsia="Consolas" w:hAnsi="Consolas"/>
          <w:b w:val="false"/>
          <w:bCs w:val="false"/>
          <w:sz w:val="19"/>
          <w:szCs w:val="19"/>
        </w:rPr>
        <w:t xml:space="preserve">bedsideSchedule</w:t>
      </w:r>
      <w:r>
        <w:rPr>
          <w:b w:val="false"/>
          <w:bCs w:val="false"/>
        </w:rPr>
        <w:t xml:space="preserve">, </w:t>
      </w:r>
      <w:r>
        <w:rPr>
          <w:rFonts w:ascii="Consolas" w:cs="Consolas" w:eastAsia="Consolas" w:hAnsi="Consolas"/>
          <w:b w:val="false"/>
          <w:bCs w:val="false"/>
          <w:sz w:val="19"/>
          <w:szCs w:val="19"/>
        </w:rPr>
        <w:t xml:space="preserve">dexcomRegion</w:t>
      </w:r>
      <w:r>
        <w:rPr>
          <w:b w:val="false"/>
          <w:bCs w:val="false"/>
        </w:rPr>
        <w:t xml:space="preserve">, </w:t>
      </w:r>
      <w:r>
        <w:rPr>
          <w:rFonts w:ascii="Consolas" w:cs="Consolas" w:eastAsia="Consolas" w:hAnsi="Consolas"/>
          <w:b w:val="false"/>
          <w:bCs w:val="false"/>
          <w:sz w:val="19"/>
          <w:szCs w:val="19"/>
        </w:rPr>
        <w:t xml:space="preserve">isf</w:t>
      </w:r>
      <w:r>
        <w:rPr>
          <w:b w:val="false"/>
          <w:bCs w:val="false"/>
        </w:rPr>
        <w:t xml:space="preserve">, </w:t>
      </w:r>
      <w:r>
        <w:rPr>
          <w:rFonts w:ascii="Consolas" w:cs="Consolas" w:eastAsia="Consolas" w:hAnsi="Consolas"/>
          <w:b w:val="false"/>
          <w:bCs w:val="false"/>
          <w:sz w:val="19"/>
          <w:szCs w:val="19"/>
        </w:rPr>
        <w:t xml:space="preserve">icr</w:t>
      </w:r>
      <w:r>
        <w:rPr>
          <w:b w:val="false"/>
          <w:bCs w:val="false"/>
        </w:rPr>
        <w:t xml:space="preserve">, </w:t>
      </w:r>
      <w:r>
        <w:rPr>
          <w:rFonts w:ascii="Consolas" w:cs="Consolas" w:eastAsia="Consolas" w:hAnsi="Consolas"/>
          <w:b w:val="false"/>
          <w:bCs w:val="false"/>
          <w:sz w:val="19"/>
          <w:szCs w:val="19"/>
        </w:rPr>
        <w:t xml:space="preserve">carbAbsorptionMinutes</w:t>
      </w:r>
      <w:r>
        <w:rPr>
          <w:b w:val="false"/>
          <w:bCs w:val="false"/>
        </w:rPr>
        <w:t xml:space="preserve">.</w:t>
      </w:r>
    </w:p>
    <w:p>
      <w:pPr>
        <w:spacing w:after="100" w:before="180"/>
      </w:pPr>
      <w:r>
        <w:rPr>
          <w:b/>
          <w:bCs/>
          <w:color w:val="1F4D78"/>
        </w:rPr>
        <w:t xml:space="preserve">Constraints that shape the schema from day one</w:t>
      </w:r>
    </w:p>
    <w:p>
      <w:pPr>
        <w:pStyle w:val="ListParagraph"/>
        <w:numPr>
          <w:ilvl w:val="0"/>
          <w:numId w:val="2"/>
        </w:numPr>
        <w:spacing w:after="80" w:line="276"/>
      </w:pPr>
      <w:r>
        <w:rPr>
          <w:b/>
          <w:bCs/>
        </w:rPr>
        <w:t xml:space="preserve">No </w:t>
      </w:r>
      <w:r>
        <w:rPr>
          <w:rFonts w:ascii="Consolas" w:cs="Consolas" w:eastAsia="Consolas" w:hAnsi="Consolas"/>
          <w:b/>
          <w:bCs/>
          <w:sz w:val="19"/>
          <w:szCs w:val="19"/>
        </w:rPr>
        <w:t xml:space="preserve">@Attribute(.unique)</w:t>
      </w:r>
      <w:r>
        <w:rPr>
          <w:b/>
          <w:bCs/>
        </w:rPr>
        <w:t xml:space="preserve"> anywhere.</w:t>
      </w:r>
      <w:r>
        <w:rPr>
          <w:b w:val="false"/>
          <w:bCs w:val="false"/>
        </w:rPr>
        <w:t xml:space="preserve"> SwiftData's CloudKit backing does not support unique constraints, and v3 (§3.3) commits to CloudKit sync. v1.1's </w:t>
      </w:r>
      <w:r>
        <w:rPr>
          <w:rFonts w:ascii="Consolas" w:cs="Consolas" w:eastAsia="Consolas" w:hAnsi="Consolas"/>
          <w:b w:val="false"/>
          <w:bCs w:val="false"/>
          <w:sz w:val="19"/>
          <w:szCs w:val="19"/>
        </w:rPr>
        <w:t xml:space="preserve">syncId (for dedup)</w:t>
      </w:r>
      <w:r>
        <w:rPr>
          <w:b w:val="false"/>
          <w:bCs w:val="false"/>
        </w:rPr>
        <w:t xml:space="preserve"> implied a unique attribute; deduplication is instead enforced in the coordinator (§4.2.4) with </w:t>
      </w:r>
      <w:r>
        <w:rPr>
          <w:rFonts w:ascii="Consolas" w:cs="Consolas" w:eastAsia="Consolas" w:hAnsi="Consolas"/>
          <w:b w:val="false"/>
          <w:bCs w:val="false"/>
          <w:sz w:val="19"/>
          <w:szCs w:val="19"/>
        </w:rPr>
        <w:t xml:space="preserve">dedupKey</w:t>
      </w:r>
      <w:r>
        <w:rPr>
          <w:b w:val="false"/>
          <w:bCs w:val="false"/>
        </w:rPr>
        <w:t xml:space="preserve"> as a plain indexed attribute and an explicit fetch-then-upsert. Discovering this at v3 would mean a migration of the entire history.</w:t>
      </w:r>
    </w:p>
    <w:p>
      <w:pPr>
        <w:pStyle w:val="ListParagraph"/>
        <w:numPr>
          <w:ilvl w:val="0"/>
          <w:numId w:val="2"/>
        </w:numPr>
        <w:spacing w:after="80" w:line="276"/>
      </w:pPr>
      <w:r>
        <w:rPr>
          <w:b/>
          <w:bCs/>
        </w:rPr>
        <w:t xml:space="preserve">Every property is optional or has a default, and no relationship uses a </w:t>
      </w:r>
      <w:r>
        <w:rPr>
          <w:rFonts w:ascii="Consolas" w:cs="Consolas" w:eastAsia="Consolas" w:hAnsi="Consolas"/>
          <w:b/>
          <w:bCs/>
          <w:sz w:val="19"/>
          <w:szCs w:val="19"/>
        </w:rPr>
        <w:t xml:space="preserve">.deny</w:t>
      </w:r>
      <w:r>
        <w:rPr>
          <w:b/>
          <w:bCs/>
        </w:rPr>
        <w:t xml:space="preserve"> delete rule</w:t>
      </w:r>
      <w:r>
        <w:rPr>
          <w:b w:val="false"/>
          <w:bCs w:val="false"/>
        </w:rPr>
        <w:t xml:space="preserve"> — the other two CloudKit requirements. Adopting them now costs nothing; retrofitting them costs a migration.</w:t>
      </w:r>
    </w:p>
    <w:p>
      <w:pPr>
        <w:pStyle w:val="ListParagraph"/>
        <w:numPr>
          <w:ilvl w:val="0"/>
          <w:numId w:val="2"/>
        </w:numPr>
        <w:spacing w:after="80" w:line="276"/>
      </w:pPr>
      <w:r>
        <w:rPr>
          <w:rFonts w:ascii="Consolas" w:cs="Consolas" w:eastAsia="Consolas" w:hAnsi="Consolas"/>
          <w:b/>
          <w:bCs/>
          <w:sz w:val="19"/>
          <w:szCs w:val="19"/>
        </w:rPr>
        <w:t xml:space="preserve">VersionedSchema</w:t>
      </w:r>
      <w:r>
        <w:rPr>
          <w:b/>
          <w:bCs/>
        </w:rPr>
        <w:t xml:space="preserve"> and a </w:t>
      </w:r>
      <w:r>
        <w:rPr>
          <w:rFonts w:ascii="Consolas" w:cs="Consolas" w:eastAsia="Consolas" w:hAnsi="Consolas"/>
          <w:b/>
          <w:bCs/>
          <w:sz w:val="19"/>
          <w:szCs w:val="19"/>
        </w:rPr>
        <w:t xml:space="preserve">SchemaMigrationPlan</w:t>
      </w:r>
      <w:r>
        <w:rPr>
          <w:b/>
          <w:bCs/>
        </w:rPr>
        <w:t xml:space="preserve"> from v1.</w:t>
      </w:r>
      <w:r>
        <w:rPr>
          <w:b w:val="false"/>
          <w:bCs w:val="false"/>
        </w:rPr>
        <w:t xml:space="preserve"> SwiftData was chosen partly for migrations, and v1.1 then had no migration plan despite committing to model changes at v2 (logging) and v3 (CloudKit). By the time v2 ships there will be months of irreplaceable readings in the store. Each schema version gets a migration test that loads a fixture store from the previous version.</w:t>
      </w:r>
    </w:p>
    <w:p>
      <w:pPr>
        <w:pStyle w:val="ListParagraph"/>
        <w:numPr>
          <w:ilvl w:val="0"/>
          <w:numId w:val="2"/>
        </w:numPr>
        <w:spacing w:after="80" w:line="276"/>
      </w:pPr>
      <w:r>
        <w:rPr>
          <w:b/>
          <w:bCs/>
        </w:rPr>
        <w:t xml:space="preserve">Store lives in the App Group container.</w:t>
      </w:r>
      <w:r>
        <w:rPr>
          <w:b w:val="false"/>
          <w:bCs w:val="false"/>
        </w:rPr>
        <w:t xml:space="preserve"> Widgets, the Live Activity, and the Watch app cannot read the default container.</w:t>
      </w:r>
    </w:p>
    <w:p>
      <w:pPr>
        <w:pStyle w:val="ListParagraph"/>
        <w:numPr>
          <w:ilvl w:val="0"/>
          <w:numId w:val="2"/>
        </w:numPr>
        <w:spacing w:after="80" w:line="276"/>
      </w:pPr>
      <w:r>
        <w:rPr>
          <w:b/>
          <w:bCs/>
        </w:rPr>
        <w:t xml:space="preserve">All writes go through a </w:t>
      </w:r>
      <w:r>
        <w:rPr>
          <w:rFonts w:ascii="Consolas" w:cs="Consolas" w:eastAsia="Consolas" w:hAnsi="Consolas"/>
          <w:b/>
          <w:bCs/>
          <w:sz w:val="19"/>
          <w:szCs w:val="19"/>
        </w:rPr>
        <w:t xml:space="preserve">@ModelActor</w:t>
      </w:r>
      <w:r>
        <w:rPr>
          <w:b/>
          <w:bCs/>
        </w:rPr>
        <w:t xml:space="preserve">.</w:t>
      </w:r>
      <w:r>
        <w:rPr>
          <w:b w:val="false"/>
          <w:bCs w:val="false"/>
        </w:rPr>
        <w:t xml:space="preserve"> </w:t>
      </w:r>
      <w:r>
        <w:rPr>
          <w:rFonts w:ascii="Consolas" w:cs="Consolas" w:eastAsia="Consolas" w:hAnsi="Consolas"/>
          <w:b w:val="false"/>
          <w:bCs w:val="false"/>
          <w:sz w:val="19"/>
          <w:szCs w:val="19"/>
        </w:rPr>
        <w:t xml:space="preserve">ModelContext</w:t>
      </w:r>
      <w:r>
        <w:rPr>
          <w:b w:val="false"/>
          <w:bCs w:val="false"/>
        </w:rPr>
        <w:t xml:space="preserve"> is not </w:t>
      </w:r>
      <w:r>
        <w:rPr>
          <w:rFonts w:ascii="Consolas" w:cs="Consolas" w:eastAsia="Consolas" w:hAnsi="Consolas"/>
          <w:b w:val="false"/>
          <w:bCs w:val="false"/>
          <w:sz w:val="19"/>
          <w:szCs w:val="19"/>
        </w:rPr>
        <w:t xml:space="preserve">Sendable</w:t>
      </w:r>
      <w:r>
        <w:rPr>
          <w:b w:val="false"/>
          <w:bCs w:val="false"/>
        </w:rPr>
        <w:t xml:space="preserve">; under Swift 6 strict concurrency, sharing one across the source actors will not compile — and working around it with </w:t>
      </w:r>
      <w:r>
        <w:rPr>
          <w:rFonts w:ascii="Consolas" w:cs="Consolas" w:eastAsia="Consolas" w:hAnsi="Consolas"/>
          <w:b w:val="false"/>
          <w:bCs w:val="false"/>
          <w:sz w:val="19"/>
          <w:szCs w:val="19"/>
        </w:rPr>
        <w:t xml:space="preserve">@unchecked Sendable</w:t>
      </w:r>
      <w:r>
        <w:rPr>
          <w:b w:val="false"/>
          <w:bCs w:val="false"/>
        </w:rPr>
        <w:t xml:space="preserve"> produces data races that surface as store corruption.</w:t>
      </w:r>
    </w:p>
    <w:p>
      <w:pPr>
        <w:pStyle w:val="ListParagraph"/>
        <w:numPr>
          <w:ilvl w:val="0"/>
          <w:numId w:val="2"/>
        </w:numPr>
        <w:spacing w:after="80" w:line="276"/>
      </w:pPr>
      <w:r>
        <w:rPr>
          <w:b/>
          <w:bCs/>
        </w:rPr>
        <w:t xml:space="preserve">Photos use </w:t>
      </w:r>
      <w:r>
        <w:rPr>
          <w:rFonts w:ascii="Consolas" w:cs="Consolas" w:eastAsia="Consolas" w:hAnsi="Consolas"/>
          <w:b/>
          <w:bCs/>
          <w:sz w:val="19"/>
          <w:szCs w:val="19"/>
        </w:rPr>
        <w:t xml:space="preserve">.externalStorage</w:t>
      </w:r>
      <w:r>
        <w:rPr>
          <w:b/>
          <w:bCs/>
        </w:rPr>
        <w:t xml:space="preserve">.</w:t>
      </w:r>
      <w:r>
        <w:rPr>
          <w:b w:val="false"/>
          <w:bCs w:val="false"/>
        </w:rPr>
        <w:t xml:space="preserve"> Inline blobs bloat the store and slow every unrelated query. v1.1 stored </w:t>
      </w:r>
      <w:r>
        <w:rPr>
          <w:rFonts w:ascii="Consolas" w:cs="Consolas" w:eastAsia="Consolas" w:hAnsi="Consolas"/>
          <w:b w:val="false"/>
          <w:bCs w:val="false"/>
          <w:sz w:val="19"/>
          <w:szCs w:val="19"/>
        </w:rPr>
        <w:t xml:space="preserve">photoData</w:t>
      </w:r>
      <w:r>
        <w:rPr>
          <w:b w:val="false"/>
          <w:bCs w:val="false"/>
        </w:rPr>
        <w:t xml:space="preserve"> directly.</w:t>
      </w:r>
    </w:p>
    <w:p>
      <w:pPr>
        <w:spacing w:after="100" w:before="180"/>
      </w:pPr>
      <w:r>
        <w:rPr>
          <w:b/>
          <w:bCs/>
          <w:color w:val="1F4D78"/>
        </w:rPr>
        <w:t xml:space="preserve">Retention</w:t>
      </w:r>
    </w:p>
    <w:p>
      <w:pPr>
        <w:spacing w:after="120" w:line="276"/>
      </w:pPr>
      <w:r>
        <w:rPr>
          <w:b w:val="false"/>
          <w:bCs w:val="false"/>
        </w:rPr>
        <w:t xml:space="preserve">v1.1 had no retention policy, and its 90-day HealthKit backfill window means data older than 90 days exists only if the app was running to capture it. Policy:</w:t>
      </w:r>
    </w:p>
    <w:p>
      <w:pPr>
        <w:pStyle w:val="ListParagraph"/>
        <w:numPr>
          <w:ilvl w:val="0"/>
          <w:numId w:val="2"/>
        </w:numPr>
        <w:spacing w:after="80" w:line="276"/>
      </w:pPr>
      <w:r>
        <w:rPr>
          <w:b w:val="false"/>
          <w:bCs w:val="false"/>
        </w:rPr>
        <w:t xml:space="preserve">Raw readings are retained indefinitely — roughly 105,000 rows per year at 5-minute cadence, which is a few tens of megabytes and not a problem.</w:t>
      </w:r>
    </w:p>
    <w:p>
      <w:pPr>
        <w:pStyle w:val="ListParagraph"/>
        <w:numPr>
          <w:ilvl w:val="0"/>
          <w:numId w:val="2"/>
        </w:numPr>
        <w:spacing w:after="80" w:line="276"/>
      </w:pPr>
      <w:r>
        <w:rPr>
          <w:rFonts w:ascii="Consolas" w:cs="Consolas" w:eastAsia="Consolas" w:hAnsi="Consolas"/>
          <w:b w:val="false"/>
          <w:bCs w:val="false"/>
          <w:sz w:val="19"/>
          <w:szCs w:val="19"/>
        </w:rPr>
        <w:t xml:space="preserve">DailyAggregate</w:t>
      </w:r>
      <w:r>
        <w:rPr>
          <w:b w:val="false"/>
          <w:bCs w:val="false"/>
        </w:rPr>
        <w:t xml:space="preserve"> rows are computed nightly and retained indefinitely; they are what long-window views actually read.</w:t>
      </w:r>
    </w:p>
    <w:p>
      <w:pPr>
        <w:pStyle w:val="ListParagraph"/>
        <w:numPr>
          <w:ilvl w:val="0"/>
          <w:numId w:val="2"/>
        </w:numPr>
        <w:spacing w:after="80" w:line="276"/>
      </w:pPr>
      <w:r>
        <w:rPr>
          <w:b w:val="false"/>
          <w:bCs w:val="false"/>
        </w:rPr>
        <w:t xml:space="preserve">Meal photos are the only real storage pressure. Offer an optional “compress photos older than 1 year” maintenance action.</w:t>
      </w:r>
    </w:p>
    <w:p>
      <w:pPr>
        <w:pStyle w:val="ListParagraph"/>
        <w:numPr>
          <w:ilvl w:val="0"/>
          <w:numId w:val="2"/>
        </w:numPr>
        <w:spacing w:after="80" w:line="276"/>
      </w:pPr>
      <w:r>
        <w:rPr>
          <w:b w:val="false"/>
          <w:bCs w:val="false"/>
        </w:rPr>
        <w:t xml:space="preserve">Nothing is ever auto-deleted without explicit user action.</w:t>
      </w:r>
    </w:p>
    <w:p>
      <w:pPr>
        <w:pStyle w:val="Heading2"/>
        <w:spacing w:after="140" w:before="280"/>
      </w:pPr>
      <w:r>
        <w:rPr>
          <w:b w:val="false"/>
          <w:bCs w:val="false"/>
        </w:rPr>
        <w:t xml:space="preserve">4.4 Prediction Engine</w:t>
      </w:r>
    </w:p>
    <w:p>
      <w:pPr>
        <w:spacing w:after="120" w:line="276"/>
      </w:pPr>
      <w:r>
        <w:rPr>
          <w:b w:val="false"/>
          <w:bCs w:val="false"/>
        </w:rPr>
        <w:t xml:space="preserve">Implemented as a pure Swift module with no UI dependencies, fully unit-testable against synthetic input.</w:t>
      </w:r>
    </w:p>
    <w:p>
      <w:pPr>
        <w:spacing w:after="100" w:before="180"/>
      </w:pPr>
      <w:r>
        <w:rPr>
          <w:b/>
          <w:bCs/>
          <w:color w:val="1F4D78"/>
        </w:rPr>
        <w:t xml:space="preserve">IOBCalculator — corrected model</w:t>
      </w:r>
    </w:p>
    <w:p>
      <w:pPr>
        <w:spacing w:after="120" w:line="276"/>
      </w:pPr>
      <w:r>
        <w:rPr>
          <w:b/>
          <w:bCs/>
        </w:rPr>
        <w:t xml:space="preserve">v1.1 specified linear decay over 4 hours for rapid-acting insulin. This is wrong in both shape and duration</w:t>
      </w:r>
      <w:r>
        <w:rPr>
          <w:b w:val="false"/>
          <w:bCs w:val="false"/>
        </w:rPr>
        <w:t xml:space="preserve">, and because IOB feeds the meal-response estimator, the error propagates into every prediction the app makes.</w:t>
      </w:r>
    </w:p>
    <w:p>
      <w:pPr>
        <w:pStyle w:val="ListParagraph"/>
        <w:numPr>
          <w:ilvl w:val="0"/>
          <w:numId w:val="2"/>
        </w:numPr>
        <w:spacing w:after="80" w:line="276"/>
      </w:pPr>
      <w:r>
        <w:rPr>
          <w:b/>
          <w:bCs/>
        </w:rPr>
        <w:t xml:space="preserve">Shape:</w:t>
      </w:r>
      <w:r>
        <w:rPr>
          <w:b w:val="false"/>
          <w:bCs w:val="false"/>
        </w:rPr>
        <w:t xml:space="preserve"> insulin activity is not linear. It rises to a peak at roughly 60–90 minutes and decays with a long tail. Linear decay overestimates IOB through the first hour and underestimates it for the last two.</w:t>
      </w:r>
    </w:p>
    <w:p>
      <w:pPr>
        <w:pStyle w:val="ListParagraph"/>
        <w:numPr>
          <w:ilvl w:val="0"/>
          <w:numId w:val="2"/>
        </w:numPr>
        <w:spacing w:after="80" w:line="276"/>
      </w:pPr>
      <w:r>
        <w:rPr>
          <w:b/>
          <w:bCs/>
        </w:rPr>
        <w:t xml:space="preserve">Duration:</w:t>
      </w:r>
      <w:r>
        <w:rPr>
          <w:b w:val="false"/>
          <w:bCs w:val="false"/>
        </w:rPr>
        <w:t xml:space="preserve"> the duration of action for rapid analogues is 5–6 hours, not 4. The Loop/AAPS community consensus is 360 minutes.</w:t>
      </w:r>
    </w:p>
    <w:p>
      <w:pPr>
        <w:spacing w:after="120" w:line="276"/>
      </w:pPr>
      <w:r>
        <w:rPr>
          <w:b w:val="false"/>
          <w:bCs w:val="false"/>
        </w:rPr>
        <w:t xml:space="preserve">GlucoNoir uses the bi-exponential model from LoopKit, parameterised by peak time and duration:</w:t>
      </w:r>
    </w:p>
    <w:p>
      <w:pPr>
        <w:spacing w:after="60"/>
        <w:ind w:left="360"/>
      </w:pPr>
      <w:r>
        <w:rPr>
          <w:rFonts w:ascii="Consolas" w:cs="Consolas" w:eastAsia="Consolas" w:hAnsi="Consolas"/>
          <w:b w:val="false"/>
          <w:bCs w:val="false"/>
          <w:sz w:val="19"/>
          <w:szCs w:val="19"/>
        </w:rPr>
        <w:t xml:space="preserve">τ = tp · (1 − tp/td) / (1 − 2·tp/td)</w:t>
      </w:r>
    </w:p>
    <w:p>
      <w:pPr>
        <w:spacing w:after="60"/>
        <w:ind w:left="360"/>
      </w:pPr>
      <w:r>
        <w:rPr>
          <w:rFonts w:ascii="Consolas" w:cs="Consolas" w:eastAsia="Consolas" w:hAnsi="Consolas"/>
          <w:b w:val="false"/>
          <w:bCs w:val="false"/>
          <w:sz w:val="19"/>
          <w:szCs w:val="19"/>
        </w:rPr>
        <w:t xml:space="preserve">a = 2τ / td</w:t>
      </w:r>
    </w:p>
    <w:p>
      <w:pPr>
        <w:spacing w:after="60"/>
        <w:ind w:left="360"/>
      </w:pPr>
      <w:r>
        <w:rPr>
          <w:rFonts w:ascii="Consolas" w:cs="Consolas" w:eastAsia="Consolas" w:hAnsi="Consolas"/>
          <w:b w:val="false"/>
          <w:bCs w:val="false"/>
          <w:sz w:val="19"/>
          <w:szCs w:val="19"/>
        </w:rPr>
        <w:t xml:space="preserve">S = 1 / (1 − a + (1 + a)·e^(−td/τ))</w:t>
      </w:r>
    </w:p>
    <w:p>
      <w:pPr>
        <w:spacing w:after="160"/>
        <w:ind w:left="360"/>
      </w:pPr>
      <w:r>
        <w:rPr>
          <w:rFonts w:ascii="Consolas" w:cs="Consolas" w:eastAsia="Consolas" w:hAnsi="Consolas"/>
          <w:b w:val="false"/>
          <w:bCs w:val="false"/>
          <w:sz w:val="19"/>
          <w:szCs w:val="19"/>
        </w:rPr>
        <w:t xml:space="preserve">IOB(t) = 1 − S·(1 − a)·((t²/(τ·td·(1−a)) − t/τ − 1)·e^(−t/τ) + 1)</w:t>
      </w:r>
    </w:p>
    <w:p>
      <w:pPr>
        <w:spacing w:after="120" w:line="276"/>
      </w:pPr>
      <w:r>
        <w:rPr>
          <w:b w:val="false"/>
          <w:bCs w:val="false"/>
        </w:rPr>
        <w:t xml:space="preserve">where </w:t>
      </w:r>
      <w:r>
        <w:rPr>
          <w:rFonts w:ascii="Consolas" w:cs="Consolas" w:eastAsia="Consolas" w:hAnsi="Consolas"/>
          <w:b w:val="false"/>
          <w:bCs w:val="false"/>
          <w:sz w:val="19"/>
          <w:szCs w:val="19"/>
        </w:rPr>
        <w:t xml:space="preserve">tp</w:t>
      </w:r>
      <w:r>
        <w:rPr>
          <w:b w:val="false"/>
          <w:bCs w:val="false"/>
        </w:rPr>
        <w:t xml:space="preserve"> is peak time, </w:t>
      </w:r>
      <w:r>
        <w:rPr>
          <w:rFonts w:ascii="Consolas" w:cs="Consolas" w:eastAsia="Consolas" w:hAnsi="Consolas"/>
          <w:b w:val="false"/>
          <w:bCs w:val="false"/>
          <w:sz w:val="19"/>
          <w:szCs w:val="19"/>
        </w:rPr>
        <w:t xml:space="preserve">td</w:t>
      </w:r>
      <w:r>
        <w:rPr>
          <w:b w:val="false"/>
          <w:bCs w:val="false"/>
        </w:rPr>
        <w:t xml:space="preserve"> is duration of action, and </w:t>
      </w:r>
      <w:r>
        <w:rPr>
          <w:rFonts w:ascii="Consolas" w:cs="Consolas" w:eastAsia="Consolas" w:hAnsi="Consolas"/>
          <w:b w:val="false"/>
          <w:bCs w:val="false"/>
          <w:sz w:val="19"/>
          <w:szCs w:val="19"/>
        </w:rPr>
        <w:t xml:space="preserve">t</w:t>
      </w:r>
      <w:r>
        <w:rPr>
          <w:b w:val="false"/>
          <w:bCs w:val="false"/>
        </w:rPr>
        <w:t xml:space="preserve"> is minutes since the dose. </w:t>
      </w:r>
      <w:r>
        <w:rPr>
          <w:rFonts w:ascii="Consolas" w:cs="Consolas" w:eastAsia="Consolas" w:hAnsi="Consolas"/>
          <w:b w:val="false"/>
          <w:bCs w:val="false"/>
          <w:sz w:val="19"/>
          <w:szCs w:val="19"/>
        </w:rPr>
        <w:t xml:space="preserve">IOB(t)</w:t>
      </w:r>
      <w:r>
        <w:rPr>
          <w:b w:val="false"/>
          <w:bCs w:val="false"/>
        </w:rPr>
        <w:t xml:space="preserve"> is the fraction of the dose still active.</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200"/>
        <w:gridCol w:w="1700"/>
        <w:gridCol w:w="1900"/>
        <w:gridCol w:w="2560"/>
      </w:tblGrid>
      <w:tr>
        <w:trPr>
          <w:tblHeader/>
        </w:trPr>
        <w:tc>
          <w:tcPr>
            <w:tcW w:type="dxa" w:w="3200"/>
            <w:shd w:fill="DEEAF6" w:color="auto" w:val="clear"/>
            <w:tcMar>
              <w:top w:type="dxa" w:w="60"/>
              <w:left w:type="dxa" w:w="100"/>
              <w:bottom w:type="dxa" w:w="60"/>
              <w:right w:type="dxa" w:w="100"/>
            </w:tcMar>
          </w:tcPr>
          <w:p>
            <w:pPr>
              <w:spacing w:after="0" w:line="250"/>
            </w:pPr>
            <w:r>
              <w:rPr>
                <w:b/>
                <w:bCs/>
                <w:sz w:val="20"/>
                <w:szCs w:val="20"/>
              </w:rPr>
              <w:t xml:space="preserve">Insulin</w:t>
            </w:r>
          </w:p>
        </w:tc>
        <w:tc>
          <w:tcPr>
            <w:tcW w:type="dxa" w:w="1700"/>
            <w:shd w:fill="DEEAF6" w:color="auto" w:val="clear"/>
            <w:tcMar>
              <w:top w:type="dxa" w:w="60"/>
              <w:left w:type="dxa" w:w="100"/>
              <w:bottom w:type="dxa" w:w="60"/>
              <w:right w:type="dxa" w:w="100"/>
            </w:tcMar>
          </w:tcPr>
          <w:p>
            <w:pPr>
              <w:spacing w:after="0" w:line="250"/>
            </w:pPr>
            <w:r>
              <w:rPr>
                <w:b/>
                <w:bCs/>
                <w:sz w:val="20"/>
                <w:szCs w:val="20"/>
              </w:rPr>
              <w:t xml:space="preserve">Peak (tp)</w:t>
            </w:r>
          </w:p>
        </w:tc>
        <w:tc>
          <w:tcPr>
            <w:tcW w:type="dxa" w:w="1900"/>
            <w:shd w:fill="DEEAF6" w:color="auto" w:val="clear"/>
            <w:tcMar>
              <w:top w:type="dxa" w:w="60"/>
              <w:left w:type="dxa" w:w="100"/>
              <w:bottom w:type="dxa" w:w="60"/>
              <w:right w:type="dxa" w:w="100"/>
            </w:tcMar>
          </w:tcPr>
          <w:p>
            <w:pPr>
              <w:spacing w:after="0" w:line="250"/>
            </w:pPr>
            <w:r>
              <w:rPr>
                <w:b/>
                <w:bCs/>
                <w:sz w:val="20"/>
                <w:szCs w:val="20"/>
              </w:rPr>
              <w:t xml:space="preserve">Duration (td)</w:t>
            </w:r>
          </w:p>
        </w:tc>
        <w:tc>
          <w:tcPr>
            <w:tcW w:type="dxa" w:w="2560"/>
            <w:shd w:fill="DEEAF6" w:color="auto" w:val="clear"/>
            <w:tcMar>
              <w:top w:type="dxa" w:w="60"/>
              <w:left w:type="dxa" w:w="100"/>
              <w:bottom w:type="dxa" w:w="60"/>
              <w:right w:type="dxa" w:w="100"/>
            </w:tcMar>
          </w:tcPr>
          <w:p>
            <w:pPr>
              <w:spacing w:after="0" w:line="250"/>
            </w:pPr>
            <w:r>
              <w:rPr>
                <w:b/>
                <w:bCs/>
                <w:sz w:val="20"/>
                <w:szCs w:val="20"/>
              </w:rPr>
              <w:t xml:space="preserve">Notes</w:t>
            </w:r>
          </w:p>
        </w:tc>
      </w:tr>
      <w:tr>
        <w:tc>
          <w:tcPr>
            <w:tcW w:type="dxa" w:w="3200"/>
            <w:tcMar>
              <w:top w:type="dxa" w:w="60"/>
              <w:left w:type="dxa" w:w="100"/>
              <w:bottom w:type="dxa" w:w="60"/>
              <w:right w:type="dxa" w:w="100"/>
            </w:tcMar>
          </w:tcPr>
          <w:p>
            <w:pPr>
              <w:spacing w:after="0" w:line="250"/>
            </w:pPr>
            <w:r>
              <w:rPr>
                <w:b w:val="false"/>
                <w:bCs w:val="false"/>
                <w:sz w:val="20"/>
                <w:szCs w:val="20"/>
              </w:rPr>
              <w:t xml:space="preserve">Rapid-acting (Humalog, Novolog, Apidra)</w:t>
            </w:r>
          </w:p>
        </w:tc>
        <w:tc>
          <w:tcPr>
            <w:tcW w:type="dxa" w:w="1700"/>
            <w:tcMar>
              <w:top w:type="dxa" w:w="60"/>
              <w:left w:type="dxa" w:w="100"/>
              <w:bottom w:type="dxa" w:w="60"/>
              <w:right w:type="dxa" w:w="100"/>
            </w:tcMar>
          </w:tcPr>
          <w:p>
            <w:pPr>
              <w:spacing w:after="0" w:line="250"/>
            </w:pPr>
            <w:r>
              <w:rPr>
                <w:b w:val="false"/>
                <w:bCs w:val="false"/>
                <w:sz w:val="20"/>
                <w:szCs w:val="20"/>
              </w:rPr>
              <w:t xml:space="preserve">75 min</w:t>
            </w:r>
          </w:p>
        </w:tc>
        <w:tc>
          <w:tcPr>
            <w:tcW w:type="dxa" w:w="1900"/>
            <w:tcMar>
              <w:top w:type="dxa" w:w="60"/>
              <w:left w:type="dxa" w:w="100"/>
              <w:bottom w:type="dxa" w:w="60"/>
              <w:right w:type="dxa" w:w="100"/>
            </w:tcMar>
          </w:tcPr>
          <w:p>
            <w:pPr>
              <w:spacing w:after="0" w:line="250"/>
            </w:pPr>
            <w:r>
              <w:rPr>
                <w:b w:val="false"/>
                <w:bCs w:val="false"/>
                <w:sz w:val="20"/>
                <w:szCs w:val="20"/>
              </w:rPr>
              <w:t xml:space="preserve">360 min</w:t>
            </w:r>
          </w:p>
        </w:tc>
        <w:tc>
          <w:tcPr>
            <w:tcW w:type="dxa" w:w="2560"/>
            <w:tcMar>
              <w:top w:type="dxa" w:w="60"/>
              <w:left w:type="dxa" w:w="100"/>
              <w:bottom w:type="dxa" w:w="60"/>
              <w:right w:type="dxa" w:w="100"/>
            </w:tcMar>
          </w:tcPr>
          <w:p>
            <w:pPr>
              <w:spacing w:after="0" w:line="250"/>
            </w:pPr>
            <w:r>
              <w:rPr>
                <w:b w:val="false"/>
                <w:bCs w:val="false"/>
                <w:sz w:val="20"/>
                <w:szCs w:val="20"/>
              </w:rPr>
              <w:t xml:space="preserve">Default.</w:t>
            </w:r>
          </w:p>
        </w:tc>
      </w:tr>
      <w:tr>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Ultra-rapid (Fiasp, Lyumjev)</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55 min</w:t>
            </w:r>
          </w:p>
        </w:tc>
        <w:tc>
          <w:tcPr>
            <w:tcW w:type="dxa" w:w="1900"/>
            <w:shd w:fill="F5F8FC" w:color="auto" w:val="clear"/>
            <w:tcMar>
              <w:top w:type="dxa" w:w="60"/>
              <w:left w:type="dxa" w:w="100"/>
              <w:bottom w:type="dxa" w:w="60"/>
              <w:right w:type="dxa" w:w="100"/>
            </w:tcMar>
          </w:tcPr>
          <w:p>
            <w:pPr>
              <w:spacing w:after="0" w:line="250"/>
            </w:pPr>
            <w:r>
              <w:rPr>
                <w:b w:val="false"/>
                <w:bCs w:val="false"/>
                <w:sz w:val="20"/>
                <w:szCs w:val="20"/>
              </w:rPr>
              <w:t xml:space="preserve">300 min</w:t>
            </w:r>
          </w:p>
        </w:tc>
        <w:tc>
          <w:tcPr>
            <w:tcW w:type="dxa" w:w="2560"/>
            <w:shd w:fill="F5F8FC" w:color="auto" w:val="clear"/>
            <w:tcMar>
              <w:top w:type="dxa" w:w="60"/>
              <w:left w:type="dxa" w:w="100"/>
              <w:bottom w:type="dxa" w:w="60"/>
              <w:right w:type="dxa" w:w="100"/>
            </w:tcMar>
          </w:tcPr>
          <w:p>
            <w:pPr>
              <w:spacing w:after="0" w:line="250"/>
            </w:pPr>
            <w:r>
              <w:rPr>
                <w:b w:val="false"/>
                <w:bCs w:val="false"/>
                <w:sz w:val="20"/>
                <w:szCs w:val="20"/>
              </w:rPr>
              <w:t xml:space="preserve">Faster onset, shorter tail.</w:t>
            </w:r>
          </w:p>
        </w:tc>
      </w:tr>
      <w:tr>
        <w:tc>
          <w:tcPr>
            <w:tcW w:type="dxa" w:w="3200"/>
            <w:tcMar>
              <w:top w:type="dxa" w:w="60"/>
              <w:left w:type="dxa" w:w="100"/>
              <w:bottom w:type="dxa" w:w="60"/>
              <w:right w:type="dxa" w:w="100"/>
            </w:tcMar>
          </w:tcPr>
          <w:p>
            <w:pPr>
              <w:spacing w:after="0" w:line="250"/>
            </w:pPr>
            <w:r>
              <w:rPr>
                <w:b w:val="false"/>
                <w:bCs w:val="false"/>
                <w:sz w:val="20"/>
                <w:szCs w:val="20"/>
              </w:rPr>
              <w:t xml:space="preserve">Long-acting (Tresiba, Lantus, Levemir)</w:t>
            </w:r>
          </w:p>
        </w:tc>
        <w:tc>
          <w:tcPr>
            <w:tcW w:type="dxa" w:w="1700"/>
            <w:tcMar>
              <w:top w:type="dxa" w:w="60"/>
              <w:left w:type="dxa" w:w="100"/>
              <w:bottom w:type="dxa" w:w="60"/>
              <w:right w:type="dxa" w:w="100"/>
            </w:tcMar>
          </w:tcPr>
          <w:p>
            <w:pPr>
              <w:spacing w:after="0" w:line="250"/>
            </w:pPr>
            <w:r>
              <w:rPr>
                <w:b w:val="false"/>
                <w:bCs w:val="false"/>
                <w:sz w:val="20"/>
                <w:szCs w:val="20"/>
              </w:rPr>
              <w:t xml:space="preserve">—</w:t>
            </w:r>
          </w:p>
        </w:tc>
        <w:tc>
          <w:tcPr>
            <w:tcW w:type="dxa" w:w="1900"/>
            <w:tcMar>
              <w:top w:type="dxa" w:w="60"/>
              <w:left w:type="dxa" w:w="100"/>
              <w:bottom w:type="dxa" w:w="60"/>
              <w:right w:type="dxa" w:w="100"/>
            </w:tcMar>
          </w:tcPr>
          <w:p>
            <w:pPr>
              <w:spacing w:after="0" w:line="250"/>
            </w:pPr>
            <w:r>
              <w:rPr>
                <w:b w:val="false"/>
                <w:bCs w:val="false"/>
                <w:sz w:val="20"/>
                <w:szCs w:val="20"/>
              </w:rPr>
              <w:t xml:space="preserve">—</w:t>
            </w:r>
          </w:p>
        </w:tc>
        <w:tc>
          <w:tcPr>
            <w:tcW w:type="dxa" w:w="2560"/>
            <w:tcMar>
              <w:top w:type="dxa" w:w="60"/>
              <w:left w:type="dxa" w:w="100"/>
              <w:bottom w:type="dxa" w:w="60"/>
              <w:right w:type="dxa" w:w="100"/>
            </w:tcMar>
          </w:tcPr>
          <w:p>
            <w:pPr>
              <w:spacing w:after="0" w:line="250"/>
            </w:pPr>
            <w:r>
              <w:rPr>
                <w:b/>
                <w:bCs/>
                <w:sz w:val="20"/>
                <w:szCs w:val="20"/>
              </w:rPr>
              <w:t xml:space="preserve">Excluded from IOB entirely.</w:t>
            </w:r>
            <w:r>
              <w:rPr>
                <w:b w:val="false"/>
                <w:bCs w:val="false"/>
                <w:sz w:val="20"/>
                <w:szCs w:val="20"/>
              </w:rPr>
              <w:t xml:space="preserve"> Logged and displayed separately.</w:t>
            </w:r>
          </w:p>
        </w:tc>
      </w:tr>
    </w:tbl>
    <w:p>
      <w:pPr>
        <w:spacing w:after="100"/>
      </w:pPr>
    </w:p>
    <w:p>
      <w:pPr>
        <w:spacing w:after="120" w:line="276"/>
      </w:pPr>
      <w:r>
        <w:rPr>
          <w:b w:val="false"/>
          <w:bCs w:val="false"/>
        </w:rPr>
        <w:t xml:space="preserve">All parameters are user-editable (§3.1.6). The defaults are a starting point, not a claim about this user's physiology.</w:t>
      </w:r>
    </w:p>
    <w:p>
      <w:pPr>
        <w:spacing w:after="100" w:before="180"/>
      </w:pPr>
      <w:r>
        <w:rPr>
          <w:b/>
          <w:bCs/>
          <w:color w:val="1F4D78"/>
        </w:rPr>
        <w:t xml:space="preserve">COBCalculator</w:t>
      </w:r>
    </w:p>
    <w:p>
      <w:pPr>
        <w:spacing w:after="120" w:line="276"/>
      </w:pPr>
      <w:r>
        <w:rPr>
          <w:b w:val="false"/>
          <w:bCs w:val="false"/>
        </w:rPr>
        <w:t xml:space="preserve">New in v1.2 — v1.1 referenced a “textbook glucose-rise curve scaled by carbs” without defining it. Carbs on board use linear absorption over a user-configured window (default 180 minutes), which is the standard simple model and is transparent enough to explain in one sentence, satisfying §3.2.3's no-black-boxes requirement:</w:t>
      </w:r>
    </w:p>
    <w:p>
      <w:pPr>
        <w:spacing w:after="160"/>
        <w:ind w:left="360"/>
      </w:pPr>
      <w:r>
        <w:rPr>
          <w:rFonts w:ascii="Consolas" w:cs="Consolas" w:eastAsia="Consolas" w:hAnsi="Consolas"/>
          <w:b w:val="false"/>
          <w:bCs w:val="false"/>
          <w:sz w:val="19"/>
          <w:szCs w:val="19"/>
        </w:rPr>
        <w:t xml:space="preserve">COB(t) = carbs · max(0, 1 − t/ta)</w:t>
      </w:r>
    </w:p>
    <w:p>
      <w:pPr>
        <w:spacing w:after="120" w:line="276"/>
      </w:pPr>
      <w:r>
        <w:rPr>
          <w:b w:val="false"/>
          <w:bCs w:val="false"/>
        </w:rPr>
        <w:t xml:space="preserve">where </w:t>
      </w:r>
      <w:r>
        <w:rPr>
          <w:rFonts w:ascii="Consolas" w:cs="Consolas" w:eastAsia="Consolas" w:hAnsi="Consolas"/>
          <w:b w:val="false"/>
          <w:bCs w:val="false"/>
          <w:sz w:val="19"/>
          <w:szCs w:val="19"/>
        </w:rPr>
        <w:t xml:space="preserve">ta</w:t>
      </w:r>
      <w:r>
        <w:rPr>
          <w:b w:val="false"/>
          <w:bCs w:val="false"/>
        </w:rPr>
        <w:t xml:space="preserve"> is the absorption time. Dynamic absorption modelling (as Loop performs) is explicitly out of scope: it requires closed-loop-grade tuning and its failure modes are opaque.</w:t>
      </w:r>
    </w:p>
    <w:p>
      <w:pPr>
        <w:spacing w:after="100" w:before="180"/>
      </w:pPr>
      <w:r>
        <w:rPr>
          <w:b/>
          <w:bCs/>
          <w:color w:val="1F4D78"/>
        </w:rPr>
        <w:t xml:space="preserve">MealResponseEstimator</w:t>
      </w:r>
    </w:p>
    <w:p>
      <w:pPr>
        <w:spacing w:after="120" w:line="276"/>
      </w:pPr>
      <w:r>
        <w:rPr>
          <w:b/>
          <w:bCs/>
        </w:rPr>
        <w:t xml:space="preserve">v1.1 defined this as taking a meal and IOB and returning an expected mg/dL curve. That computation is impossible as specified</w:t>
      </w:r>
      <w:r>
        <w:rPr>
          <w:b w:val="false"/>
          <w:bCs w:val="false"/>
        </w:rPr>
        <w:t xml:space="preserve"> — converting grams of carbohydrate to mg/dL requires an insulin-to-carb ratio, and converting units of insulin to mg/dL requires an insulin sensitivity factor. Neither parameter existed anywhere in v1.1. Both are now required settings (§3.1.6), and the forecast is disabled until they are entered.</w:t>
      </w:r>
    </w:p>
    <w:p>
      <w:pPr>
        <w:spacing w:after="160"/>
        <w:ind w:left="360"/>
      </w:pPr>
      <w:r>
        <w:rPr>
          <w:rFonts w:ascii="Consolas" w:cs="Consolas" w:eastAsia="Consolas" w:hAnsi="Consolas"/>
          <w:b w:val="false"/>
          <w:bCs w:val="false"/>
          <w:sz w:val="19"/>
          <w:szCs w:val="19"/>
        </w:rPr>
        <w:t xml:space="preserve">predicted(t) = current + carbsAbsorbed(t) · (ISF / ICR) − insulinDelivered(t) · ISF · exerciseFactor</w:t>
      </w:r>
    </w:p>
    <w:p>
      <w:pPr>
        <w:pStyle w:val="ListParagraph"/>
        <w:numPr>
          <w:ilvl w:val="0"/>
          <w:numId w:val="2"/>
        </w:numPr>
        <w:spacing w:after="80" w:line="276"/>
      </w:pPr>
      <w:r>
        <w:rPr>
          <w:rFonts w:ascii="Consolas" w:cs="Consolas" w:eastAsia="Consolas" w:hAnsi="Consolas"/>
          <w:b w:val="false"/>
          <w:bCs w:val="false"/>
          <w:sz w:val="19"/>
          <w:szCs w:val="19"/>
        </w:rPr>
        <w:t xml:space="preserve">carbsAbsorbed(t)</w:t>
      </w:r>
      <w:r>
        <w:rPr>
          <w:b w:val="false"/>
          <w:bCs w:val="false"/>
        </w:rPr>
        <w:t xml:space="preserve"> = total carbs − COB(t).</w:t>
      </w:r>
    </w:p>
    <w:p>
      <w:pPr>
        <w:pStyle w:val="ListParagraph"/>
        <w:numPr>
          <w:ilvl w:val="0"/>
          <w:numId w:val="2"/>
        </w:numPr>
        <w:spacing w:after="80" w:line="276"/>
      </w:pPr>
      <w:r>
        <w:rPr>
          <w:rFonts w:ascii="Consolas" w:cs="Consolas" w:eastAsia="Consolas" w:hAnsi="Consolas"/>
          <w:b w:val="false"/>
          <w:bCs w:val="false"/>
          <w:sz w:val="19"/>
          <w:szCs w:val="19"/>
        </w:rPr>
        <w:t xml:space="preserve">insulinDelivered(t)</w:t>
      </w:r>
      <w:r>
        <w:rPr>
          <w:b w:val="false"/>
          <w:bCs w:val="false"/>
        </w:rPr>
        <w:t xml:space="preserve"> = total units − IOB(t), summed across all active bolus doses.</w:t>
      </w:r>
    </w:p>
    <w:p>
      <w:pPr>
        <w:pStyle w:val="ListParagraph"/>
        <w:numPr>
          <w:ilvl w:val="0"/>
          <w:numId w:val="2"/>
        </w:numPr>
        <w:spacing w:after="80" w:line="276"/>
      </w:pPr>
      <w:r>
        <w:rPr>
          <w:rFonts w:ascii="Consolas" w:cs="Consolas" w:eastAsia="Consolas" w:hAnsi="Consolas"/>
          <w:b w:val="false"/>
          <w:bCs w:val="false"/>
          <w:sz w:val="19"/>
          <w:szCs w:val="19"/>
        </w:rPr>
        <w:t xml:space="preserve">exerciseFactor</w:t>
      </w:r>
      <w:r>
        <w:rPr>
          <w:b w:val="false"/>
          <w:bCs w:val="false"/>
        </w:rPr>
        <w:t xml:space="preserve"> is 1.0 at rest, and a documented multiplier (default 1.5, editable) for the duration of a logged exercise event plus a configurable tail. v1.1 logged exercise and never used it.</w:t>
      </w:r>
    </w:p>
    <w:p>
      <w:pPr>
        <w:spacing w:after="100" w:before="180"/>
      </w:pPr>
      <w:r>
        <w:rPr>
          <w:b/>
          <w:bCs/>
          <w:color w:val="1F4D78"/>
        </w:rPr>
        <w:t xml:space="preserve">ShortTermForecaster</w:t>
      </w:r>
    </w:p>
    <w:p>
      <w:pPr>
        <w:pStyle w:val="ListParagraph"/>
        <w:numPr>
          <w:ilvl w:val="0"/>
          <w:numId w:val="2"/>
        </w:numPr>
        <w:spacing w:after="80" w:line="276"/>
      </w:pPr>
      <w:r>
        <w:rPr>
          <w:b w:val="false"/>
          <w:bCs w:val="false"/>
        </w:rPr>
        <w:t xml:space="preserve">Ordinary least-squares fit over the last 30 minutes (typically six samples), producing slope </w:t>
      </w:r>
      <w:r>
        <w:rPr>
          <w:rFonts w:ascii="Consolas" w:cs="Consolas" w:eastAsia="Consolas" w:hAnsi="Consolas"/>
          <w:b w:val="false"/>
          <w:bCs w:val="false"/>
          <w:sz w:val="19"/>
          <w:szCs w:val="19"/>
        </w:rPr>
        <w:t xml:space="preserve">m</w:t>
      </w:r>
      <w:r>
        <w:rPr>
          <w:b w:val="false"/>
          <w:bCs w:val="false"/>
        </w:rPr>
        <w:t xml:space="preserve"> in mg/dL/min.</w:t>
      </w:r>
    </w:p>
    <w:p>
      <w:pPr>
        <w:pStyle w:val="ListParagraph"/>
        <w:numPr>
          <w:ilvl w:val="0"/>
          <w:numId w:val="2"/>
        </w:numPr>
        <w:spacing w:after="80" w:line="276"/>
      </w:pPr>
      <w:r>
        <w:rPr>
          <w:b/>
          <w:bCs/>
        </w:rPr>
        <w:t xml:space="preserve">Clamp</w:t>
      </w:r>
      <w:r>
        <w:rPr>
          <w:b w:val="false"/>
          <w:bCs w:val="false"/>
        </w:rPr>
        <w:t xml:space="preserve"> </w:t>
      </w:r>
      <w:r>
        <w:rPr>
          <w:rFonts w:ascii="Consolas" w:cs="Consolas" w:eastAsia="Consolas" w:hAnsi="Consolas"/>
          <w:b w:val="false"/>
          <w:bCs w:val="false"/>
          <w:sz w:val="19"/>
          <w:szCs w:val="19"/>
        </w:rPr>
        <w:t xml:space="preserve">m</w:t>
      </w:r>
      <w:r>
        <w:rPr>
          <w:b w:val="false"/>
          <w:bCs w:val="false"/>
        </w:rPr>
        <w:t xml:space="preserve"> to ±4.0 mg/dL/min. Outside that range the input is sensor noise, not glucose.</w:t>
      </w:r>
    </w:p>
    <w:p>
      <w:pPr>
        <w:pStyle w:val="ListParagraph"/>
        <w:numPr>
          <w:ilvl w:val="0"/>
          <w:numId w:val="2"/>
        </w:numPr>
        <w:spacing w:after="80" w:line="276"/>
      </w:pPr>
      <w:r>
        <w:rPr>
          <w:b/>
          <w:bCs/>
        </w:rPr>
        <w:t xml:space="preserve">Damped projection:</w:t>
      </w:r>
      <w:r>
        <w:rPr>
          <w:b w:val="false"/>
          <w:bCs w:val="false"/>
        </w:rPr>
        <w:t xml:space="preserve"> </w:t>
      </w:r>
      <w:r>
        <w:rPr>
          <w:rFonts w:ascii="Consolas" w:cs="Consolas" w:eastAsia="Consolas" w:hAnsi="Consolas"/>
          <w:b w:val="false"/>
          <w:bCs w:val="false"/>
          <w:sz w:val="19"/>
          <w:szCs w:val="19"/>
        </w:rPr>
        <w:t xml:space="preserve">v(h) = current + m · τd · (1 − e^(−h/τd))</w:t>
      </w:r>
      <w:r>
        <w:rPr>
          <w:b w:val="false"/>
          <w:bCs w:val="false"/>
        </w:rPr>
        <w:t xml:space="preserve"> with damping constant </w:t>
      </w:r>
      <w:r>
        <w:rPr>
          <w:rFonts w:ascii="Consolas" w:cs="Consolas" w:eastAsia="Consolas" w:hAnsi="Consolas"/>
          <w:b w:val="false"/>
          <w:bCs w:val="false"/>
          <w:sz w:val="19"/>
          <w:szCs w:val="19"/>
        </w:rPr>
        <w:t xml:space="preserve">τd</w:t>
      </w:r>
      <w:r>
        <w:rPr>
          <w:b w:val="false"/>
          <w:bCs w:val="false"/>
        </w:rPr>
        <w:t xml:space="preserve"> = 15 minutes. Undamped linear extrapolation (v1.1) flies straight through post-meal peaks and post-correction nadirs — the two moments when a forecast is actually consulted. Damping makes the projection flatten as the horizon extends, which is both more accurate and more honestly humble.</w:t>
      </w:r>
    </w:p>
    <w:p>
      <w:pPr>
        <w:pStyle w:val="ListParagraph"/>
        <w:numPr>
          <w:ilvl w:val="0"/>
          <w:numId w:val="2"/>
        </w:numPr>
        <w:spacing w:after="80" w:line="276"/>
      </w:pPr>
      <w:r>
        <w:rPr>
          <w:b/>
          <w:bCs/>
        </w:rPr>
        <w:t xml:space="preserve">Confidence band:</w:t>
      </w:r>
      <w:r>
        <w:rPr>
          <w:b w:val="false"/>
          <w:bCs w:val="false"/>
        </w:rPr>
        <w:t xml:space="preserve"> the 10th and 90th percentiles of the app's own realised forecast errors at the same horizon, computed by backtesting over the user's stored history and recomputed weekly. Not ±1 SD of residuals: that assumes stationarity and normality, and glucose forecast residuals are strongly heteroscedastic — errors are far larger when glucose is moving. The empirical band widens automatically in exactly those conditions.</w:t>
      </w:r>
    </w:p>
    <w:p>
      <w:pPr>
        <w:pStyle w:val="ListParagraph"/>
        <w:numPr>
          <w:ilvl w:val="0"/>
          <w:numId w:val="2"/>
        </w:numPr>
        <w:spacing w:after="80" w:line="276"/>
      </w:pPr>
      <w:r>
        <w:rPr>
          <w:b w:val="false"/>
          <w:bCs w:val="false"/>
        </w:rPr>
        <w:t xml:space="preserve">The band is asymmetric by construction, which is correct: the distribution of forecast errors is not symmetric around zero.</w:t>
      </w:r>
    </w:p>
    <w:p>
      <w:pPr>
        <w:spacing w:after="100" w:before="180"/>
      </w:pPr>
      <w:r>
        <w:rPr>
          <w:b/>
          <w:bCs/>
          <w:color w:val="1F4D78"/>
        </w:rPr>
        <w:t xml:space="preserve">Validation</w:t>
      </w:r>
    </w:p>
    <w:p>
      <w:pPr>
        <w:spacing w:after="120" w:line="276"/>
      </w:pPr>
      <w:r>
        <w:rPr>
          <w:b/>
          <w:bCs/>
        </w:rPr>
        <w:t xml:space="preserve">v1.1's acceptance criterion — 15-minute prediction error within ±20 mg/dL, 80% of the time — is passed by a naive baseline that predicts “the same as now.”</w:t>
      </w:r>
      <w:r>
        <w:rPr>
          <w:b w:val="false"/>
          <w:bCs w:val="false"/>
        </w:rPr>
        <w:t xml:space="preserve"> Glucose rarely moves more than 20 mg/dL in 15 minutes, so the criterion demonstrates nothing about whether the model adds value. Replaced with:</w:t>
      </w:r>
    </w:p>
    <w:p>
      <w:pPr>
        <w:pStyle w:val="ListParagraph"/>
        <w:numPr>
          <w:ilvl w:val="0"/>
          <w:numId w:val="2"/>
        </w:numPr>
        <w:spacing w:after="80" w:line="276"/>
      </w:pPr>
      <w:r>
        <w:rPr>
          <w:b/>
          <w:bCs/>
        </w:rPr>
        <w:t xml:space="preserve">Baseline comparison (mandatory).</w:t>
      </w:r>
      <w:r>
        <w:rPr>
          <w:b w:val="false"/>
          <w:bCs w:val="false"/>
        </w:rPr>
        <w:t xml:space="preserve"> Backtest against a persistence baseline on the same data. The model must reduce RMSE by at least 15% at a 15-minute horizon and 20% at 30 minutes. If it does not beat persistence, ship persistence — it is simpler and more honest.</w:t>
      </w:r>
    </w:p>
    <w:p>
      <w:pPr>
        <w:pStyle w:val="ListParagraph"/>
        <w:numPr>
          <w:ilvl w:val="0"/>
          <w:numId w:val="2"/>
        </w:numPr>
        <w:spacing w:after="80" w:line="276"/>
      </w:pPr>
      <w:r>
        <w:rPr>
          <w:b/>
          <w:bCs/>
        </w:rPr>
        <w:t xml:space="preserve">Zone-stratified error.</w:t>
      </w:r>
      <w:r>
        <w:rPr>
          <w:b w:val="false"/>
          <w:bCs w:val="false"/>
        </w:rPr>
        <w:t xml:space="preserve"> Report RMSE and the 90th-percentile absolute error separately for readings below 70, 70–180, and above 180 mg/dL. A 20 mg/dL error at 60 is a materially different event from a 20 mg/dL error at 200, and a single aggregate figure hides exactly the case that matters.</w:t>
      </w:r>
    </w:p>
    <w:p>
      <w:pPr>
        <w:pStyle w:val="ListParagraph"/>
        <w:numPr>
          <w:ilvl w:val="0"/>
          <w:numId w:val="2"/>
        </w:numPr>
        <w:spacing w:after="80" w:line="276"/>
      </w:pPr>
      <w:r>
        <w:rPr>
          <w:b/>
          <w:bCs/>
        </w:rPr>
        <w:t xml:space="preserve">Parkes error grid.</w:t>
      </w:r>
      <w:r>
        <w:rPr>
          <w:b w:val="false"/>
          <w:bCs w:val="false"/>
        </w:rPr>
        <w:t xml:space="preserve"> Plot forecast against actual on a Parkes (consensus) error grid. The pass condition is zero points in zones C, D, or E. This is the clinical-significance check that a raw error threshold cannot provide.</w:t>
      </w:r>
    </w:p>
    <w:p>
      <w:pPr>
        <w:pStyle w:val="ListParagraph"/>
        <w:numPr>
          <w:ilvl w:val="0"/>
          <w:numId w:val="2"/>
        </w:numPr>
        <w:spacing w:after="80" w:line="276"/>
      </w:pPr>
      <w:r>
        <w:rPr>
          <w:b/>
          <w:bCs/>
        </w:rPr>
        <w:t xml:space="preserve">Backtesting harness.</w:t>
      </w:r>
      <w:r>
        <w:rPr>
          <w:b w:val="false"/>
          <w:bCs w:val="false"/>
        </w:rPr>
        <w:t xml:space="preserve"> Replays stored history through the engine with a fixed seed and an injectable clock, so accuracy is a regression test rather than a one-off measurement.</w:t>
      </w:r>
    </w:p>
    <w:p>
      <w:pPr>
        <w:pStyle w:val="ListParagraph"/>
        <w:numPr>
          <w:ilvl w:val="0"/>
          <w:numId w:val="2"/>
        </w:numPr>
        <w:spacing w:after="80" w:line="276"/>
      </w:pPr>
      <w:r>
        <w:rPr>
          <w:b/>
          <w:bCs/>
        </w:rPr>
        <w:t xml:space="preserve">Exclusions.</w:t>
      </w:r>
      <w:r>
        <w:rPr>
          <w:b w:val="false"/>
          <w:bCs w:val="false"/>
        </w:rPr>
        <w:t xml:space="preserve"> Readings flagged as suspected compression lows (§3.2.6) are excluded from error statistics — they are sensor artifacts, and including them makes a correct model look wrong.</w:t>
      </w:r>
    </w:p>
    <w:p>
      <w:pPr>
        <w:pStyle w:val="Heading2"/>
        <w:spacing w:after="140" w:before="280"/>
      </w:pPr>
      <w:r>
        <w:rPr>
          <w:b w:val="false"/>
          <w:bCs w:val="false"/>
        </w:rPr>
        <w:t xml:space="preserve">4.5 Performance &amp; Data Volume</w:t>
      </w:r>
    </w:p>
    <w:p>
      <w:pPr>
        <w:pBdr>
          <w:left w:val="single" w:color="BFD3E6" w:sz="12" w:space="8"/>
        </w:pBdr>
        <w:spacing w:after="160" w:line="260"/>
        <w:ind w:left="180"/>
      </w:pPr>
      <w:r>
        <w:rPr>
          <w:b w:val="false"/>
          <w:bCs w:val="false"/>
          <w:i/>
          <w:iCs/>
          <w:color w:val="595959"/>
          <w:sz w:val="20"/>
          <w:szCs w:val="20"/>
        </w:rPr>
        <w:t xml:space="preserve">New in v1.2. v1.1 specified 90-day windows without addressing what that means for the chart or the query layer.</w:t>
      </w:r>
    </w:p>
    <w:p>
      <w:pPr>
        <w:pStyle w:val="ListParagraph"/>
        <w:numPr>
          <w:ilvl w:val="0"/>
          <w:numId w:val="2"/>
        </w:numPr>
        <w:spacing w:after="80" w:line="276"/>
      </w:pPr>
      <w:r>
        <w:rPr>
          <w:b/>
          <w:bCs/>
        </w:rPr>
        <w:t xml:space="preserve">Volume.</w:t>
      </w:r>
      <w:r>
        <w:rPr>
          <w:b w:val="false"/>
          <w:bCs w:val="false"/>
        </w:rPr>
        <w:t xml:space="preserve"> 5-minute cadence is 288 readings/day, ~2,016 per week, ~8,640 per month, ~25,920 per 90-day window, ~105,000 per year.</w:t>
      </w:r>
    </w:p>
    <w:p>
      <w:pPr>
        <w:pStyle w:val="ListParagraph"/>
        <w:numPr>
          <w:ilvl w:val="0"/>
          <w:numId w:val="2"/>
        </w:numPr>
        <w:spacing w:after="80" w:line="276"/>
      </w:pPr>
      <w:r>
        <w:rPr>
          <w:b/>
          <w:bCs/>
        </w:rPr>
        <w:t xml:space="preserve">Downsample above ~2,000 points.</w:t>
      </w:r>
      <w:r>
        <w:rPr>
          <w:b w:val="false"/>
          <w:bCs w:val="false"/>
        </w:rPr>
        <w:t xml:space="preserve"> Handing Swift Charts 26,000 points produces visible stutter on scroll and zoom. Windows over 24 hours render from bucketed means (15-minute buckets for 7d, hourly for 30d and 90d) computed from </w:t>
      </w:r>
      <w:r>
        <w:rPr>
          <w:rFonts w:ascii="Consolas" w:cs="Consolas" w:eastAsia="Consolas" w:hAnsi="Consolas"/>
          <w:b w:val="false"/>
          <w:bCs w:val="false"/>
          <w:sz w:val="19"/>
          <w:szCs w:val="19"/>
        </w:rPr>
        <w:t xml:space="preserve">DailyAggregate</w:t>
      </w:r>
      <w:r>
        <w:rPr>
          <w:b w:val="false"/>
          <w:bCs w:val="false"/>
        </w:rPr>
        <w:t xml:space="preserve"> rather than from raw rows. Min/max per bucket is retained so excursions are not smoothed away — a chart that hides a hypo because of downsampling is worse than no chart.</w:t>
      </w:r>
    </w:p>
    <w:p>
      <w:pPr>
        <w:pStyle w:val="ListParagraph"/>
        <w:numPr>
          <w:ilvl w:val="0"/>
          <w:numId w:val="2"/>
        </w:numPr>
        <w:spacing w:after="80" w:line="276"/>
      </w:pPr>
      <w:r>
        <w:rPr>
          <w:b/>
          <w:bCs/>
        </w:rPr>
        <w:t xml:space="preserve">Never bind a </w:t>
      </w:r>
      <w:r>
        <w:rPr>
          <w:rFonts w:ascii="Consolas" w:cs="Consolas" w:eastAsia="Consolas" w:hAnsi="Consolas"/>
          <w:b/>
          <w:bCs/>
          <w:sz w:val="19"/>
          <w:szCs w:val="19"/>
        </w:rPr>
        <w:t xml:space="preserve">@Query</w:t>
      </w:r>
      <w:r>
        <w:rPr>
          <w:b/>
          <w:bCs/>
        </w:rPr>
        <w:t xml:space="preserve"> to an unbounded reading set.</w:t>
      </w:r>
      <w:r>
        <w:rPr>
          <w:b w:val="false"/>
          <w:bCs w:val="false"/>
        </w:rPr>
        <w:t xml:space="preserve"> Every view fetches an explicit, bounded predicate. A </w:t>
      </w:r>
      <w:r>
        <w:rPr>
          <w:rFonts w:ascii="Consolas" w:cs="Consolas" w:eastAsia="Consolas" w:hAnsi="Consolas"/>
          <w:b w:val="false"/>
          <w:bCs w:val="false"/>
          <w:sz w:val="19"/>
          <w:szCs w:val="19"/>
        </w:rPr>
        <w:t xml:space="preserve">@Query</w:t>
      </w:r>
      <w:r>
        <w:rPr>
          <w:b w:val="false"/>
          <w:bCs w:val="false"/>
        </w:rPr>
        <w:t xml:space="preserve"> over all readings materialises the entire store into a SwiftUI view body.</w:t>
      </w:r>
    </w:p>
    <w:p>
      <w:pPr>
        <w:pStyle w:val="ListParagraph"/>
        <w:numPr>
          <w:ilvl w:val="0"/>
          <w:numId w:val="2"/>
        </w:numPr>
        <w:spacing w:after="80" w:line="276"/>
      </w:pPr>
      <w:r>
        <w:rPr>
          <w:b/>
          <w:bCs/>
        </w:rPr>
        <w:t xml:space="preserve">Aggregates are computed once, nightly</w:t>
      </w:r>
      <w:r>
        <w:rPr>
          <w:b w:val="false"/>
          <w:bCs w:val="false"/>
        </w:rPr>
        <w:t xml:space="preserve">, on the </w:t>
      </w:r>
      <w:r>
        <w:rPr>
          <w:rFonts w:ascii="Consolas" w:cs="Consolas" w:eastAsia="Consolas" w:hAnsi="Consolas"/>
          <w:b w:val="false"/>
          <w:bCs w:val="false"/>
          <w:sz w:val="19"/>
          <w:szCs w:val="19"/>
        </w:rPr>
        <w:t xml:space="preserve">BGAppRefreshTask</w:t>
      </w:r>
      <w:r>
        <w:rPr>
          <w:b w:val="false"/>
          <w:bCs w:val="false"/>
        </w:rPr>
        <w:t xml:space="preserve"> janitor pass (§4.2.1), and incrementally on write for the current day.</w:t>
      </w:r>
    </w:p>
    <w:p>
      <w:pPr>
        <w:pStyle w:val="ListParagraph"/>
        <w:numPr>
          <w:ilvl w:val="0"/>
          <w:numId w:val="2"/>
        </w:numPr>
        <w:spacing w:after="80" w:line="276"/>
      </w:pPr>
      <w:r>
        <w:rPr>
          <w:b/>
          <w:bCs/>
        </w:rPr>
        <w:t xml:space="preserve">AGP percentile bands</w:t>
      </w:r>
      <w:r>
        <w:rPr>
          <w:b w:val="false"/>
          <w:bCs w:val="false"/>
        </w:rPr>
        <w:t xml:space="preserve"> (§3.1.5) are computed from bucketed data, not raw readings — a 90-day AGP over raw rows is a sort of 26,000 elements per bin on every render.</w:t>
      </w:r>
    </w:p>
    <w:p>
      <w:pPr>
        <w:spacing w:after="100" w:before="180"/>
      </w:pPr>
      <w:r>
        <w:rPr>
          <w:b/>
          <w:bCs/>
          <w:color w:val="1F4D78"/>
        </w:rPr>
        <w:t xml:space="preserve">Replay &amp; simulator mode</w:t>
      </w:r>
    </w:p>
    <w:p>
      <w:pPr>
        <w:spacing w:after="120" w:line="276"/>
      </w:pPr>
      <w:r>
        <w:rPr>
          <w:b w:val="false"/>
          <w:bCs w:val="false"/>
        </w:rPr>
        <w:t xml:space="preserve">A synthetic data generator plus a library of recorded Share responses (including malformed ones), selectable from the diagnostics screen. This is needed to develop during sensor warmup, to build the UI without a live sensor, and — critically — to make §7 Phase 2's exit criterion (“survives 24h with simulated source failures”) an automated test rather than a vigil.</w:t>
      </w:r>
    </w:p>
    <w:p>
      <w:pPr>
        <w:pStyle w:val="Heading2"/>
        <w:spacing w:after="140" w:before="280"/>
      </w:pPr>
      <w:r>
        <w:rPr>
          <w:b w:val="false"/>
          <w:bCs w:val="false"/>
        </w:rPr>
        <w:t xml:space="preserve">4.6 Project Structure</w:t>
      </w:r>
    </w:p>
    <w:p>
      <w:pPr>
        <w:pStyle w:val="ListParagraph"/>
        <w:numPr>
          <w:ilvl w:val="0"/>
          <w:numId w:val="2"/>
        </w:numPr>
        <w:spacing w:after="80" w:line="276"/>
      </w:pPr>
      <w:r>
        <w:rPr>
          <w:rFonts w:ascii="Consolas" w:cs="Consolas" w:eastAsia="Consolas" w:hAnsi="Consolas"/>
          <w:b w:val="false"/>
          <w:bCs w:val="false"/>
          <w:sz w:val="19"/>
          <w:szCs w:val="19"/>
        </w:rPr>
        <w:t xml:space="preserve">GlucoNoir/</w:t>
      </w:r>
      <w:r>
        <w:rPr>
          <w:b w:val="false"/>
          <w:bCs w:val="false"/>
        </w:rPr>
        <w:t xml:space="preserve"> — app target.</w:t>
      </w:r>
    </w:p>
    <w:p>
      <w:pPr>
        <w:pStyle w:val="ListParagraph"/>
        <w:numPr>
          <w:ilvl w:val="0"/>
          <w:numId w:val="2"/>
        </w:numPr>
        <w:spacing w:after="80" w:line="276"/>
      </w:pPr>
      <w:r>
        <w:rPr>
          <w:rFonts w:ascii="Consolas" w:cs="Consolas" w:eastAsia="Consolas" w:hAnsi="Consolas"/>
          <w:b w:val="false"/>
          <w:bCs w:val="false"/>
          <w:sz w:val="19"/>
          <w:szCs w:val="19"/>
        </w:rPr>
        <w:t xml:space="preserve">GlucoNoirCore/</w:t>
      </w:r>
      <w:r>
        <w:rPr>
          <w:b w:val="false"/>
          <w:bCs w:val="false"/>
        </w:rPr>
        <w:t xml:space="preserve"> (Swift Package) — models, persistence actor, prediction engine, source clients, coordinator.</w:t>
      </w:r>
    </w:p>
    <w:p>
      <w:pPr>
        <w:pStyle w:val="ListParagraph"/>
        <w:numPr>
          <w:ilvl w:val="0"/>
          <w:numId w:val="2"/>
        </w:numPr>
        <w:spacing w:after="80" w:line="276"/>
      </w:pPr>
      <w:r>
        <w:rPr>
          <w:rFonts w:ascii="Consolas" w:cs="Consolas" w:eastAsia="Consolas" w:hAnsi="Consolas"/>
          <w:b w:val="false"/>
          <w:bCs w:val="false"/>
          <w:sz w:val="19"/>
          <w:szCs w:val="19"/>
        </w:rPr>
        <w:t xml:space="preserve">GlucoNoirUI/</w:t>
      </w:r>
      <w:r>
        <w:rPr>
          <w:b w:val="false"/>
          <w:bCs w:val="false"/>
        </w:rPr>
        <w:t xml:space="preserve"> (Swift Package) — theme system, reusable views, charts.</w:t>
      </w:r>
    </w:p>
    <w:p>
      <w:pPr>
        <w:pStyle w:val="ListParagraph"/>
        <w:numPr>
          <w:ilvl w:val="0"/>
          <w:numId w:val="2"/>
        </w:numPr>
        <w:spacing w:after="80" w:line="276"/>
      </w:pPr>
      <w:r>
        <w:rPr>
          <w:rFonts w:ascii="Consolas" w:cs="Consolas" w:eastAsia="Consolas" w:hAnsi="Consolas"/>
          <w:b w:val="false"/>
          <w:bCs w:val="false"/>
          <w:sz w:val="19"/>
          <w:szCs w:val="19"/>
        </w:rPr>
        <w:t xml:space="preserve">GlucoNoirWidgets/</w:t>
      </w:r>
      <w:r>
        <w:rPr>
          <w:b w:val="false"/>
          <w:bCs w:val="false"/>
        </w:rPr>
        <w:t xml:space="preserve"> — widget extension and Live Activity (</w:t>
      </w:r>
      <w:r>
        <w:rPr>
          <w:b/>
          <w:bCs/>
        </w:rPr>
        <w:t xml:space="preserve">v2</w:t>
      </w:r>
      <w:r>
        <w:rPr>
          <w:b w:val="false"/>
          <w:bCs w:val="false"/>
        </w:rPr>
        <w:t xml:space="preserve">, moved forward from v1.1's v3).</w:t>
      </w:r>
    </w:p>
    <w:p>
      <w:pPr>
        <w:pStyle w:val="ListParagraph"/>
        <w:numPr>
          <w:ilvl w:val="0"/>
          <w:numId w:val="2"/>
        </w:numPr>
        <w:spacing w:after="80" w:line="276"/>
      </w:pPr>
      <w:r>
        <w:rPr>
          <w:rFonts w:ascii="Consolas" w:cs="Consolas" w:eastAsia="Consolas" w:hAnsi="Consolas"/>
          <w:b w:val="false"/>
          <w:bCs w:val="false"/>
          <w:sz w:val="19"/>
          <w:szCs w:val="19"/>
        </w:rPr>
        <w:t xml:space="preserve">GlucoNoirWatch/</w:t>
      </w:r>
      <w:r>
        <w:rPr>
          <w:b w:val="false"/>
          <w:bCs w:val="false"/>
        </w:rPr>
        <w:t xml:space="preserve"> — watchOS target (</w:t>
      </w:r>
      <w:r>
        <w:rPr>
          <w:b/>
          <w:bCs/>
        </w:rPr>
        <w:t xml:space="preserve">v2</w:t>
      </w:r>
      <w:r>
        <w:rPr>
          <w:b w:val="false"/>
          <w:bCs w:val="false"/>
        </w:rPr>
        <w:t xml:space="preserve"> for the complication; full app remains v3).</w:t>
      </w:r>
    </w:p>
    <w:p>
      <w:pPr>
        <w:pStyle w:val="ListParagraph"/>
        <w:numPr>
          <w:ilvl w:val="0"/>
          <w:numId w:val="2"/>
        </w:numPr>
        <w:spacing w:after="80" w:line="276"/>
      </w:pPr>
      <w:r>
        <w:rPr>
          <w:rFonts w:ascii="Consolas" w:cs="Consolas" w:eastAsia="Consolas" w:hAnsi="Consolas"/>
          <w:b w:val="false"/>
          <w:bCs w:val="false"/>
          <w:sz w:val="19"/>
          <w:szCs w:val="19"/>
        </w:rPr>
        <w:t xml:space="preserve">GlucoNoirIntents/</w:t>
      </w:r>
      <w:r>
        <w:rPr>
          <w:b w:val="false"/>
          <w:bCs w:val="false"/>
        </w:rPr>
        <w:t xml:space="preserve"> — App Intents extension (</w:t>
      </w:r>
      <w:r>
        <w:rPr>
          <w:b/>
          <w:bCs/>
        </w:rPr>
        <w:t xml:space="preserve">v2</w:t>
      </w:r>
      <w:r>
        <w:rPr>
          <w:b w:val="false"/>
          <w:bCs w:val="false"/>
        </w:rPr>
        <w:t xml:space="preserve">).</w:t>
      </w:r>
    </w:p>
    <w:p>
      <w:pPr>
        <w:pStyle w:val="ListParagraph"/>
        <w:numPr>
          <w:ilvl w:val="0"/>
          <w:numId w:val="2"/>
        </w:numPr>
        <w:spacing w:after="80" w:line="276"/>
      </w:pPr>
      <w:r>
        <w:rPr>
          <w:rFonts w:ascii="Consolas" w:cs="Consolas" w:eastAsia="Consolas" w:hAnsi="Consolas"/>
          <w:b w:val="false"/>
          <w:bCs w:val="false"/>
          <w:sz w:val="19"/>
          <w:szCs w:val="19"/>
        </w:rPr>
        <w:t xml:space="preserve">Tests/</w:t>
      </w:r>
      <w:r>
        <w:rPr>
          <w:b w:val="false"/>
          <w:bCs w:val="false"/>
        </w:rPr>
        <w:t xml:space="preserve"> — test targets per package, including the backtesting harness and recorded Share fixtures.</w:t>
      </w:r>
    </w:p>
    <w:p>
      <w:pPr>
        <w:pStyle w:val="ListParagraph"/>
        <w:numPr>
          <w:ilvl w:val="0"/>
          <w:numId w:val="2"/>
        </w:numPr>
        <w:spacing w:after="80" w:line="276"/>
      </w:pPr>
      <w:r>
        <w:rPr>
          <w:b/>
          <w:bCs/>
        </w:rPr>
        <w:t xml:space="preserve">Shared App Group</w:t>
      </w:r>
      <w:r>
        <w:rPr>
          <w:b w:val="false"/>
          <w:bCs w:val="false"/>
        </w:rPr>
        <w:t xml:space="preserve"> across every target from Phase 0 (§4.1).</w:t>
      </w:r>
    </w:p>
    <w:p>
      <w:pPr>
        <w:pStyle w:val="Heading1"/>
        <w:spacing w:after="160" w:before="360"/>
      </w:pPr>
      <w:r>
        <w:rPr>
          <w:b w:val="false"/>
          <w:bCs w:val="false"/>
        </w:rPr>
        <w:t xml:space="preserve">5. Design System</w:t>
      </w:r>
    </w:p>
    <w:p>
      <w:pPr>
        <w:pStyle w:val="Heading2"/>
        <w:spacing w:after="140" w:before="280"/>
      </w:pPr>
      <w:r>
        <w:rPr>
          <w:b w:val="false"/>
          <w:bCs w:val="false"/>
        </w:rPr>
        <w:t xml:space="preserve">5.1 Color Tokens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800"/>
        <w:gridCol w:w="1500"/>
        <w:gridCol w:w="1500"/>
        <w:gridCol w:w="1400"/>
        <w:gridCol w:w="3160"/>
      </w:tblGrid>
      <w:tr>
        <w:trPr>
          <w:tblHeader/>
        </w:trPr>
        <w:tc>
          <w:tcPr>
            <w:tcW w:type="dxa" w:w="1800"/>
            <w:shd w:fill="DEEAF6" w:color="auto" w:val="clear"/>
            <w:tcMar>
              <w:top w:type="dxa" w:w="60"/>
              <w:left w:type="dxa" w:w="100"/>
              <w:bottom w:type="dxa" w:w="60"/>
              <w:right w:type="dxa" w:w="100"/>
            </w:tcMar>
          </w:tcPr>
          <w:p>
            <w:pPr>
              <w:spacing w:after="0" w:line="250"/>
            </w:pPr>
            <w:r>
              <w:rPr>
                <w:b/>
                <w:bCs/>
                <w:sz w:val="20"/>
                <w:szCs w:val="20"/>
              </w:rPr>
              <w:t xml:space="preserve">Token</w:t>
            </w:r>
          </w:p>
        </w:tc>
        <w:tc>
          <w:tcPr>
            <w:tcW w:type="dxa" w:w="1500"/>
            <w:shd w:fill="DEEAF6" w:color="auto" w:val="clear"/>
            <w:tcMar>
              <w:top w:type="dxa" w:w="60"/>
              <w:left w:type="dxa" w:w="100"/>
              <w:bottom w:type="dxa" w:w="60"/>
              <w:right w:type="dxa" w:w="100"/>
            </w:tcMar>
          </w:tcPr>
          <w:p>
            <w:pPr>
              <w:spacing w:after="0" w:line="250"/>
            </w:pPr>
            <w:r>
              <w:rPr>
                <w:b/>
                <w:bCs/>
                <w:sz w:val="20"/>
                <w:szCs w:val="20"/>
              </w:rPr>
              <w:t xml:space="preserve">True Black</w:t>
            </w:r>
          </w:p>
        </w:tc>
        <w:tc>
          <w:tcPr>
            <w:tcW w:type="dxa" w:w="1500"/>
            <w:shd w:fill="DEEAF6" w:color="auto" w:val="clear"/>
            <w:tcMar>
              <w:top w:type="dxa" w:w="60"/>
              <w:left w:type="dxa" w:w="100"/>
              <w:bottom w:type="dxa" w:w="60"/>
              <w:right w:type="dxa" w:w="100"/>
            </w:tcMar>
          </w:tcPr>
          <w:p>
            <w:pPr>
              <w:spacing w:after="0" w:line="250"/>
            </w:pPr>
            <w:r>
              <w:rPr>
                <w:b/>
                <w:bCs/>
                <w:sz w:val="20"/>
                <w:szCs w:val="20"/>
              </w:rPr>
              <w:t xml:space="preserve">Soft Dark</w:t>
            </w:r>
          </w:p>
        </w:tc>
        <w:tc>
          <w:tcPr>
            <w:tcW w:type="dxa" w:w="1400"/>
            <w:shd w:fill="DEEAF6" w:color="auto" w:val="clear"/>
            <w:tcMar>
              <w:top w:type="dxa" w:w="60"/>
              <w:left w:type="dxa" w:w="100"/>
              <w:bottom w:type="dxa" w:w="60"/>
              <w:right w:type="dxa" w:w="100"/>
            </w:tcMar>
          </w:tcPr>
          <w:p>
            <w:pPr>
              <w:spacing w:after="0" w:line="250"/>
            </w:pPr>
            <w:r>
              <w:rPr>
                <w:b/>
                <w:bCs/>
                <w:sz w:val="20"/>
                <w:szCs w:val="20"/>
              </w:rPr>
              <w:t xml:space="preserve">Light</w:t>
            </w:r>
          </w:p>
        </w:tc>
        <w:tc>
          <w:tcPr>
            <w:tcW w:type="dxa" w:w="3160"/>
            <w:shd w:fill="DEEAF6" w:color="auto" w:val="clear"/>
            <w:tcMar>
              <w:top w:type="dxa" w:w="60"/>
              <w:left w:type="dxa" w:w="100"/>
              <w:bottom w:type="dxa" w:w="60"/>
              <w:right w:type="dxa" w:w="100"/>
            </w:tcMar>
          </w:tcPr>
          <w:p>
            <w:pPr>
              <w:spacing w:after="0" w:line="250"/>
            </w:pPr>
            <w:r>
              <w:rPr>
                <w:b/>
                <w:bCs/>
                <w:sz w:val="20"/>
                <w:szCs w:val="20"/>
              </w:rPr>
              <w:t xml:space="preserve">Use</w:t>
            </w:r>
          </w:p>
        </w:tc>
      </w:tr>
      <w:tr>
        <w:tc>
          <w:tcPr>
            <w:tcW w:type="dxa" w:w="1800"/>
            <w:tcMar>
              <w:top w:type="dxa" w:w="60"/>
              <w:left w:type="dxa" w:w="100"/>
              <w:bottom w:type="dxa" w:w="60"/>
              <w:right w:type="dxa" w:w="100"/>
            </w:tcMar>
          </w:tcPr>
          <w:p>
            <w:pPr>
              <w:spacing w:after="0" w:line="250"/>
            </w:pPr>
            <w:r>
              <w:rPr>
                <w:b w:val="false"/>
                <w:bCs w:val="false"/>
                <w:sz w:val="20"/>
                <w:szCs w:val="20"/>
              </w:rPr>
              <w:t xml:space="preserve">bg.primary</w:t>
            </w:r>
          </w:p>
        </w:tc>
        <w:tc>
          <w:tcPr>
            <w:tcW w:type="dxa" w:w="1500"/>
            <w:tcMar>
              <w:top w:type="dxa" w:w="60"/>
              <w:left w:type="dxa" w:w="100"/>
              <w:bottom w:type="dxa" w:w="60"/>
              <w:right w:type="dxa" w:w="100"/>
            </w:tcMar>
          </w:tcPr>
          <w:p>
            <w:pPr>
              <w:spacing w:after="0" w:line="250"/>
            </w:pPr>
            <w:r>
              <w:rPr>
                <w:b w:val="false"/>
                <w:bCs w:val="false"/>
                <w:sz w:val="20"/>
                <w:szCs w:val="20"/>
              </w:rPr>
              <w:t xml:space="preserve">#000000</w:t>
            </w:r>
          </w:p>
        </w:tc>
        <w:tc>
          <w:tcPr>
            <w:tcW w:type="dxa" w:w="1500"/>
            <w:tcMar>
              <w:top w:type="dxa" w:w="60"/>
              <w:left w:type="dxa" w:w="100"/>
              <w:bottom w:type="dxa" w:w="60"/>
              <w:right w:type="dxa" w:w="100"/>
            </w:tcMar>
          </w:tcPr>
          <w:p>
            <w:pPr>
              <w:spacing w:after="0" w:line="250"/>
            </w:pPr>
            <w:r>
              <w:rPr>
                <w:b w:val="false"/>
                <w:bCs w:val="false"/>
                <w:sz w:val="20"/>
                <w:szCs w:val="20"/>
              </w:rPr>
              <w:t xml:space="preserve">#1C1C1E</w:t>
            </w:r>
          </w:p>
        </w:tc>
        <w:tc>
          <w:tcPr>
            <w:tcW w:type="dxa" w:w="1400"/>
            <w:tcMar>
              <w:top w:type="dxa" w:w="60"/>
              <w:left w:type="dxa" w:w="100"/>
              <w:bottom w:type="dxa" w:w="60"/>
              <w:right w:type="dxa" w:w="100"/>
            </w:tcMar>
          </w:tcPr>
          <w:p>
            <w:pPr>
              <w:spacing w:after="0" w:line="250"/>
            </w:pPr>
            <w:r>
              <w:rPr>
                <w:b w:val="false"/>
                <w:bCs w:val="false"/>
                <w:sz w:val="20"/>
                <w:szCs w:val="20"/>
              </w:rPr>
              <w:t xml:space="preserve">#FFFFFF</w:t>
            </w:r>
          </w:p>
        </w:tc>
        <w:tc>
          <w:tcPr>
            <w:tcW w:type="dxa" w:w="3160"/>
            <w:tcMar>
              <w:top w:type="dxa" w:w="60"/>
              <w:left w:type="dxa" w:w="100"/>
              <w:bottom w:type="dxa" w:w="60"/>
              <w:right w:type="dxa" w:w="100"/>
            </w:tcMar>
          </w:tcPr>
          <w:p>
            <w:pPr>
              <w:spacing w:after="0" w:line="250"/>
            </w:pPr>
            <w:r>
              <w:rPr>
                <w:b w:val="false"/>
                <w:bCs w:val="false"/>
                <w:sz w:val="20"/>
                <w:szCs w:val="20"/>
              </w:rPr>
              <w:t xml:space="preserve">Screen background</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bg.secondary</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#0A0A0A</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#2C2C2E</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#F2F2F7</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Cards, sheets</w:t>
            </w:r>
          </w:p>
        </w:tc>
      </w:tr>
      <w:tr>
        <w:tc>
          <w:tcPr>
            <w:tcW w:type="dxa" w:w="1800"/>
            <w:tcMar>
              <w:top w:type="dxa" w:w="60"/>
              <w:left w:type="dxa" w:w="100"/>
              <w:bottom w:type="dxa" w:w="60"/>
              <w:right w:type="dxa" w:w="100"/>
            </w:tcMar>
          </w:tcPr>
          <w:p>
            <w:pPr>
              <w:spacing w:after="0" w:line="250"/>
            </w:pPr>
            <w:r>
              <w:rPr>
                <w:b w:val="false"/>
                <w:bCs w:val="false"/>
                <w:sz w:val="20"/>
                <w:szCs w:val="20"/>
              </w:rPr>
              <w:t xml:space="preserve">text.primary</w:t>
            </w:r>
          </w:p>
        </w:tc>
        <w:tc>
          <w:tcPr>
            <w:tcW w:type="dxa" w:w="1500"/>
            <w:tcMar>
              <w:top w:type="dxa" w:w="60"/>
              <w:left w:type="dxa" w:w="100"/>
              <w:bottom w:type="dxa" w:w="60"/>
              <w:right w:type="dxa" w:w="100"/>
            </w:tcMar>
          </w:tcPr>
          <w:p>
            <w:pPr>
              <w:spacing w:after="0" w:line="250"/>
            </w:pPr>
            <w:r>
              <w:rPr>
                <w:b w:val="false"/>
                <w:bCs w:val="false"/>
                <w:sz w:val="20"/>
                <w:szCs w:val="20"/>
              </w:rPr>
              <w:t xml:space="preserve">#FFFFFF</w:t>
            </w:r>
          </w:p>
        </w:tc>
        <w:tc>
          <w:tcPr>
            <w:tcW w:type="dxa" w:w="1500"/>
            <w:tcMar>
              <w:top w:type="dxa" w:w="60"/>
              <w:left w:type="dxa" w:w="100"/>
              <w:bottom w:type="dxa" w:w="60"/>
              <w:right w:type="dxa" w:w="100"/>
            </w:tcMar>
          </w:tcPr>
          <w:p>
            <w:pPr>
              <w:spacing w:after="0" w:line="250"/>
            </w:pPr>
            <w:r>
              <w:rPr>
                <w:b w:val="false"/>
                <w:bCs w:val="false"/>
                <w:sz w:val="20"/>
                <w:szCs w:val="20"/>
              </w:rPr>
              <w:t xml:space="preserve">#FFFFFF</w:t>
            </w:r>
          </w:p>
        </w:tc>
        <w:tc>
          <w:tcPr>
            <w:tcW w:type="dxa" w:w="1400"/>
            <w:tcMar>
              <w:top w:type="dxa" w:w="60"/>
              <w:left w:type="dxa" w:w="100"/>
              <w:bottom w:type="dxa" w:w="60"/>
              <w:right w:type="dxa" w:w="100"/>
            </w:tcMar>
          </w:tcPr>
          <w:p>
            <w:pPr>
              <w:spacing w:after="0" w:line="250"/>
            </w:pPr>
            <w:r>
              <w:rPr>
                <w:b w:val="false"/>
                <w:bCs w:val="false"/>
                <w:sz w:val="20"/>
                <w:szCs w:val="20"/>
              </w:rPr>
              <w:t xml:space="preserve">#000000</w:t>
            </w:r>
          </w:p>
        </w:tc>
        <w:tc>
          <w:tcPr>
            <w:tcW w:type="dxa" w:w="3160"/>
            <w:tcMar>
              <w:top w:type="dxa" w:w="60"/>
              <w:left w:type="dxa" w:w="100"/>
              <w:bottom w:type="dxa" w:w="60"/>
              <w:right w:type="dxa" w:w="100"/>
            </w:tcMar>
          </w:tcPr>
          <w:p>
            <w:pPr>
              <w:spacing w:after="0" w:line="250"/>
            </w:pPr>
            <w:r>
              <w:rPr>
                <w:b w:val="false"/>
                <w:bCs w:val="false"/>
                <w:sz w:val="20"/>
                <w:szCs w:val="20"/>
              </w:rPr>
              <w:t xml:space="preserve">Headings, hero number</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text.secondary</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#8E8E93</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#8E8E93</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#3C3C43</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Labels, non-critical captions</w:t>
            </w:r>
          </w:p>
        </w:tc>
      </w:tr>
      <w:tr>
        <w:tc>
          <w:tcPr>
            <w:tcW w:type="dxa" w:w="1800"/>
            <w:tcMar>
              <w:top w:type="dxa" w:w="60"/>
              <w:left w:type="dxa" w:w="100"/>
              <w:bottom w:type="dxa" w:w="60"/>
              <w:right w:type="dxa" w:w="100"/>
            </w:tcMar>
          </w:tcPr>
          <w:p>
            <w:pPr>
              <w:spacing w:after="0" w:line="250"/>
            </w:pPr>
            <w:r>
              <w:rPr>
                <w:b w:val="false"/>
                <w:bCs w:val="false"/>
                <w:sz w:val="20"/>
                <w:szCs w:val="20"/>
              </w:rPr>
              <w:t xml:space="preserve">text.freshness</w:t>
            </w:r>
          </w:p>
        </w:tc>
        <w:tc>
          <w:tcPr>
            <w:tcW w:type="dxa" w:w="1500"/>
            <w:tcMar>
              <w:top w:type="dxa" w:w="60"/>
              <w:left w:type="dxa" w:w="100"/>
              <w:bottom w:type="dxa" w:w="60"/>
              <w:right w:type="dxa" w:w="100"/>
            </w:tcMar>
          </w:tcPr>
          <w:p>
            <w:pPr>
              <w:spacing w:after="0" w:line="250"/>
            </w:pPr>
            <w:r>
              <w:rPr>
                <w:b w:val="false"/>
                <w:bCs w:val="false"/>
                <w:sz w:val="20"/>
                <w:szCs w:val="20"/>
              </w:rPr>
              <w:t xml:space="preserve">#C7C7CC</w:t>
            </w:r>
          </w:p>
        </w:tc>
        <w:tc>
          <w:tcPr>
            <w:tcW w:type="dxa" w:w="1500"/>
            <w:tcMar>
              <w:top w:type="dxa" w:w="60"/>
              <w:left w:type="dxa" w:w="100"/>
              <w:bottom w:type="dxa" w:w="60"/>
              <w:right w:type="dxa" w:w="100"/>
            </w:tcMar>
          </w:tcPr>
          <w:p>
            <w:pPr>
              <w:spacing w:after="0" w:line="250"/>
            </w:pPr>
            <w:r>
              <w:rPr>
                <w:b w:val="false"/>
                <w:bCs w:val="false"/>
                <w:sz w:val="20"/>
                <w:szCs w:val="20"/>
              </w:rPr>
              <w:t xml:space="preserve">#C7C7CC</w:t>
            </w:r>
          </w:p>
        </w:tc>
        <w:tc>
          <w:tcPr>
            <w:tcW w:type="dxa" w:w="1400"/>
            <w:tcMar>
              <w:top w:type="dxa" w:w="60"/>
              <w:left w:type="dxa" w:w="100"/>
              <w:bottom w:type="dxa" w:w="60"/>
              <w:right w:type="dxa" w:w="100"/>
            </w:tcMar>
          </w:tcPr>
          <w:p>
            <w:pPr>
              <w:spacing w:after="0" w:line="250"/>
            </w:pPr>
            <w:r>
              <w:rPr>
                <w:b w:val="false"/>
                <w:bCs w:val="false"/>
                <w:sz w:val="20"/>
                <w:szCs w:val="20"/>
              </w:rPr>
              <w:t xml:space="preserve">#1C1C1E</w:t>
            </w:r>
          </w:p>
        </w:tc>
        <w:tc>
          <w:tcPr>
            <w:tcW w:type="dxa" w:w="3160"/>
            <w:tcMar>
              <w:top w:type="dxa" w:w="60"/>
              <w:left w:type="dxa" w:w="100"/>
              <w:bottom w:type="dxa" w:w="60"/>
              <w:right w:type="dxa" w:w="100"/>
            </w:tcMar>
          </w:tcPr>
          <w:p>
            <w:pPr>
              <w:spacing w:after="0" w:line="250"/>
            </w:pPr>
            <w:r>
              <w:rPr>
                <w:b w:val="false"/>
                <w:bCs w:val="false"/>
                <w:sz w:val="20"/>
                <w:szCs w:val="20"/>
              </w:rPr>
              <w:t xml:space="preserve">New in v1.2. Data-age text only.</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accent</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#0A84FF</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#0A84FF</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#007AFF</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Interactive elements</w:t>
            </w:r>
          </w:p>
        </w:tc>
      </w:tr>
      <w:tr>
        <w:tc>
          <w:tcPr>
            <w:tcW w:type="dxa" w:w="1800"/>
            <w:tcMar>
              <w:top w:type="dxa" w:w="60"/>
              <w:left w:type="dxa" w:w="100"/>
              <w:bottom w:type="dxa" w:w="60"/>
              <w:right w:type="dxa" w:w="100"/>
            </w:tcMar>
          </w:tcPr>
          <w:p>
            <w:pPr>
              <w:spacing w:after="0" w:line="250"/>
            </w:pPr>
            <w:r>
              <w:rPr>
                <w:b w:val="false"/>
                <w:bCs w:val="false"/>
                <w:sz w:val="20"/>
                <w:szCs w:val="20"/>
              </w:rPr>
              <w:t xml:space="preserve">range.in</w:t>
            </w:r>
          </w:p>
        </w:tc>
        <w:tc>
          <w:tcPr>
            <w:tcW w:type="dxa" w:w="1500"/>
            <w:tcMar>
              <w:top w:type="dxa" w:w="60"/>
              <w:left w:type="dxa" w:w="100"/>
              <w:bottom w:type="dxa" w:w="60"/>
              <w:right w:type="dxa" w:w="100"/>
            </w:tcMar>
          </w:tcPr>
          <w:p>
            <w:pPr>
              <w:spacing w:after="0" w:line="250"/>
            </w:pPr>
            <w:r>
              <w:rPr>
                <w:b w:val="false"/>
                <w:bCs w:val="false"/>
                <w:sz w:val="20"/>
                <w:szCs w:val="20"/>
              </w:rPr>
              <w:t xml:space="preserve">#30D158</w:t>
            </w:r>
          </w:p>
        </w:tc>
        <w:tc>
          <w:tcPr>
            <w:tcW w:type="dxa" w:w="1500"/>
            <w:tcMar>
              <w:top w:type="dxa" w:w="60"/>
              <w:left w:type="dxa" w:w="100"/>
              <w:bottom w:type="dxa" w:w="60"/>
              <w:right w:type="dxa" w:w="100"/>
            </w:tcMar>
          </w:tcPr>
          <w:p>
            <w:pPr>
              <w:spacing w:after="0" w:line="250"/>
            </w:pPr>
            <w:r>
              <w:rPr>
                <w:b w:val="false"/>
                <w:bCs w:val="false"/>
                <w:sz w:val="20"/>
                <w:szCs w:val="20"/>
              </w:rPr>
              <w:t xml:space="preserve">#30D158</w:t>
            </w:r>
          </w:p>
        </w:tc>
        <w:tc>
          <w:tcPr>
            <w:tcW w:type="dxa" w:w="1400"/>
            <w:tcMar>
              <w:top w:type="dxa" w:w="60"/>
              <w:left w:type="dxa" w:w="100"/>
              <w:bottom w:type="dxa" w:w="60"/>
              <w:right w:type="dxa" w:w="100"/>
            </w:tcMar>
          </w:tcPr>
          <w:p>
            <w:pPr>
              <w:spacing w:after="0" w:line="250"/>
            </w:pPr>
            <w:r>
              <w:rPr>
                <w:b w:val="false"/>
                <w:bCs w:val="false"/>
                <w:sz w:val="20"/>
                <w:szCs w:val="20"/>
              </w:rPr>
              <w:t xml:space="preserve">#34C759</w:t>
            </w:r>
          </w:p>
        </w:tc>
        <w:tc>
          <w:tcPr>
            <w:tcW w:type="dxa" w:w="3160"/>
            <w:tcMar>
              <w:top w:type="dxa" w:w="60"/>
              <w:left w:type="dxa" w:w="100"/>
              <w:bottom w:type="dxa" w:w="60"/>
              <w:right w:type="dxa" w:w="100"/>
            </w:tcMar>
          </w:tcPr>
          <w:p>
            <w:pPr>
              <w:spacing w:after="0" w:line="250"/>
            </w:pPr>
            <w:r>
              <w:rPr>
                <w:b w:val="false"/>
                <w:bCs w:val="false"/>
                <w:sz w:val="20"/>
                <w:szCs w:val="20"/>
              </w:rPr>
              <w:t xml:space="preserve">In-range glucose</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range.low</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#FF453A</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#FF453A</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#FF3B30</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Below target</w:t>
            </w:r>
          </w:p>
        </w:tc>
      </w:tr>
      <w:tr>
        <w:tc>
          <w:tcPr>
            <w:tcW w:type="dxa" w:w="1800"/>
            <w:tcMar>
              <w:top w:type="dxa" w:w="60"/>
              <w:left w:type="dxa" w:w="100"/>
              <w:bottom w:type="dxa" w:w="60"/>
              <w:right w:type="dxa" w:w="100"/>
            </w:tcMar>
          </w:tcPr>
          <w:p>
            <w:pPr>
              <w:spacing w:after="0" w:line="250"/>
            </w:pPr>
            <w:r>
              <w:rPr>
                <w:b w:val="false"/>
                <w:bCs w:val="false"/>
                <w:sz w:val="20"/>
                <w:szCs w:val="20"/>
              </w:rPr>
              <w:t xml:space="preserve">range.high</w:t>
            </w:r>
          </w:p>
        </w:tc>
        <w:tc>
          <w:tcPr>
            <w:tcW w:type="dxa" w:w="1500"/>
            <w:tcMar>
              <w:top w:type="dxa" w:w="60"/>
              <w:left w:type="dxa" w:w="100"/>
              <w:bottom w:type="dxa" w:w="60"/>
              <w:right w:type="dxa" w:w="100"/>
            </w:tcMar>
          </w:tcPr>
          <w:p>
            <w:pPr>
              <w:spacing w:after="0" w:line="250"/>
            </w:pPr>
            <w:r>
              <w:rPr>
                <w:b w:val="false"/>
                <w:bCs w:val="false"/>
                <w:sz w:val="20"/>
                <w:szCs w:val="20"/>
              </w:rPr>
              <w:t xml:space="preserve">#FFD60A</w:t>
            </w:r>
          </w:p>
        </w:tc>
        <w:tc>
          <w:tcPr>
            <w:tcW w:type="dxa" w:w="1500"/>
            <w:tcMar>
              <w:top w:type="dxa" w:w="60"/>
              <w:left w:type="dxa" w:w="100"/>
              <w:bottom w:type="dxa" w:w="60"/>
              <w:right w:type="dxa" w:w="100"/>
            </w:tcMar>
          </w:tcPr>
          <w:p>
            <w:pPr>
              <w:spacing w:after="0" w:line="250"/>
            </w:pPr>
            <w:r>
              <w:rPr>
                <w:b w:val="false"/>
                <w:bCs w:val="false"/>
                <w:sz w:val="20"/>
                <w:szCs w:val="20"/>
              </w:rPr>
              <w:t xml:space="preserve">#FFD60A</w:t>
            </w:r>
          </w:p>
        </w:tc>
        <w:tc>
          <w:tcPr>
            <w:tcW w:type="dxa" w:w="1400"/>
            <w:tcMar>
              <w:top w:type="dxa" w:w="60"/>
              <w:left w:type="dxa" w:w="100"/>
              <w:bottom w:type="dxa" w:w="60"/>
              <w:right w:type="dxa" w:w="100"/>
            </w:tcMar>
          </w:tcPr>
          <w:p>
            <w:pPr>
              <w:spacing w:after="0" w:line="250"/>
            </w:pPr>
            <w:r>
              <w:rPr>
                <w:b w:val="false"/>
                <w:bCs w:val="false"/>
                <w:sz w:val="20"/>
                <w:szCs w:val="20"/>
              </w:rPr>
              <w:t xml:space="preserve">#FFCC00</w:t>
            </w:r>
          </w:p>
        </w:tc>
        <w:tc>
          <w:tcPr>
            <w:tcW w:type="dxa" w:w="3160"/>
            <w:tcMar>
              <w:top w:type="dxa" w:w="60"/>
              <w:left w:type="dxa" w:w="100"/>
              <w:bottom w:type="dxa" w:w="60"/>
              <w:right w:type="dxa" w:w="100"/>
            </w:tcMar>
          </w:tcPr>
          <w:p>
            <w:pPr>
              <w:spacing w:after="0" w:line="250"/>
            </w:pPr>
            <w:r>
              <w:rPr>
                <w:b w:val="false"/>
                <w:bCs w:val="false"/>
                <w:sz w:val="20"/>
                <w:szCs w:val="20"/>
              </w:rPr>
              <w:t xml:space="preserve">Above target</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range.urgent</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#FF375F</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#FF375F</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#FF2D55</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Urgent low/high — fill only, never text</w:t>
            </w:r>
          </w:p>
        </w:tc>
      </w:tr>
    </w:tbl>
    <w:p>
      <w:pPr>
        <w:spacing w:after="100"/>
      </w:pPr>
    </w:p>
    <w:p>
      <w:pPr>
        <w:spacing w:after="100" w:before="180"/>
      </w:pPr>
      <w:r>
        <w:rPr>
          <w:b/>
          <w:bCs/>
          <w:color w:val="1F4D78"/>
        </w:rPr>
        <w:t xml:space="preserve">Two corrections in v1.2</w:t>
      </w:r>
    </w:p>
    <w:p>
      <w:pPr>
        <w:pStyle w:val="ListParagraph"/>
        <w:numPr>
          <w:ilvl w:val="0"/>
          <w:numId w:val="2"/>
        </w:numPr>
        <w:spacing w:after="80" w:line="276"/>
      </w:pPr>
      <w:r>
        <w:rPr>
          <w:b/>
          <w:bCs/>
        </w:rPr>
        <w:t xml:space="preserve">Urgent is distinguished by treatment, not hue.</w:t>
      </w:r>
      <w:r>
        <w:rPr>
          <w:b w:val="false"/>
          <w:bCs w:val="false"/>
        </w:rPr>
        <w:t xml:space="preserve"> v1.1's </w:t>
      </w:r>
      <w:r>
        <w:rPr>
          <w:rFonts w:ascii="Consolas" w:cs="Consolas" w:eastAsia="Consolas" w:hAnsi="Consolas"/>
          <w:b w:val="false"/>
          <w:bCs w:val="false"/>
          <w:sz w:val="19"/>
          <w:szCs w:val="19"/>
        </w:rPr>
        <w:t xml:space="preserve">range.urgent</w:t>
      </w:r>
      <w:r>
        <w:rPr>
          <w:b w:val="false"/>
          <w:bCs w:val="false"/>
        </w:rPr>
        <w:t xml:space="preserve"> (#FF2D55) and </w:t>
      </w:r>
      <w:r>
        <w:rPr>
          <w:rFonts w:ascii="Consolas" w:cs="Consolas" w:eastAsia="Consolas" w:hAnsi="Consolas"/>
          <w:b w:val="false"/>
          <w:bCs w:val="false"/>
          <w:sz w:val="19"/>
          <w:szCs w:val="19"/>
        </w:rPr>
        <w:t xml:space="preserve">range.low</w:t>
      </w:r>
      <w:r>
        <w:rPr>
          <w:b w:val="false"/>
          <w:bCs w:val="false"/>
        </w:rPr>
        <w:t xml:space="preserve"> (#FF453A) are near-identical in hue, and low-versus-urgent-low is the single most safety-critical distinction the app makes. Chasing a distinguishable adjacent red is the wrong fix. Instead: </w:t>
      </w:r>
      <w:r>
        <w:rPr>
          <w:rFonts w:ascii="Consolas" w:cs="Consolas" w:eastAsia="Consolas" w:hAnsi="Consolas"/>
          <w:b/>
          <w:bCs/>
          <w:sz w:val="19"/>
          <w:szCs w:val="19"/>
        </w:rPr>
        <w:t xml:space="preserve">range.low</w:t>
      </w:r>
      <w:r>
        <w:rPr>
          <w:b/>
          <w:bCs/>
        </w:rPr>
        <w:t xml:space="preserve"> is applied as a text colour; </w:t>
      </w:r>
      <w:r>
        <w:rPr>
          <w:rFonts w:ascii="Consolas" w:cs="Consolas" w:eastAsia="Consolas" w:hAnsi="Consolas"/>
          <w:b/>
          <w:bCs/>
          <w:sz w:val="19"/>
          <w:szCs w:val="19"/>
        </w:rPr>
        <w:t xml:space="preserve">range.urgent</w:t>
      </w:r>
      <w:r>
        <w:rPr>
          <w:b/>
          <w:bCs/>
        </w:rPr>
        <w:t xml:space="preserve"> is applied only as a filled background with #FFFFFF text</w:t>
      </w:r>
      <w:r>
        <w:rPr>
          <w:b w:val="false"/>
          <w:bCs w:val="false"/>
        </w:rPr>
        <w:t xml:space="preserve">, plus a distinct glyph. The distinction becomes fill-versus-text — unmissable at a glance, at complication size, and under any colour-vision deficiency.</w:t>
      </w:r>
    </w:p>
    <w:p>
      <w:pPr>
        <w:pStyle w:val="ListParagraph"/>
        <w:numPr>
          <w:ilvl w:val="0"/>
          <w:numId w:val="2"/>
        </w:numPr>
        <w:spacing w:after="80" w:line="276"/>
      </w:pPr>
      <w:r>
        <w:rPr>
          <w:b/>
          <w:bCs/>
        </w:rPr>
        <w:t xml:space="preserve">Freshness text gets its own brighter token.</w:t>
      </w:r>
      <w:r>
        <w:rPr>
          <w:b w:val="false"/>
          <w:bCs w:val="false"/>
        </w:rPr>
        <w:t xml:space="preserve"> </w:t>
      </w:r>
      <w:r>
        <w:rPr>
          <w:rFonts w:ascii="Consolas" w:cs="Consolas" w:eastAsia="Consolas" w:hAnsi="Consolas"/>
          <w:b w:val="false"/>
          <w:bCs w:val="false"/>
          <w:sz w:val="19"/>
          <w:szCs w:val="19"/>
        </w:rPr>
        <w:t xml:space="preserve">text.secondary</w:t>
      </w:r>
      <w:r>
        <w:rPr>
          <w:b w:val="false"/>
          <w:bCs w:val="false"/>
        </w:rPr>
        <w:t xml:space="preserve"> (#8E8E93) measures roughly 6.4:1 against #000000 and 5.2:1 against #1C1C1E. Both pass WCAG AA for body text, but “Updated 3 min ago” is the most safety-relevant string on the screen and was rendering at 13pt in the dimmest colour in the system. </w:t>
      </w:r>
      <w:r>
        <w:rPr>
          <w:rFonts w:ascii="Consolas" w:cs="Consolas" w:eastAsia="Consolas" w:hAnsi="Consolas"/>
          <w:b w:val="false"/>
          <w:bCs w:val="false"/>
          <w:sz w:val="19"/>
          <w:szCs w:val="19"/>
        </w:rPr>
        <w:t xml:space="preserve">text.freshness</w:t>
      </w:r>
      <w:r>
        <w:rPr>
          <w:b w:val="false"/>
          <w:bCs w:val="false"/>
        </w:rPr>
        <w:t xml:space="preserve"> (#C7C7CC) measures roughly 12.5:1 on true black and 10.1:1 on Soft Dark.</w:t>
      </w:r>
    </w:p>
    <w:p>
      <w:pPr>
        <w:spacing w:after="120" w:line="276"/>
      </w:pPr>
      <w:r>
        <w:rPr>
          <w:b w:val="false"/>
          <w:bCs w:val="false"/>
        </w:rPr>
        <w:t xml:space="preserve">Range colouring is always paired with a glyph (§3.1.4). In-range green and low red are the deuteranopia-confusable pair, so the glyph carries the meaning and the colour reinforces it — not the other way around.</w:t>
      </w:r>
    </w:p>
    <w:p>
      <w:pPr>
        <w:pStyle w:val="Heading2"/>
        <w:spacing w:after="140" w:before="280"/>
      </w:pPr>
      <w:r>
        <w:rPr>
          <w:b w:val="false"/>
          <w:bCs w:val="false"/>
        </w:rPr>
        <w:t xml:space="preserve">5.2 Typography</w:t>
      </w:r>
    </w:p>
    <w:p>
      <w:pPr>
        <w:pStyle w:val="ListParagraph"/>
        <w:numPr>
          <w:ilvl w:val="0"/>
          <w:numId w:val="2"/>
        </w:numPr>
        <w:spacing w:after="80" w:line="276"/>
      </w:pPr>
      <w:r>
        <w:rPr>
          <w:b/>
          <w:bCs/>
        </w:rPr>
        <w:t xml:space="preserve">Hero glucose number:</w:t>
      </w:r>
      <w:r>
        <w:rPr>
          <w:b w:val="false"/>
          <w:bCs w:val="false"/>
        </w:rPr>
        <w:t xml:space="preserve"> SF Pro Rounded, 96pt, Bold at default Dynamic Type.</w:t>
      </w:r>
    </w:p>
    <w:p>
      <w:pPr>
        <w:pStyle w:val="ListParagraph"/>
        <w:numPr>
          <w:ilvl w:val="0"/>
          <w:numId w:val="2"/>
        </w:numPr>
        <w:spacing w:after="80" w:line="276"/>
      </w:pPr>
      <w:r>
        <w:rPr>
          <w:b/>
          <w:bCs/>
        </w:rPr>
        <w:t xml:space="preserve">Section titles:</w:t>
      </w:r>
      <w:r>
        <w:rPr>
          <w:b w:val="false"/>
          <w:bCs w:val="false"/>
        </w:rPr>
        <w:t xml:space="preserve"> SF Pro, 22pt, Semibold.</w:t>
      </w:r>
    </w:p>
    <w:p>
      <w:pPr>
        <w:pStyle w:val="ListParagraph"/>
        <w:numPr>
          <w:ilvl w:val="0"/>
          <w:numId w:val="2"/>
        </w:numPr>
        <w:spacing w:after="80" w:line="276"/>
      </w:pPr>
      <w:r>
        <w:rPr>
          <w:b/>
          <w:bCs/>
        </w:rPr>
        <w:t xml:space="preserve">Body:</w:t>
      </w:r>
      <w:r>
        <w:rPr>
          <w:b w:val="false"/>
          <w:bCs w:val="false"/>
        </w:rPr>
        <w:t xml:space="preserve"> SF Pro, 17pt, Regular.</w:t>
      </w:r>
    </w:p>
    <w:p>
      <w:pPr>
        <w:pStyle w:val="ListParagraph"/>
        <w:numPr>
          <w:ilvl w:val="0"/>
          <w:numId w:val="2"/>
        </w:numPr>
        <w:spacing w:after="80" w:line="276"/>
      </w:pPr>
      <w:r>
        <w:rPr>
          <w:b/>
          <w:bCs/>
        </w:rPr>
        <w:t xml:space="preserve">Captions:</w:t>
      </w:r>
      <w:r>
        <w:rPr>
          <w:b w:val="false"/>
          <w:bCs w:val="false"/>
        </w:rPr>
        <w:t xml:space="preserve"> SF Pro, 13pt, Regular, secondary colour — except data-age text, which uses </w:t>
      </w:r>
      <w:r>
        <w:rPr>
          <w:rFonts w:ascii="Consolas" w:cs="Consolas" w:eastAsia="Consolas" w:hAnsi="Consolas"/>
          <w:b w:val="false"/>
          <w:bCs w:val="false"/>
          <w:sz w:val="19"/>
          <w:szCs w:val="19"/>
        </w:rPr>
        <w:t xml:space="preserve">text.freshness</w:t>
      </w:r>
      <w:r>
        <w:rPr>
          <w:b w:val="false"/>
          <w:bCs w:val="false"/>
        </w:rPr>
        <w:t xml:space="preserve"> (§5.1).</w:t>
      </w:r>
    </w:p>
    <w:p>
      <w:pPr>
        <w:pStyle w:val="ListParagraph"/>
        <w:numPr>
          <w:ilvl w:val="0"/>
          <w:numId w:val="2"/>
        </w:numPr>
        <w:spacing w:after="80" w:line="276"/>
      </w:pPr>
      <w:r>
        <w:rPr>
          <w:b/>
          <w:bCs/>
        </w:rPr>
        <w:t xml:space="preserve">Dynamic Type:</w:t>
      </w:r>
      <w:r>
        <w:rPr>
          <w:b w:val="false"/>
          <w:bCs w:val="false"/>
        </w:rPr>
        <w:t xml:space="preserve"> all text scales. The hero number is the exception that needs a strategy rather than a rule: at accessibility sizes a scaled 96pt value will not fit on any iPhone. It scales up to a cap of roughly 120pt, then holds; the surrounding layout reflows and the 3h chart collapses to give it room. Verify at AX5.</w:t>
      </w:r>
    </w:p>
    <w:p>
      <w:pPr>
        <w:pBdr>
          <w:left w:val="single" w:color="BFD3E6" w:sz="12" w:space="8"/>
        </w:pBdr>
        <w:spacing w:after="160" w:line="260"/>
        <w:ind w:left="180"/>
      </w:pPr>
      <w:r>
        <w:rPr>
          <w:b w:val="false"/>
          <w:bCs w:val="false"/>
          <w:i/>
          <w:iCs/>
          <w:color w:val="595959"/>
          <w:sz w:val="20"/>
          <w:szCs w:val="20"/>
        </w:rPr>
        <w:t xml:space="preserve">Correction in v1.2: v1.1 justified 96pt Bold as “true OLED-friendly weight.” The rationale is backwards. A pure black background saves power on OLED because unlit pixels draw nothing; a heavy white glyph lights more pixels than a lighter one and increases glare during night checks. Bold is retained because it is the right choice for legibility at a glance — but for legibility, not for OLED efficiency. Bedside Mode (§5.3) drops the hero to Medium weight for exactly this reason.</w:t>
      </w:r>
    </w:p>
    <w:p>
      <w:pPr>
        <w:pStyle w:val="Heading2"/>
        <w:spacing w:after="140" w:before="280"/>
      </w:pPr>
      <w:r>
        <w:rPr>
          <w:b w:val="false"/>
          <w:bCs w:val="false"/>
        </w:rPr>
        <w:t xml:space="preserve">5.3 Bedside Mode Specifics</w:t>
      </w:r>
    </w:p>
    <w:p>
      <w:pPr>
        <w:pStyle w:val="ListParagraph"/>
        <w:numPr>
          <w:ilvl w:val="0"/>
          <w:numId w:val="2"/>
        </w:numPr>
        <w:spacing w:after="80" w:line="276"/>
      </w:pPr>
      <w:r>
        <w:rPr>
          <w:b w:val="false"/>
          <w:bCs w:val="false"/>
        </w:rPr>
        <w:t xml:space="preserve">Background: pure #000000.</w:t>
      </w:r>
    </w:p>
    <w:p>
      <w:pPr>
        <w:pStyle w:val="ListParagraph"/>
        <w:numPr>
          <w:ilvl w:val="0"/>
          <w:numId w:val="2"/>
        </w:numPr>
        <w:spacing w:after="80" w:line="276"/>
      </w:pPr>
      <w:r>
        <w:rPr>
          <w:b w:val="false"/>
          <w:bCs w:val="false"/>
        </w:rPr>
        <w:t xml:space="preserve">All text and accents shifted toward the red end of the spectrum (#FF6B6B, #FF9F43) to preserve dark adaptation.</w:t>
      </w:r>
    </w:p>
    <w:p>
      <w:pPr>
        <w:pStyle w:val="ListParagraph"/>
        <w:numPr>
          <w:ilvl w:val="0"/>
          <w:numId w:val="2"/>
        </w:numPr>
        <w:spacing w:after="80" w:line="276"/>
      </w:pPr>
      <w:r>
        <w:rPr>
          <w:b w:val="false"/>
          <w:bCs w:val="false"/>
        </w:rPr>
        <w:t xml:space="preserve">Hero number drops from Bold to Medium weight — fewer lit pixels, less glare, still legible at 96pt.</w:t>
      </w:r>
    </w:p>
    <w:p>
      <w:pPr>
        <w:pStyle w:val="ListParagraph"/>
        <w:numPr>
          <w:ilvl w:val="0"/>
          <w:numId w:val="2"/>
        </w:numPr>
        <w:spacing w:after="80" w:line="276"/>
      </w:pPr>
      <w:r>
        <w:rPr>
          <w:b w:val="false"/>
          <w:bCs w:val="false"/>
        </w:rPr>
        <w:t xml:space="preserve">All animations disabled.</w:t>
      </w:r>
    </w:p>
    <w:p>
      <w:pPr>
        <w:spacing w:after="100" w:before="180"/>
      </w:pPr>
      <w:r>
        <w:rPr>
          <w:b/>
          <w:bCs/>
          <w:color w:val="1F4D78"/>
        </w:rPr>
        <w:t xml:space="preserve">Dimming — corrected implementation</w:t>
      </w:r>
    </w:p>
    <w:p>
      <w:pPr>
        <w:spacing w:after="120" w:line="276"/>
      </w:pPr>
      <w:r>
        <w:rPr>
          <w:b/>
          <w:bCs/>
        </w:rPr>
        <w:t xml:space="preserve">v1.1 specified “maximum brightness on screen: 30% of system brightness setting.” An iOS app cannot do this.</w:t>
      </w:r>
      <w:r>
        <w:rPr>
          <w:b w:val="false"/>
          <w:bCs w:val="false"/>
        </w:rPr>
        <w:t xml:space="preserve"> There is no per-app or per-window brightness. </w:t>
      </w:r>
      <w:r>
        <w:rPr>
          <w:rFonts w:ascii="Consolas" w:cs="Consolas" w:eastAsia="Consolas" w:hAnsi="Consolas"/>
          <w:b w:val="false"/>
          <w:bCs w:val="false"/>
          <w:sz w:val="19"/>
          <w:szCs w:val="19"/>
        </w:rPr>
        <w:t xml:space="preserve">UIScreen.main.brightness</w:t>
      </w:r>
      <w:r>
        <w:rPr>
          <w:b w:val="false"/>
          <w:bCs w:val="false"/>
        </w:rPr>
        <w:t xml:space="preserve"> sets brightness </w:t>
      </w:r>
      <w:r>
        <w:rPr>
          <w:b/>
          <w:bCs/>
        </w:rPr>
        <w:t xml:space="preserve">globally and persistently</w:t>
      </w:r>
      <w:r>
        <w:rPr>
          <w:b w:val="false"/>
          <w:bCs w:val="false"/>
        </w:rPr>
        <w:t xml:space="preserve"> for the entire device, affecting every other app and surviving until something changes it back — and any crash, force-quit, or missed lifecycle callback leaves the user's phone stuck dim.</w:t>
      </w:r>
    </w:p>
    <w:p>
      <w:pPr>
        <w:spacing w:after="120" w:line="276"/>
      </w:pPr>
      <w:r>
        <w:rPr>
          <w:b w:val="false"/>
          <w:bCs w:val="false"/>
        </w:rPr>
        <w:t xml:space="preserve">The correct implementation is a </w:t>
      </w:r>
      <w:r>
        <w:rPr>
          <w:b/>
          <w:bCs/>
        </w:rPr>
        <w:t xml:space="preserve">full-screen black overlay</w:t>
      </w:r>
      <w:r>
        <w:rPr>
          <w:b w:val="false"/>
          <w:bCs w:val="false"/>
        </w:rPr>
        <w:t xml:space="preserve"> at the top of the view hierarchy with adjustable opacity (0 to roughly 0.7), rendered above content and below the touch layer. Content dims; the system brightness setting is never touched. This is what every well-behaved night-mode app does.</w:t>
      </w:r>
    </w:p>
    <w:p>
      <w:pPr>
        <w:spacing w:after="120" w:line="276"/>
      </w:pPr>
      <w:r>
        <w:rPr>
          <w:b w:val="false"/>
          <w:bCs w:val="false"/>
        </w:rPr>
        <w:t xml:space="preserve">If the user explicitly opts in to system-level dimming as well, </w:t>
      </w:r>
      <w:r>
        <w:rPr>
          <w:rFonts w:ascii="Consolas" w:cs="Consolas" w:eastAsia="Consolas" w:hAnsi="Consolas"/>
          <w:b w:val="false"/>
          <w:bCs w:val="false"/>
          <w:sz w:val="19"/>
          <w:szCs w:val="19"/>
        </w:rPr>
        <w:t xml:space="preserve">UIScreen.main.brightness</w:t>
      </w:r>
      <w:r>
        <w:rPr>
          <w:b w:val="false"/>
          <w:bCs w:val="false"/>
        </w:rPr>
        <w:t xml:space="preserve"> may be set — but only with the prior value captured, restored on </w:t>
      </w:r>
      <w:r>
        <w:rPr>
          <w:rFonts w:ascii="Consolas" w:cs="Consolas" w:eastAsia="Consolas" w:hAnsi="Consolas"/>
          <w:b w:val="false"/>
          <w:bCs w:val="false"/>
          <w:sz w:val="19"/>
          <w:szCs w:val="19"/>
        </w:rPr>
        <w:t xml:space="preserve">scenePhase</w:t>
      </w:r>
      <w:r>
        <w:rPr>
          <w:b w:val="false"/>
          <w:bCs w:val="false"/>
        </w:rPr>
        <w:t xml:space="preserve"> change to </w:t>
      </w:r>
      <w:r>
        <w:rPr>
          <w:rFonts w:ascii="Consolas" w:cs="Consolas" w:eastAsia="Consolas" w:hAnsi="Consolas"/>
          <w:b w:val="false"/>
          <w:bCs w:val="false"/>
          <w:sz w:val="19"/>
          <w:szCs w:val="19"/>
        </w:rPr>
        <w:t xml:space="preserve">.background</w:t>
      </w:r>
      <w:r>
        <w:rPr>
          <w:b w:val="false"/>
          <w:bCs w:val="false"/>
        </w:rPr>
        <w:t xml:space="preserve"> or </w:t>
      </w:r>
      <w:r>
        <w:rPr>
          <w:rFonts w:ascii="Consolas" w:cs="Consolas" w:eastAsia="Consolas" w:hAnsi="Consolas"/>
          <w:b w:val="false"/>
          <w:bCs w:val="false"/>
          <w:sz w:val="19"/>
          <w:szCs w:val="19"/>
        </w:rPr>
        <w:t xml:space="preserve">.inactive</w:t>
      </w:r>
      <w:r>
        <w:rPr>
          <w:b w:val="false"/>
          <w:bCs w:val="false"/>
        </w:rPr>
        <w:t xml:space="preserve">, restored on termination, and restored on next launch as a safety net if the app died holding it.</w:t>
      </w:r>
    </w:p>
    <w:p>
      <w:pPr>
        <w:spacing w:after="100" w:before="180"/>
      </w:pPr>
      <w:r>
        <w:rPr>
          <w:b/>
          <w:bCs/>
          <w:color w:val="1F4D78"/>
        </w:rPr>
        <w:t xml:space="preserve">Exit gesture</w:t>
      </w:r>
    </w:p>
    <w:p>
      <w:pPr>
        <w:spacing w:after="120" w:line="276"/>
      </w:pPr>
      <w:r>
        <w:rPr>
          <w:b w:val="false"/>
          <w:bCs w:val="false"/>
        </w:rPr>
        <w:t xml:space="preserve">v1.1's “single tap anywhere returns to normal mode” conflicts with the tappable timeline (§3.2.2) and fires on accidental wake-taps. Exit is a deliberate gesture instead: a two-finger tap, or a long-press on the hero number. Reading the screen and dismissing the mode should not be the same action.</w:t>
      </w:r>
    </w:p>
    <w:p>
      <w:pPr>
        <w:pStyle w:val="Heading2"/>
        <w:spacing w:after="140" w:before="280"/>
      </w:pPr>
      <w:r>
        <w:rPr>
          <w:b w:val="false"/>
          <w:bCs w:val="false"/>
        </w:rPr>
        <w:t xml:space="preserve">5.4 Accessibility</w:t>
      </w:r>
    </w:p>
    <w:p>
      <w:pPr>
        <w:pBdr>
          <w:left w:val="single" w:color="BFD3E6" w:sz="12" w:space="8"/>
        </w:pBdr>
        <w:spacing w:after="160" w:line="260"/>
        <w:ind w:left="180"/>
      </w:pPr>
      <w:r>
        <w:rPr>
          <w:b w:val="false"/>
          <w:bCs w:val="false"/>
          <w:i/>
          <w:iCs/>
          <w:color w:val="595959"/>
          <w:sz w:val="20"/>
          <w:szCs w:val="20"/>
        </w:rPr>
        <w:t xml:space="preserve">New in v1.2. v1.1 covered Dynamic Type and colour-vision deficiency but not screen readers, which for a health app is the significant gap.</w:t>
      </w:r>
    </w:p>
    <w:p>
      <w:pPr>
        <w:pStyle w:val="ListParagraph"/>
        <w:numPr>
          <w:ilvl w:val="0"/>
          <w:numId w:val="2"/>
        </w:numPr>
        <w:spacing w:after="80" w:line="276"/>
      </w:pPr>
      <w:r>
        <w:rPr>
          <w:b/>
          <w:bCs/>
        </w:rPr>
        <w:t xml:space="preserve">VoiceOver on the hero area</w:t>
      </w:r>
      <w:r>
        <w:rPr>
          <w:b w:val="false"/>
          <w:bCs w:val="false"/>
        </w:rPr>
        <w:t xml:space="preserve"> reads value, unit, trend, and age as a single coherent label — “142 milligrams per deciliter, steady, updated 3 minutes ago” — not four fragments the user has to assemble.</w:t>
      </w:r>
    </w:p>
    <w:p>
      <w:pPr>
        <w:pStyle w:val="ListParagraph"/>
        <w:numPr>
          <w:ilvl w:val="0"/>
          <w:numId w:val="2"/>
        </w:numPr>
        <w:spacing w:after="80" w:line="276"/>
      </w:pPr>
      <w:r>
        <w:rPr>
          <w:b/>
          <w:bCs/>
        </w:rPr>
        <w:t xml:space="preserve">Charts need an </w:t>
      </w:r>
      <w:r>
        <w:rPr>
          <w:rFonts w:ascii="Consolas" w:cs="Consolas" w:eastAsia="Consolas" w:hAnsi="Consolas"/>
          <w:b/>
          <w:bCs/>
          <w:sz w:val="19"/>
          <w:szCs w:val="19"/>
        </w:rPr>
        <w:t xml:space="preserve">AXChartDescriptor</w:t>
      </w:r>
      <w:r>
        <w:rPr>
          <w:b/>
          <w:bCs/>
        </w:rPr>
        <w:t xml:space="preserve">.</w:t>
      </w:r>
      <w:r>
        <w:rPr>
          <w:b w:val="false"/>
          <w:bCs w:val="false"/>
        </w:rPr>
        <w:t xml:space="preserve"> Swift Charts is opaque to VoiceOver by default. Both the 3h chart and the AGP expose a descriptor with axes and series so the data is navigable by audio graph.</w:t>
      </w:r>
    </w:p>
    <w:p>
      <w:pPr>
        <w:pStyle w:val="ListParagraph"/>
        <w:numPr>
          <w:ilvl w:val="0"/>
          <w:numId w:val="2"/>
        </w:numPr>
        <w:spacing w:after="80" w:line="276"/>
      </w:pPr>
      <w:r>
        <w:rPr>
          <w:b/>
          <w:bCs/>
        </w:rPr>
        <w:t xml:space="preserve">Range state is announced, not just coloured.</w:t>
      </w:r>
      <w:r>
        <w:rPr>
          <w:b w:val="false"/>
          <w:bCs w:val="false"/>
        </w:rPr>
        <w:t xml:space="preserve"> The accessibility label includes “below target” or “urgent low” explicitly.</w:t>
      </w:r>
    </w:p>
    <w:p>
      <w:pPr>
        <w:pStyle w:val="ListParagraph"/>
        <w:numPr>
          <w:ilvl w:val="0"/>
          <w:numId w:val="2"/>
        </w:numPr>
        <w:spacing w:after="80" w:line="276"/>
      </w:pPr>
      <w:r>
        <w:rPr>
          <w:b/>
          <w:bCs/>
        </w:rPr>
        <w:t xml:space="preserve">Reduce Motion</w:t>
      </w:r>
      <w:r>
        <w:rPr>
          <w:b w:val="false"/>
          <w:bCs w:val="false"/>
        </w:rPr>
        <w:t xml:space="preserve"> disables chart animations and the Live Activity's transitions.</w:t>
      </w:r>
    </w:p>
    <w:p>
      <w:pPr>
        <w:pStyle w:val="ListParagraph"/>
        <w:numPr>
          <w:ilvl w:val="0"/>
          <w:numId w:val="2"/>
        </w:numPr>
        <w:spacing w:after="80" w:line="276"/>
      </w:pPr>
      <w:r>
        <w:rPr>
          <w:b/>
          <w:bCs/>
        </w:rPr>
        <w:t xml:space="preserve">Increase Contrast</w:t>
      </w:r>
      <w:r>
        <w:rPr>
          <w:b w:val="false"/>
          <w:bCs w:val="false"/>
        </w:rPr>
        <w:t xml:space="preserve"> switches </w:t>
      </w:r>
      <w:r>
        <w:rPr>
          <w:rFonts w:ascii="Consolas" w:cs="Consolas" w:eastAsia="Consolas" w:hAnsi="Consolas"/>
          <w:b w:val="false"/>
          <w:bCs w:val="false"/>
          <w:sz w:val="19"/>
          <w:szCs w:val="19"/>
        </w:rPr>
        <w:t xml:space="preserve">text.secondary</w:t>
      </w:r>
      <w:r>
        <w:rPr>
          <w:b w:val="false"/>
          <w:bCs w:val="false"/>
        </w:rPr>
        <w:t xml:space="preserve"> to </w:t>
      </w:r>
      <w:r>
        <w:rPr>
          <w:rFonts w:ascii="Consolas" w:cs="Consolas" w:eastAsia="Consolas" w:hAnsi="Consolas"/>
          <w:b w:val="false"/>
          <w:bCs w:val="false"/>
          <w:sz w:val="19"/>
          <w:szCs w:val="19"/>
        </w:rPr>
        <w:t xml:space="preserve">text.freshness</w:t>
      </w:r>
      <w:r>
        <w:rPr>
          <w:b w:val="false"/>
          <w:bCs w:val="false"/>
        </w:rPr>
        <w:t xml:space="preserve"> throughout and thickens the target-range band border.</w:t>
      </w:r>
    </w:p>
    <w:p>
      <w:pPr>
        <w:pStyle w:val="ListParagraph"/>
        <w:numPr>
          <w:ilvl w:val="0"/>
          <w:numId w:val="2"/>
        </w:numPr>
        <w:spacing w:after="80" w:line="276"/>
      </w:pPr>
      <w:r>
        <w:rPr>
          <w:b/>
          <w:bCs/>
        </w:rPr>
        <w:t xml:space="preserve">Minimum touch target of 44×44pt</w:t>
      </w:r>
      <w:r>
        <w:rPr>
          <w:b w:val="false"/>
          <w:bCs w:val="false"/>
        </w:rPr>
        <w:t xml:space="preserve"> on every quick-log control, including complication-adjacent buttons.</w:t>
      </w:r>
    </w:p>
    <w:p>
      <w:pPr>
        <w:pStyle w:val="ListParagraph"/>
        <w:numPr>
          <w:ilvl w:val="0"/>
          <w:numId w:val="2"/>
        </w:numPr>
        <w:spacing w:after="80" w:line="276"/>
      </w:pPr>
      <w:r>
        <w:rPr>
          <w:b/>
          <w:bCs/>
        </w:rPr>
        <w:t xml:space="preserve">Bedside Mode must remain accessible</w:t>
      </w:r>
      <w:r>
        <w:rPr>
          <w:b w:val="false"/>
          <w:bCs w:val="false"/>
        </w:rPr>
        <w:t xml:space="preserve"> — the red-shifted palette is verified against WCAG AA at the dimming levels actually used, not only at full opacity.</w:t>
      </w:r>
    </w:p>
    <w:p>
      <w:pPr>
        <w:pStyle w:val="Heading1"/>
        <w:spacing w:after="160" w:before="360"/>
      </w:pPr>
      <w:r>
        <w:rPr>
          <w:b w:val="false"/>
          <w:bCs w:val="false"/>
        </w:rPr>
        <w:t xml:space="preserve">6. Privacy &amp; Security</w:t>
      </w:r>
    </w:p>
    <w:p>
      <w:pPr>
        <w:pStyle w:val="ListParagraph"/>
        <w:numPr>
          <w:ilvl w:val="0"/>
          <w:numId w:val="2"/>
        </w:numPr>
        <w:spacing w:after="80" w:line="276"/>
      </w:pPr>
      <w:r>
        <w:rPr>
          <w:b w:val="false"/>
          <w:bCs w:val="false"/>
        </w:rPr>
        <w:t xml:space="preserve">All glucose data is stored locally on device. </w:t>
      </w:r>
      <w:r>
        <w:rPr>
          <w:b/>
          <w:bCs/>
        </w:rPr>
        <w:t xml:space="preserve">No servers beyond Dexcom's own</w:t>
      </w:r>
      <w:r>
        <w:rPr>
          <w:b w:val="false"/>
          <w:bCs w:val="false"/>
        </w:rPr>
        <w:t xml:space="preserve"> — the Share API is by definition a third-party service, so v1.1's blanket “no third-party servers” was inaccurate. GlucoNoir adds no server of its own and sends data to no one.</w:t>
      </w:r>
    </w:p>
    <w:p>
      <w:pPr>
        <w:pStyle w:val="ListParagraph"/>
        <w:numPr>
          <w:ilvl w:val="0"/>
          <w:numId w:val="2"/>
        </w:numPr>
        <w:spacing w:after="80" w:line="276"/>
      </w:pPr>
      <w:r>
        <w:rPr>
          <w:b/>
          <w:bCs/>
        </w:rPr>
        <w:t xml:space="preserve">Dexcom credentials are stored in the Keychain with </w:t>
      </w:r>
      <w:r>
        <w:rPr>
          <w:rFonts w:ascii="Consolas" w:cs="Consolas" w:eastAsia="Consolas" w:hAnsi="Consolas"/>
          <w:b/>
          <w:bCs/>
          <w:sz w:val="19"/>
          <w:szCs w:val="19"/>
        </w:rPr>
        <w:t xml:space="preserve">kSecAttrAccessibleAfterFirstUnlockThisDeviceOnly</w:t>
      </w:r>
      <w:r>
        <w:rPr>
          <w:b/>
          <w:bCs/>
        </w:rPr>
        <w:t xml:space="preserve">.</w:t>
      </w:r>
    </w:p>
    <w:p>
      <w:pPr>
        <w:pBdr>
          <w:left w:val="single" w:color="BFD3E6" w:sz="12" w:space="8"/>
        </w:pBdr>
        <w:spacing w:after="160" w:line="260"/>
        <w:ind w:left="180"/>
      </w:pPr>
      <w:r>
        <w:rPr>
          <w:b w:val="false"/>
          <w:bCs w:val="false"/>
          <w:i/>
          <w:iCs/>
          <w:color w:val="595959"/>
          <w:sz w:val="20"/>
          <w:szCs w:val="20"/>
        </w:rPr>
        <w:t xml:space="preserve">Security correction in v1.2. v1.1 specified </w:t>
      </w:r>
      <w:r>
        <w:rPr>
          <w:rFonts w:ascii="Consolas" w:cs="Consolas" w:eastAsia="Consolas" w:hAnsi="Consolas"/>
          <w:b w:val="false"/>
          <w:bCs w:val="false"/>
          <w:i/>
          <w:iCs/>
          <w:color w:val="595959"/>
          <w:sz w:val="19"/>
          <w:szCs w:val="19"/>
        </w:rPr>
        <w:t xml:space="preserve">kSecAttrAccessibleWhenUnlockedThisDeviceOnly</w:t>
      </w:r>
      <w:r>
        <w:rPr>
          <w:b w:val="false"/>
          <w:bCs w:val="false"/>
          <w:i/>
          <w:iCs/>
          <w:color w:val="595959"/>
          <w:sz w:val="20"/>
          <w:szCs w:val="20"/>
        </w:rPr>
        <w:t xml:space="preserve">. That class makes the item unreadable whenever the device is locked — so every background Share poll on a locked phone fails, and after a reboot nothing works until the user unlocks. </w:t>
      </w:r>
      <w:r>
        <w:rPr>
          <w:rFonts w:ascii="Consolas" w:cs="Consolas" w:eastAsia="Consolas" w:hAnsi="Consolas"/>
          <w:b w:val="false"/>
          <w:bCs w:val="false"/>
          <w:i/>
          <w:iCs/>
          <w:color w:val="595959"/>
          <w:sz w:val="19"/>
          <w:szCs w:val="19"/>
        </w:rPr>
        <w:t xml:space="preserve">AfterFirstUnlock</w:t>
      </w:r>
      <w:r>
        <w:rPr>
          <w:b w:val="false"/>
          <w:bCs w:val="false"/>
          <w:i/>
          <w:iCs/>
          <w:color w:val="595959"/>
          <w:sz w:val="20"/>
          <w:szCs w:val="20"/>
        </w:rPr>
        <w:t xml:space="preserve"> retains the essential protections (device-bound, never synced, unreadable before first unlock after boot) while allowing the background operation the app depends on.</w:t>
      </w:r>
    </w:p>
    <w:p>
      <w:pPr>
        <w:pStyle w:val="ListParagraph"/>
        <w:numPr>
          <w:ilvl w:val="0"/>
          <w:numId w:val="2"/>
        </w:numPr>
        <w:spacing w:after="80" w:line="276"/>
      </w:pPr>
      <w:r>
        <w:rPr>
          <w:b/>
          <w:bCs/>
        </w:rPr>
        <w:t xml:space="preserve">HealthKit data handling</w:t>
      </w:r>
      <w:r>
        <w:rPr>
          <w:b w:val="false"/>
          <w:bCs w:val="false"/>
        </w:rPr>
        <w:t xml:space="preserve"> (absent from v1.1): HealthKit reads are never written to any external destination. The app requests read access only, requests the minimum types needed, and requests context types (§3.1.1) separately and later so a denial of one does not cascade. HealthKit data does not appear in the diagnostic log, and is excluded from any crash payload.</w:t>
      </w:r>
    </w:p>
    <w:p>
      <w:pPr>
        <w:pStyle w:val="ListParagraph"/>
        <w:numPr>
          <w:ilvl w:val="0"/>
          <w:numId w:val="2"/>
        </w:numPr>
        <w:spacing w:after="80" w:line="276"/>
      </w:pPr>
      <w:r>
        <w:rPr>
          <w:b/>
          <w:bCs/>
        </w:rPr>
        <w:t xml:space="preserve">No analytics SDKs. No third-party crash reporters.</w:t>
      </w:r>
      <w:r>
        <w:rPr>
          <w:b w:val="false"/>
          <w:bCs w:val="false"/>
        </w:rPr>
        <w:t xml:space="preserve"> Diagnostics are a local-only log with a manual copy action; glucose values and credentials are redacted from it.</w:t>
      </w:r>
    </w:p>
    <w:p>
      <w:pPr>
        <w:pStyle w:val="ListParagraph"/>
        <w:numPr>
          <w:ilvl w:val="0"/>
          <w:numId w:val="2"/>
        </w:numPr>
        <w:spacing w:after="80" w:line="276"/>
      </w:pPr>
      <w:r>
        <w:rPr>
          <w:b/>
          <w:bCs/>
        </w:rPr>
        <w:t xml:space="preserve">Photos</w:t>
      </w:r>
      <w:r>
        <w:rPr>
          <w:b w:val="false"/>
          <w:bCs w:val="false"/>
        </w:rPr>
        <w:t xml:space="preserve"> attached to meals stay in the app sandbox and are never uploaded. They are excluded from the CSV/JSON export by default, with an opt-in to include them.</w:t>
      </w:r>
    </w:p>
    <w:p>
      <w:pPr>
        <w:pStyle w:val="ListParagraph"/>
        <w:numPr>
          <w:ilvl w:val="0"/>
          <w:numId w:val="2"/>
        </w:numPr>
        <w:spacing w:after="80" w:line="276"/>
      </w:pPr>
      <w:r>
        <w:rPr>
          <w:b/>
          <w:bCs/>
        </w:rPr>
        <w:t xml:space="preserve">Exports leave the sandbox by user action only</w:t>
      </w:r>
      <w:r>
        <w:rPr>
          <w:b w:val="false"/>
          <w:bCs w:val="false"/>
        </w:rPr>
        <w:t xml:space="preserve">, through the share sheet. The export file contains complete medical history and is labelled as such at the moment of sharing.</w:t>
      </w:r>
    </w:p>
    <w:p>
      <w:pPr>
        <w:pStyle w:val="ListParagraph"/>
        <w:numPr>
          <w:ilvl w:val="0"/>
          <w:numId w:val="2"/>
        </w:numPr>
        <w:spacing w:after="80" w:line="276"/>
      </w:pPr>
      <w:r>
        <w:rPr>
          <w:b/>
          <w:bCs/>
        </w:rPr>
        <w:t xml:space="preserve">iCloud sync (v3)</w:t>
      </w:r>
      <w:r>
        <w:rPr>
          <w:b w:val="false"/>
          <w:bCs w:val="false"/>
        </w:rPr>
        <w:t xml:space="preserve"> uses the CloudKit private database, encrypted in transit and at rest by Apple. It is opt-in, and disabling it offers local deletion of the cloud copy.</w:t>
      </w:r>
    </w:p>
    <w:p>
      <w:pPr>
        <w:pStyle w:val="ListParagraph"/>
        <w:numPr>
          <w:ilvl w:val="0"/>
          <w:numId w:val="2"/>
        </w:numPr>
        <w:spacing w:after="80" w:line="276"/>
      </w:pPr>
      <w:r>
        <w:rPr>
          <w:b/>
          <w:bCs/>
        </w:rPr>
        <w:t xml:space="preserve">Device passcode is not required to open the app</w:t>
      </w:r>
      <w:r>
        <w:rPr>
          <w:b w:val="false"/>
          <w:bCs w:val="false"/>
        </w:rPr>
        <w:t xml:space="preserve"> — a glucose check must not be gated behind an extra authentication step at 3am. Optional Face ID gating is offered for the log and export screens only.</w:t>
      </w:r>
    </w:p>
    <w:p>
      <w:pPr>
        <w:pStyle w:val="Heading1"/>
        <w:spacing w:after="160" w:before="360"/>
      </w:pPr>
      <w:r>
        <w:rPr>
          <w:b w:val="false"/>
          <w:bCs w:val="false"/>
        </w:rPr>
        <w:t xml:space="preserve">7. Build Roadmap</w:t>
      </w:r>
    </w:p>
    <w:p>
      <w:pPr>
        <w:spacing w:after="120" w:line="276"/>
      </w:pPr>
      <w:r>
        <w:rPr>
          <w:b w:val="false"/>
          <w:bCs w:val="false"/>
        </w:rPr>
        <w:t xml:space="preserve">Estimates assume one developer working evenings and weekends, comfortable with Swift and SwiftUI.</w:t>
      </w:r>
    </w:p>
    <w:p>
      <w:pPr>
        <w:pBdr>
          <w:left w:val="single" w:color="BFD3E6" w:sz="12" w:space="8"/>
        </w:pBdr>
        <w:spacing w:after="160" w:line="260"/>
        <w:ind w:left="180"/>
      </w:pPr>
      <w:r>
        <w:rPr>
          <w:b w:val="false"/>
          <w:bCs w:val="false"/>
          <w:i/>
          <w:iCs/>
          <w:color w:val="595959"/>
          <w:sz w:val="20"/>
          <w:szCs w:val="20"/>
        </w:rPr>
        <w:t xml:space="preserve">Changed in v1.2: HealthKit is now built before Share (it is the reliable substrate and requires no reverse engineering, so it de-risks everything downstream); export and backup are pulled into v1; glanceable surfaces get their own phase in v2; CI signing is deferred out of Phase 0.</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500"/>
        <w:gridCol w:w="3700"/>
        <w:gridCol w:w="1200"/>
        <w:gridCol w:w="2960"/>
      </w:tblGrid>
      <w:tr>
        <w:trPr>
          <w:tblHeader/>
        </w:trPr>
        <w:tc>
          <w:tcPr>
            <w:tcW w:type="dxa" w:w="1500"/>
            <w:shd w:fill="DEEAF6" w:color="auto" w:val="clear"/>
            <w:tcMar>
              <w:top w:type="dxa" w:w="60"/>
              <w:left w:type="dxa" w:w="100"/>
              <w:bottom w:type="dxa" w:w="60"/>
              <w:right w:type="dxa" w:w="100"/>
            </w:tcMar>
          </w:tcPr>
          <w:p>
            <w:pPr>
              <w:spacing w:after="0" w:line="250"/>
            </w:pPr>
            <w:r>
              <w:rPr>
                <w:b/>
                <w:bCs/>
                <w:sz w:val="20"/>
                <w:szCs w:val="20"/>
              </w:rPr>
              <w:t xml:space="preserve">Phase</w:t>
            </w:r>
          </w:p>
        </w:tc>
        <w:tc>
          <w:tcPr>
            <w:tcW w:type="dxa" w:w="3700"/>
            <w:shd w:fill="DEEAF6" w:color="auto" w:val="clear"/>
            <w:tcMar>
              <w:top w:type="dxa" w:w="60"/>
              <w:left w:type="dxa" w:w="100"/>
              <w:bottom w:type="dxa" w:w="60"/>
              <w:right w:type="dxa" w:w="100"/>
            </w:tcMar>
          </w:tcPr>
          <w:p>
            <w:pPr>
              <w:spacing w:after="0" w:line="250"/>
            </w:pPr>
            <w:r>
              <w:rPr>
                <w:b/>
                <w:bCs/>
                <w:sz w:val="20"/>
                <w:szCs w:val="20"/>
              </w:rPr>
              <w:t xml:space="preserve">Scope</w:t>
            </w:r>
          </w:p>
        </w:tc>
        <w:tc>
          <w:tcPr>
            <w:tcW w:type="dxa" w:w="1200"/>
            <w:shd w:fill="DEEAF6" w:color="auto" w:val="clear"/>
            <w:tcMar>
              <w:top w:type="dxa" w:w="60"/>
              <w:left w:type="dxa" w:w="100"/>
              <w:bottom w:type="dxa" w:w="60"/>
              <w:right w:type="dxa" w:w="100"/>
            </w:tcMar>
          </w:tcPr>
          <w:p>
            <w:pPr>
              <w:spacing w:after="0" w:line="250"/>
            </w:pPr>
            <w:r>
              <w:rPr>
                <w:b/>
                <w:bCs/>
                <w:sz w:val="20"/>
                <w:szCs w:val="20"/>
              </w:rPr>
              <w:t xml:space="preserve">Estimate</w:t>
            </w:r>
          </w:p>
        </w:tc>
        <w:tc>
          <w:tcPr>
            <w:tcW w:type="dxa" w:w="2960"/>
            <w:shd w:fill="DEEAF6" w:color="auto" w:val="clear"/>
            <w:tcMar>
              <w:top w:type="dxa" w:w="60"/>
              <w:left w:type="dxa" w:w="100"/>
              <w:bottom w:type="dxa" w:w="60"/>
              <w:right w:type="dxa" w:w="100"/>
            </w:tcMar>
          </w:tcPr>
          <w:p>
            <w:pPr>
              <w:spacing w:after="0" w:line="250"/>
            </w:pPr>
            <w:r>
              <w:rPr>
                <w:b/>
                <w:bCs/>
                <w:sz w:val="20"/>
                <w:szCs w:val="20"/>
              </w:rPr>
              <w:t xml:space="preserve">Exit Criteria</w:t>
            </w:r>
          </w:p>
        </w:tc>
      </w:tr>
      <w:tr>
        <w:tc>
          <w:tcPr>
            <w:tcW w:type="dxa" w:w="1500"/>
            <w:tcMar>
              <w:top w:type="dxa" w:w="60"/>
              <w:left w:type="dxa" w:w="100"/>
              <w:bottom w:type="dxa" w:w="60"/>
              <w:right w:type="dxa" w:w="100"/>
            </w:tcMar>
          </w:tcPr>
          <w:p>
            <w:pPr>
              <w:spacing w:after="0" w:line="250"/>
            </w:pPr>
            <w:r>
              <w:rPr>
                <w:b w:val="false"/>
                <w:bCs w:val="false"/>
                <w:sz w:val="20"/>
                <w:szCs w:val="20"/>
              </w:rPr>
              <w:t xml:space="preserve">0. Setup</w:t>
            </w:r>
          </w:p>
        </w:tc>
        <w:tc>
          <w:tcPr>
            <w:tcW w:type="dxa" w:w="3700"/>
            <w:tcMar>
              <w:top w:type="dxa" w:w="60"/>
              <w:left w:type="dxa" w:w="100"/>
              <w:bottom w:type="dxa" w:w="60"/>
              <w:right w:type="dxa" w:w="100"/>
            </w:tcMar>
          </w:tcPr>
          <w:p>
            <w:pPr>
              <w:spacing w:after="0" w:line="250"/>
            </w:pPr>
            <w:r>
              <w:rPr>
                <w:b w:val="false"/>
                <w:bCs w:val="false"/>
                <w:sz w:val="20"/>
                <w:szCs w:val="20"/>
              </w:rPr>
              <w:t xml:space="preserve">Xcode project, Swift packages, App Group container, entitlements (HealthKit + background delivery), versioned SwiftData schema v1, CI on GitHub Actions for build and test only — no signing.</w:t>
            </w:r>
          </w:p>
        </w:tc>
        <w:tc>
          <w:tcPr>
            <w:tcW w:type="dxa" w:w="1200"/>
            <w:tcMar>
              <w:top w:type="dxa" w:w="60"/>
              <w:left w:type="dxa" w:w="100"/>
              <w:bottom w:type="dxa" w:w="60"/>
              <w:right w:type="dxa" w:w="100"/>
            </w:tcMar>
          </w:tcPr>
          <w:p>
            <w:pPr>
              <w:spacing w:after="0" w:line="250"/>
            </w:pPr>
            <w:r>
              <w:rPr>
                <w:b w:val="false"/>
                <w:bCs w:val="false"/>
                <w:sz w:val="20"/>
                <w:szCs w:val="20"/>
              </w:rPr>
              <w:t xml:space="preserve">1 weekend</w:t>
            </w:r>
          </w:p>
        </w:tc>
        <w:tc>
          <w:tcPr>
            <w:tcW w:type="dxa" w:w="2960"/>
            <w:tcMar>
              <w:top w:type="dxa" w:w="60"/>
              <w:left w:type="dxa" w:w="100"/>
              <w:bottom w:type="dxa" w:w="60"/>
              <w:right w:type="dxa" w:w="100"/>
            </w:tcMar>
          </w:tcPr>
          <w:p>
            <w:pPr>
              <w:spacing w:after="0" w:line="250"/>
            </w:pPr>
            <w:r>
              <w:rPr>
                <w:b w:val="false"/>
                <w:bCs w:val="false"/>
                <w:sz w:val="20"/>
                <w:szCs w:val="20"/>
              </w:rPr>
              <w:t xml:space="preserve">App builds, runs on device, and CI is green. App Group and VersionedSchema in place before any data is written.</w:t>
            </w:r>
          </w:p>
        </w:tc>
      </w:tr>
      <w:tr>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1. HealthKit source</w:t>
            </w:r>
          </w:p>
        </w:tc>
        <w:tc>
          <w:tcPr>
            <w:tcW w:type="dxa" w:w="3700"/>
            <w:shd w:fill="F5F8FC" w:color="auto" w:val="clear"/>
            <w:tcMar>
              <w:top w:type="dxa" w:w="60"/>
              <w:left w:type="dxa" w:w="100"/>
              <w:bottom w:type="dxa" w:w="60"/>
              <w:right w:type="dxa" w:w="100"/>
            </w:tcMar>
          </w:tcPr>
          <w:p>
            <w:pPr>
              <w:spacing w:after="0" w:line="250"/>
            </w:pPr>
            <w:r>
              <w:rPr>
                <w:b w:val="false"/>
                <w:bCs w:val="false"/>
                <w:sz w:val="20"/>
                <w:szCs w:val="20"/>
              </w:rPr>
              <w:t xml:space="preserve">HealthKitGlucoseSource: permissions, observer + anchored queries, background delivery, deletions, 90-day backfill, persistence actor. Lag calibration measurement (§4.2.2).</w:t>
            </w:r>
          </w:p>
        </w:tc>
        <w:tc>
          <w:tcPr>
            <w:tcW w:type="dxa" w:w="1200"/>
            <w:shd w:fill="F5F8FC" w:color="auto" w:val="clear"/>
            <w:tcMar>
              <w:top w:type="dxa" w:w="60"/>
              <w:left w:type="dxa" w:w="100"/>
              <w:bottom w:type="dxa" w:w="60"/>
              <w:right w:type="dxa" w:w="100"/>
            </w:tcMar>
          </w:tcPr>
          <w:p>
            <w:pPr>
              <w:spacing w:after="0" w:line="250"/>
            </w:pPr>
            <w:r>
              <w:rPr>
                <w:b w:val="false"/>
                <w:bCs w:val="false"/>
                <w:sz w:val="20"/>
                <w:szCs w:val="20"/>
              </w:rPr>
              <w:t xml:space="preserve">1 to 2 weeks</w:t>
            </w:r>
          </w:p>
        </w:tc>
        <w:tc>
          <w:tcPr>
            <w:tcW w:type="dxa" w:w="2960"/>
            <w:shd w:fill="F5F8FC" w:color="auto" w:val="clear"/>
            <w:tcMar>
              <w:top w:type="dxa" w:w="60"/>
              <w:left w:type="dxa" w:w="100"/>
              <w:bottom w:type="dxa" w:w="60"/>
              <w:right w:type="dxa" w:w="100"/>
            </w:tcMar>
          </w:tcPr>
          <w:p>
            <w:pPr>
              <w:spacing w:after="0" w:line="250"/>
            </w:pPr>
            <w:r>
              <w:rPr>
                <w:b w:val="false"/>
                <w:bCs w:val="false"/>
                <w:sz w:val="20"/>
                <w:szCs w:val="20"/>
              </w:rPr>
              <w:t xml:space="preserve">App receives background glucose updates while locked, for 48 hours continuously. </w:t>
            </w:r>
            <w:r>
              <w:rPr>
                <w:b/>
                <w:bCs/>
                <w:sz w:val="20"/>
                <w:szCs w:val="20"/>
              </w:rPr>
              <w:t xml:space="preserve">The measured HealthKit lag figure exists and is recorded in this document.</w:t>
            </w:r>
          </w:p>
        </w:tc>
      </w:tr>
      <w:tr>
        <w:tc>
          <w:tcPr>
            <w:tcW w:type="dxa" w:w="1500"/>
            <w:tcMar>
              <w:top w:type="dxa" w:w="60"/>
              <w:left w:type="dxa" w:w="100"/>
              <w:bottom w:type="dxa" w:w="60"/>
              <w:right w:type="dxa" w:w="100"/>
            </w:tcMar>
          </w:tcPr>
          <w:p>
            <w:pPr>
              <w:spacing w:after="0" w:line="250"/>
            </w:pPr>
            <w:r>
              <w:rPr>
                <w:b w:val="false"/>
                <w:bCs w:val="false"/>
                <w:sz w:val="20"/>
                <w:szCs w:val="20"/>
              </w:rPr>
              <w:t xml:space="preserve">2. Share client + coordinator</w:t>
            </w:r>
          </w:p>
        </w:tc>
        <w:tc>
          <w:tcPr>
            <w:tcW w:type="dxa" w:w="3700"/>
            <w:tcMar>
              <w:top w:type="dxa" w:w="60"/>
              <w:left w:type="dxa" w:w="100"/>
              <w:bottom w:type="dxa" w:w="60"/>
              <w:right w:type="dxa" w:w="100"/>
            </w:tcMar>
          </w:tcPr>
          <w:p>
            <w:pPr>
              <w:spacing w:after="0" w:line="250"/>
            </w:pPr>
            <w:r>
              <w:rPr>
                <w:b w:val="false"/>
                <w:bCs w:val="false"/>
                <w:sz w:val="20"/>
                <w:szCs w:val="20"/>
              </w:rPr>
              <w:t xml:space="preserve">DexcomShareClient (two-step auth, session refresh, Microsoft date parsing, trend polymorphism, auth-vs-transient backoff), GlucoseSourceCoordinator (merge, upsert, freshness), replay/simulator mode, unit tests against recorded fixtures.</w:t>
            </w:r>
          </w:p>
        </w:tc>
        <w:tc>
          <w:tcPr>
            <w:tcW w:type="dxa" w:w="1200"/>
            <w:tcMar>
              <w:top w:type="dxa" w:w="60"/>
              <w:left w:type="dxa" w:w="100"/>
              <w:bottom w:type="dxa" w:w="60"/>
              <w:right w:type="dxa" w:w="100"/>
            </w:tcMar>
          </w:tcPr>
          <w:p>
            <w:pPr>
              <w:spacing w:after="0" w:line="250"/>
            </w:pPr>
            <w:r>
              <w:rPr>
                <w:b w:val="false"/>
                <w:bCs w:val="false"/>
                <w:sz w:val="20"/>
                <w:szCs w:val="20"/>
              </w:rPr>
              <w:t xml:space="preserve">2 to 3 weeks</w:t>
            </w:r>
          </w:p>
        </w:tc>
        <w:tc>
          <w:tcPr>
            <w:tcW w:type="dxa" w:w="2960"/>
            <w:tcMar>
              <w:top w:type="dxa" w:w="60"/>
              <w:left w:type="dxa" w:w="100"/>
              <w:bottom w:type="dxa" w:w="60"/>
              <w:right w:type="dxa" w:w="100"/>
            </w:tcMar>
          </w:tcPr>
          <w:p>
            <w:pPr>
              <w:spacing w:after="0" w:line="250"/>
            </w:pPr>
            <w:r>
              <w:rPr>
                <w:b w:val="false"/>
                <w:bCs w:val="false"/>
                <w:sz w:val="20"/>
                <w:szCs w:val="20"/>
              </w:rPr>
              <w:t xml:space="preserve">Coordinator emits a correctly merged stream. Automated 24h replay with injected source failures passes with no duplicates, no crashes, and no lost readings.</w:t>
            </w:r>
          </w:p>
        </w:tc>
      </w:tr>
      <w:tr>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3. v1 UI</w:t>
            </w:r>
          </w:p>
        </w:tc>
        <w:tc>
          <w:tcPr>
            <w:tcW w:type="dxa" w:w="3700"/>
            <w:shd w:fill="F5F8FC" w:color="auto" w:val="clear"/>
            <w:tcMar>
              <w:top w:type="dxa" w:w="60"/>
              <w:left w:type="dxa" w:w="100"/>
              <w:bottom w:type="dxa" w:w="60"/>
              <w:right w:type="dxa" w:w="100"/>
            </w:tcMar>
          </w:tcPr>
          <w:p>
            <w:pPr>
              <w:spacing w:after="0" w:line="250"/>
            </w:pPr>
            <w:r>
              <w:rPr>
                <w:b w:val="false"/>
                <w:bCs w:val="false"/>
                <w:sz w:val="20"/>
                <w:szCs w:val="20"/>
              </w:rPr>
              <w:t xml:space="preserve">Current reading screen, sensor lifecycle states, 3h chart, theme system, Bedside Mode, settings.</w:t>
            </w:r>
          </w:p>
        </w:tc>
        <w:tc>
          <w:tcPr>
            <w:tcW w:type="dxa" w:w="1200"/>
            <w:shd w:fill="F5F8FC" w:color="auto" w:val="clear"/>
            <w:tcMar>
              <w:top w:type="dxa" w:w="60"/>
              <w:left w:type="dxa" w:w="100"/>
              <w:bottom w:type="dxa" w:w="60"/>
              <w:right w:type="dxa" w:w="100"/>
            </w:tcMar>
          </w:tcPr>
          <w:p>
            <w:pPr>
              <w:spacing w:after="0" w:line="250"/>
            </w:pPr>
            <w:r>
              <w:rPr>
                <w:b w:val="false"/>
                <w:bCs w:val="false"/>
                <w:sz w:val="20"/>
                <w:szCs w:val="20"/>
              </w:rPr>
              <w:t xml:space="preserve">2 to 3 weeks</w:t>
            </w:r>
          </w:p>
        </w:tc>
        <w:tc>
          <w:tcPr>
            <w:tcW w:type="dxa" w:w="2960"/>
            <w:shd w:fill="F5F8FC" w:color="auto" w:val="clear"/>
            <w:tcMar>
              <w:top w:type="dxa" w:w="60"/>
              <w:left w:type="dxa" w:w="100"/>
              <w:bottom w:type="dxa" w:w="60"/>
              <w:right w:type="dxa" w:w="100"/>
            </w:tcMar>
          </w:tcPr>
          <w:p>
            <w:pPr>
              <w:spacing w:after="0" w:line="250"/>
            </w:pPr>
            <w:r>
              <w:rPr>
                <w:b w:val="false"/>
                <w:bCs w:val="false"/>
                <w:sz w:val="20"/>
                <w:szCs w:val="20"/>
              </w:rPr>
              <w:t xml:space="preserve">Daily-usable as a read-only dark Dexcom viewer. Sensor warmup and signal loss render as distinct, non-alarming states.</w:t>
            </w:r>
          </w:p>
        </w:tc>
      </w:tr>
      <w:tr>
        <w:tc>
          <w:tcPr>
            <w:tcW w:type="dxa" w:w="1500"/>
            <w:tcMar>
              <w:top w:type="dxa" w:w="60"/>
              <w:left w:type="dxa" w:w="100"/>
              <w:bottom w:type="dxa" w:w="60"/>
              <w:right w:type="dxa" w:w="100"/>
            </w:tcMar>
          </w:tcPr>
          <w:p>
            <w:pPr>
              <w:spacing w:after="0" w:line="250"/>
            </w:pPr>
            <w:r>
              <w:rPr>
                <w:b w:val="false"/>
                <w:bCs w:val="false"/>
                <w:sz w:val="20"/>
                <w:szCs w:val="20"/>
              </w:rPr>
              <w:t xml:space="preserve">4. Historical view</w:t>
            </w:r>
          </w:p>
        </w:tc>
        <w:tc>
          <w:tcPr>
            <w:tcW w:type="dxa" w:w="3700"/>
            <w:tcMar>
              <w:top w:type="dxa" w:w="60"/>
              <w:left w:type="dxa" w:w="100"/>
              <w:bottom w:type="dxa" w:w="60"/>
              <w:right w:type="dxa" w:w="100"/>
            </w:tcMar>
          </w:tcPr>
          <w:p>
            <w:pPr>
              <w:spacing w:after="0" w:line="250"/>
            </w:pPr>
            <w:r>
              <w:rPr>
                <w:b w:val="false"/>
                <w:bCs w:val="false"/>
                <w:sz w:val="20"/>
                <w:szCs w:val="20"/>
              </w:rPr>
              <w:t xml:space="preserve">Time-window switcher, five-band statistics, CV, GMI gating, data capture, percentile AGP, downsampling and DailyAggregate.</w:t>
            </w:r>
          </w:p>
        </w:tc>
        <w:tc>
          <w:tcPr>
            <w:tcW w:type="dxa" w:w="1200"/>
            <w:tcMar>
              <w:top w:type="dxa" w:w="60"/>
              <w:left w:type="dxa" w:w="100"/>
              <w:bottom w:type="dxa" w:w="60"/>
              <w:right w:type="dxa" w:w="100"/>
            </w:tcMar>
          </w:tcPr>
          <w:p>
            <w:pPr>
              <w:spacing w:after="0" w:line="250"/>
            </w:pPr>
            <w:r>
              <w:rPr>
                <w:b w:val="false"/>
                <w:bCs w:val="false"/>
                <w:sz w:val="20"/>
                <w:szCs w:val="20"/>
              </w:rPr>
              <w:t xml:space="preserve">1 to 2 weeks</w:t>
            </w:r>
          </w:p>
        </w:tc>
        <w:tc>
          <w:tcPr>
            <w:tcW w:type="dxa" w:w="2960"/>
            <w:tcMar>
              <w:top w:type="dxa" w:w="60"/>
              <w:left w:type="dxa" w:w="100"/>
              <w:bottom w:type="dxa" w:w="60"/>
              <w:right w:type="dxa" w:w="100"/>
            </w:tcMar>
          </w:tcPr>
          <w:p>
            <w:pPr>
              <w:spacing w:after="0" w:line="250"/>
            </w:pPr>
            <w:r>
              <w:rPr>
                <w:b w:val="false"/>
                <w:bCs w:val="false"/>
                <w:sz w:val="20"/>
                <w:szCs w:val="20"/>
              </w:rPr>
              <w:t xml:space="preserve">90-day window renders in under 500ms with no scroll stutter. Statistics match a hand-computed reference on a fixture dataset.</w:t>
            </w:r>
          </w:p>
        </w:tc>
      </w:tr>
      <w:tr>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5. Export &amp; backup</w:t>
            </w:r>
          </w:p>
        </w:tc>
        <w:tc>
          <w:tcPr>
            <w:tcW w:type="dxa" w:w="3700"/>
            <w:shd w:fill="F5F8FC" w:color="auto" w:val="clear"/>
            <w:tcMar>
              <w:top w:type="dxa" w:w="60"/>
              <w:left w:type="dxa" w:w="100"/>
              <w:bottom w:type="dxa" w:w="60"/>
              <w:right w:type="dxa" w:w="100"/>
            </w:tcMar>
          </w:tcPr>
          <w:p>
            <w:pPr>
              <w:spacing w:after="0" w:line="250"/>
            </w:pPr>
            <w:r>
              <w:rPr>
                <w:b w:val="false"/>
                <w:bCs w:val="false"/>
                <w:sz w:val="20"/>
                <w:szCs w:val="20"/>
              </w:rPr>
              <w:t xml:space="preserve">CSV/JSON export, database backup and restore, Nightscout-format export.</w:t>
            </w:r>
          </w:p>
        </w:tc>
        <w:tc>
          <w:tcPr>
            <w:tcW w:type="dxa" w:w="1200"/>
            <w:shd w:fill="F5F8FC" w:color="auto" w:val="clear"/>
            <w:tcMar>
              <w:top w:type="dxa" w:w="60"/>
              <w:left w:type="dxa" w:w="100"/>
              <w:bottom w:type="dxa" w:w="60"/>
              <w:right w:type="dxa" w:w="100"/>
            </w:tcMar>
          </w:tcPr>
          <w:p>
            <w:pPr>
              <w:spacing w:after="0" w:line="250"/>
            </w:pPr>
            <w:r>
              <w:rPr>
                <w:b w:val="false"/>
                <w:bCs w:val="false"/>
                <w:sz w:val="20"/>
                <w:szCs w:val="20"/>
              </w:rPr>
              <w:t xml:space="preserve">3 to 4 days</w:t>
            </w:r>
          </w:p>
        </w:tc>
        <w:tc>
          <w:tcPr>
            <w:tcW w:type="dxa" w:w="2960"/>
            <w:shd w:fill="F5F8FC" w:color="auto" w:val="clear"/>
            <w:tcMar>
              <w:top w:type="dxa" w:w="60"/>
              <w:left w:type="dxa" w:w="100"/>
              <w:bottom w:type="dxa" w:w="60"/>
              <w:right w:type="dxa" w:w="100"/>
            </w:tcMar>
          </w:tcPr>
          <w:p>
            <w:pPr>
              <w:spacing w:after="0" w:line="250"/>
            </w:pPr>
            <w:r>
              <w:rPr>
                <w:b w:val="false"/>
                <w:bCs w:val="false"/>
                <w:sz w:val="20"/>
                <w:szCs w:val="20"/>
              </w:rPr>
              <w:t xml:space="preserve">A backup restores cleanly onto a fresh install with zero data loss.</w:t>
            </w:r>
          </w:p>
        </w:tc>
      </w:tr>
      <w:tr>
        <w:tc>
          <w:tcPr>
            <w:tcW w:type="dxa" w:w="1500"/>
            <w:tcMar>
              <w:top w:type="dxa" w:w="60"/>
              <w:left w:type="dxa" w:w="100"/>
              <w:bottom w:type="dxa" w:w="60"/>
              <w:right w:type="dxa" w:w="100"/>
            </w:tcMar>
          </w:tcPr>
          <w:p>
            <w:pPr>
              <w:spacing w:after="0" w:line="250"/>
            </w:pPr>
            <w:r>
              <w:rPr>
                <w:b w:val="false"/>
                <w:bCs w:val="false"/>
                <w:sz w:val="20"/>
                <w:szCs w:val="20"/>
              </w:rPr>
              <w:t xml:space="preserve">6. v1 self-test</w:t>
            </w:r>
          </w:p>
        </w:tc>
        <w:tc>
          <w:tcPr>
            <w:tcW w:type="dxa" w:w="3700"/>
            <w:tcMar>
              <w:top w:type="dxa" w:w="60"/>
              <w:left w:type="dxa" w:w="100"/>
              <w:bottom w:type="dxa" w:w="60"/>
              <w:right w:type="dxa" w:w="100"/>
            </w:tcMar>
          </w:tcPr>
          <w:p>
            <w:pPr>
              <w:spacing w:after="0" w:line="250"/>
            </w:pPr>
            <w:r>
              <w:rPr>
                <w:b w:val="false"/>
                <w:bCs w:val="false"/>
                <w:sz w:val="20"/>
                <w:szCs w:val="20"/>
              </w:rPr>
              <w:t xml:space="preserve">Daily use for 2 to 4 weeks. Fix bugs. Tune theme.</w:t>
            </w:r>
          </w:p>
        </w:tc>
        <w:tc>
          <w:tcPr>
            <w:tcW w:type="dxa" w:w="1200"/>
            <w:tcMar>
              <w:top w:type="dxa" w:w="60"/>
              <w:left w:type="dxa" w:w="100"/>
              <w:bottom w:type="dxa" w:w="60"/>
              <w:right w:type="dxa" w:w="100"/>
            </w:tcMar>
          </w:tcPr>
          <w:p>
            <w:pPr>
              <w:spacing w:after="0" w:line="250"/>
            </w:pPr>
            <w:r>
              <w:rPr>
                <w:b w:val="false"/>
                <w:bCs w:val="false"/>
                <w:sz w:val="20"/>
                <w:szCs w:val="20"/>
              </w:rPr>
              <w:t xml:space="preserve">2 to 4 weeks</w:t>
            </w:r>
          </w:p>
        </w:tc>
        <w:tc>
          <w:tcPr>
            <w:tcW w:type="dxa" w:w="2960"/>
            <w:tcMar>
              <w:top w:type="dxa" w:w="60"/>
              <w:left w:type="dxa" w:w="100"/>
              <w:bottom w:type="dxa" w:w="60"/>
              <w:right w:type="dxa" w:w="100"/>
            </w:tcMar>
          </w:tcPr>
          <w:p>
            <w:pPr>
              <w:spacing w:after="0" w:line="250"/>
            </w:pPr>
            <w:r>
              <w:rPr>
                <w:b w:val="false"/>
                <w:bCs w:val="false"/>
                <w:sz w:val="20"/>
                <w:szCs w:val="20"/>
              </w:rPr>
              <w:t xml:space="preserve">No data-staleness, sensor-state, or theme bugs in normal use. Opened in preference to the official app for routine checks.</w:t>
            </w:r>
          </w:p>
        </w:tc>
      </w:tr>
      <w:tr>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7. v2 logging</w:t>
            </w:r>
          </w:p>
        </w:tc>
        <w:tc>
          <w:tcPr>
            <w:tcW w:type="dxa" w:w="3700"/>
            <w:shd w:fill="F5F8FC" w:color="auto" w:val="clear"/>
            <w:tcMar>
              <w:top w:type="dxa" w:w="60"/>
              <w:left w:type="dxa" w:w="100"/>
              <w:bottom w:type="dxa" w:w="60"/>
              <w:right w:type="dxa" w:w="100"/>
            </w:tcMar>
          </w:tcPr>
          <w:p>
            <w:pPr>
              <w:spacing w:after="0" w:line="250"/>
            </w:pPr>
            <w:r>
              <w:rPr>
                <w:b w:val="false"/>
                <w:bCs w:val="false"/>
                <w:sz w:val="20"/>
                <w:szCs w:val="20"/>
              </w:rPr>
              <w:t xml:space="preserve">Meal/insulin/exercise model, log UI, quick-pick, HealthKit workout auto-suggestion, timeline overlay.</w:t>
            </w:r>
          </w:p>
        </w:tc>
        <w:tc>
          <w:tcPr>
            <w:tcW w:type="dxa" w:w="1200"/>
            <w:shd w:fill="F5F8FC" w:color="auto" w:val="clear"/>
            <w:tcMar>
              <w:top w:type="dxa" w:w="60"/>
              <w:left w:type="dxa" w:w="100"/>
              <w:bottom w:type="dxa" w:w="60"/>
              <w:right w:type="dxa" w:w="100"/>
            </w:tcMar>
          </w:tcPr>
          <w:p>
            <w:pPr>
              <w:spacing w:after="0" w:line="250"/>
            </w:pPr>
            <w:r>
              <w:rPr>
                <w:b w:val="false"/>
                <w:bCs w:val="false"/>
                <w:sz w:val="20"/>
                <w:szCs w:val="20"/>
              </w:rPr>
              <w:t xml:space="preserve">2 to 3 weeks</w:t>
            </w:r>
          </w:p>
        </w:tc>
        <w:tc>
          <w:tcPr>
            <w:tcW w:type="dxa" w:w="2960"/>
            <w:shd w:fill="F5F8FC" w:color="auto" w:val="clear"/>
            <w:tcMar>
              <w:top w:type="dxa" w:w="60"/>
              <w:left w:type="dxa" w:w="100"/>
              <w:bottom w:type="dxa" w:w="60"/>
              <w:right w:type="dxa" w:w="100"/>
            </w:tcMar>
          </w:tcPr>
          <w:p>
            <w:pPr>
              <w:spacing w:after="0" w:line="250"/>
            </w:pPr>
            <w:r>
              <w:rPr>
                <w:b w:val="false"/>
                <w:bCs w:val="false"/>
                <w:sz w:val="20"/>
                <w:szCs w:val="20"/>
              </w:rPr>
              <w:t xml:space="preserve">A full day of events logged in under 30 seconds each.</w:t>
            </w:r>
          </w:p>
        </w:tc>
      </w:tr>
      <w:tr>
        <w:tc>
          <w:tcPr>
            <w:tcW w:type="dxa" w:w="1500"/>
            <w:tcMar>
              <w:top w:type="dxa" w:w="60"/>
              <w:left w:type="dxa" w:w="100"/>
              <w:bottom w:type="dxa" w:w="60"/>
              <w:right w:type="dxa" w:w="100"/>
            </w:tcMar>
          </w:tcPr>
          <w:p>
            <w:pPr>
              <w:spacing w:after="0" w:line="250"/>
            </w:pPr>
            <w:r>
              <w:rPr>
                <w:b w:val="false"/>
                <w:bCs w:val="false"/>
                <w:sz w:val="20"/>
                <w:szCs w:val="20"/>
              </w:rPr>
              <w:t xml:space="preserve">8. v2 prediction</w:t>
            </w:r>
          </w:p>
        </w:tc>
        <w:tc>
          <w:tcPr>
            <w:tcW w:type="dxa" w:w="3700"/>
            <w:tcMar>
              <w:top w:type="dxa" w:w="60"/>
              <w:left w:type="dxa" w:w="100"/>
              <w:bottom w:type="dxa" w:w="60"/>
              <w:right w:type="dxa" w:w="100"/>
            </w:tcMar>
          </w:tcPr>
          <w:p>
            <w:pPr>
              <w:spacing w:after="0" w:line="250"/>
            </w:pPr>
            <w:r>
              <w:rPr>
                <w:b w:val="false"/>
                <w:bCs w:val="false"/>
                <w:sz w:val="20"/>
                <w:szCs w:val="20"/>
              </w:rPr>
              <w:t xml:space="preserve">IOB (bi-exponential), COB, meal response, damped forecaster, empirical confidence band, backtesting harness, transparency UI.</w:t>
            </w:r>
          </w:p>
        </w:tc>
        <w:tc>
          <w:tcPr>
            <w:tcW w:type="dxa" w:w="1200"/>
            <w:tcMar>
              <w:top w:type="dxa" w:w="60"/>
              <w:left w:type="dxa" w:w="100"/>
              <w:bottom w:type="dxa" w:w="60"/>
              <w:right w:type="dxa" w:w="100"/>
            </w:tcMar>
          </w:tcPr>
          <w:p>
            <w:pPr>
              <w:spacing w:after="0" w:line="250"/>
            </w:pPr>
            <w:r>
              <w:rPr>
                <w:b w:val="false"/>
                <w:bCs w:val="false"/>
                <w:sz w:val="20"/>
                <w:szCs w:val="20"/>
              </w:rPr>
              <w:t xml:space="preserve">2 to 3 weeks</w:t>
            </w:r>
          </w:p>
        </w:tc>
        <w:tc>
          <w:tcPr>
            <w:tcW w:type="dxa" w:w="2960"/>
            <w:tcMar>
              <w:top w:type="dxa" w:w="60"/>
              <w:left w:type="dxa" w:w="100"/>
              <w:bottom w:type="dxa" w:w="60"/>
              <w:right w:type="dxa" w:w="100"/>
            </w:tcMar>
          </w:tcPr>
          <w:p>
            <w:pPr>
              <w:spacing w:after="0" w:line="250"/>
            </w:pPr>
            <w:r>
              <w:rPr>
                <w:b w:val="false"/>
                <w:bCs w:val="false"/>
                <w:sz w:val="20"/>
                <w:szCs w:val="20"/>
              </w:rPr>
              <w:t xml:space="preserve">Backtest beats the persistence baseline by the §4.4 margins. Zero points in Parkes zones C/D/E.</w:t>
            </w:r>
          </w:p>
        </w:tc>
      </w:tr>
      <w:tr>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9. Glanceable surfaces</w:t>
            </w:r>
          </w:p>
        </w:tc>
        <w:tc>
          <w:tcPr>
            <w:tcW w:type="dxa" w:w="3700"/>
            <w:shd w:fill="F5F8FC" w:color="auto" w:val="clear"/>
            <w:tcMar>
              <w:top w:type="dxa" w:w="60"/>
              <w:left w:type="dxa" w:w="100"/>
              <w:bottom w:type="dxa" w:w="60"/>
              <w:right w:type="dxa" w:w="100"/>
            </w:tcMar>
          </w:tcPr>
          <w:p>
            <w:pPr>
              <w:spacing w:after="0" w:line="250"/>
            </w:pPr>
            <w:r>
              <w:rPr>
                <w:b w:val="false"/>
                <w:bCs w:val="false"/>
                <w:sz w:val="20"/>
                <w:szCs w:val="20"/>
              </w:rPr>
              <w:t xml:space="preserve">Live Activity + Dynamic Island, Watch complication, App Intents.</w:t>
            </w:r>
          </w:p>
        </w:tc>
        <w:tc>
          <w:tcPr>
            <w:tcW w:type="dxa" w:w="1200"/>
            <w:shd w:fill="F5F8FC" w:color="auto" w:val="clear"/>
            <w:tcMar>
              <w:top w:type="dxa" w:w="60"/>
              <w:left w:type="dxa" w:w="100"/>
              <w:bottom w:type="dxa" w:w="60"/>
              <w:right w:type="dxa" w:w="100"/>
            </w:tcMar>
          </w:tcPr>
          <w:p>
            <w:pPr>
              <w:spacing w:after="0" w:line="250"/>
            </w:pPr>
            <w:r>
              <w:rPr>
                <w:b w:val="false"/>
                <w:bCs w:val="false"/>
                <w:sz w:val="20"/>
                <w:szCs w:val="20"/>
              </w:rPr>
              <w:t xml:space="preserve">2 to 3 weeks</w:t>
            </w:r>
          </w:p>
        </w:tc>
        <w:tc>
          <w:tcPr>
            <w:tcW w:type="dxa" w:w="2960"/>
            <w:shd w:fill="F5F8FC" w:color="auto" w:val="clear"/>
            <w:tcMar>
              <w:top w:type="dxa" w:w="60"/>
              <w:left w:type="dxa" w:w="100"/>
              <w:bottom w:type="dxa" w:w="60"/>
              <w:right w:type="dxa" w:w="100"/>
            </w:tcMar>
          </w:tcPr>
          <w:p>
            <w:pPr>
              <w:spacing w:after="0" w:line="250"/>
            </w:pPr>
            <w:r>
              <w:rPr>
                <w:b w:val="false"/>
                <w:bCs w:val="false"/>
                <w:sz w:val="20"/>
                <w:szCs w:val="20"/>
              </w:rPr>
              <w:t xml:space="preserve">Complication and Live Activity stay within one HealthKit wake cycle of the in-app value across a full day.</w:t>
            </w:r>
          </w:p>
        </w:tc>
      </w:tr>
      <w:tr>
        <w:tc>
          <w:tcPr>
            <w:tcW w:type="dxa" w:w="1500"/>
            <w:tcMar>
              <w:top w:type="dxa" w:w="60"/>
              <w:left w:type="dxa" w:w="100"/>
              <w:bottom w:type="dxa" w:w="60"/>
              <w:right w:type="dxa" w:w="100"/>
            </w:tcMar>
          </w:tcPr>
          <w:p>
            <w:pPr>
              <w:spacing w:after="0" w:line="250"/>
            </w:pPr>
            <w:r>
              <w:rPr>
                <w:b w:val="false"/>
                <w:bCs w:val="false"/>
                <w:sz w:val="20"/>
                <w:szCs w:val="20"/>
              </w:rPr>
              <w:t xml:space="preserve">10. v2 self-test</w:t>
            </w:r>
          </w:p>
        </w:tc>
        <w:tc>
          <w:tcPr>
            <w:tcW w:type="dxa" w:w="3700"/>
            <w:tcMar>
              <w:top w:type="dxa" w:w="60"/>
              <w:left w:type="dxa" w:w="100"/>
              <w:bottom w:type="dxa" w:w="60"/>
              <w:right w:type="dxa" w:w="100"/>
            </w:tcMar>
          </w:tcPr>
          <w:p>
            <w:pPr>
              <w:spacing w:after="0" w:line="250"/>
            </w:pPr>
            <w:r>
              <w:rPr>
                <w:b w:val="false"/>
                <w:bCs w:val="false"/>
                <w:sz w:val="20"/>
                <w:szCs w:val="20"/>
              </w:rPr>
              <w:t xml:space="preserve">Daily use, refine prediction calibration, tune meal fingerprints.</w:t>
            </w:r>
          </w:p>
        </w:tc>
        <w:tc>
          <w:tcPr>
            <w:tcW w:type="dxa" w:w="1200"/>
            <w:tcMar>
              <w:top w:type="dxa" w:w="60"/>
              <w:left w:type="dxa" w:w="100"/>
              <w:bottom w:type="dxa" w:w="60"/>
              <w:right w:type="dxa" w:w="100"/>
            </w:tcMar>
          </w:tcPr>
          <w:p>
            <w:pPr>
              <w:spacing w:after="0" w:line="250"/>
            </w:pPr>
            <w:r>
              <w:rPr>
                <w:b w:val="false"/>
                <w:bCs w:val="false"/>
                <w:sz w:val="20"/>
                <w:szCs w:val="20"/>
              </w:rPr>
              <w:t xml:space="preserve">2 to 4 weeks</w:t>
            </w:r>
          </w:p>
        </w:tc>
        <w:tc>
          <w:tcPr>
            <w:tcW w:type="dxa" w:w="2960"/>
            <w:tcMar>
              <w:top w:type="dxa" w:w="60"/>
              <w:left w:type="dxa" w:w="100"/>
              <w:bottom w:type="dxa" w:w="60"/>
              <w:right w:type="dxa" w:w="100"/>
            </w:tcMar>
          </w:tcPr>
          <w:p>
            <w:pPr>
              <w:spacing w:after="0" w:line="250"/>
            </w:pPr>
            <w:r>
              <w:rPr>
                <w:b w:val="false"/>
                <w:bCs w:val="false"/>
                <w:sz w:val="20"/>
                <w:szCs w:val="20"/>
              </w:rPr>
              <w:t xml:space="preserve">Predictions feel useful rather than noisy. Meal fingerprints have enough samples to be informative.</w:t>
            </w:r>
          </w:p>
        </w:tc>
      </w:tr>
      <w:tr>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11. v3</w:t>
            </w:r>
          </w:p>
        </w:tc>
        <w:tc>
          <w:tcPr>
            <w:tcW w:type="dxa" w:w="3700"/>
            <w:shd w:fill="F5F8FC" w:color="auto" w:val="clear"/>
            <w:tcMar>
              <w:top w:type="dxa" w:w="60"/>
              <w:left w:type="dxa" w:w="100"/>
              <w:bottom w:type="dxa" w:w="60"/>
              <w:right w:type="dxa" w:w="100"/>
            </w:tcMar>
          </w:tcPr>
          <w:p>
            <w:pPr>
              <w:spacing w:after="0" w:line="250"/>
            </w:pPr>
            <w:r>
              <w:rPr>
                <w:b w:val="false"/>
                <w:bCs w:val="false"/>
                <w:sz w:val="20"/>
                <w:szCs w:val="20"/>
              </w:rPr>
              <w:t xml:space="preserve">AGP PDF, endo prep, Lock Screen/StandBy widgets, HealthKit write-back, iCloud sync, full Watch app.</w:t>
            </w:r>
          </w:p>
        </w:tc>
        <w:tc>
          <w:tcPr>
            <w:tcW w:type="dxa" w:w="1200"/>
            <w:shd w:fill="F5F8FC" w:color="auto" w:val="clear"/>
            <w:tcMar>
              <w:top w:type="dxa" w:w="60"/>
              <w:left w:type="dxa" w:w="100"/>
              <w:bottom w:type="dxa" w:w="60"/>
              <w:right w:type="dxa" w:w="100"/>
            </w:tcMar>
          </w:tcPr>
          <w:p>
            <w:pPr>
              <w:spacing w:after="0" w:line="250"/>
            </w:pPr>
            <w:r>
              <w:rPr>
                <w:b w:val="false"/>
                <w:bCs w:val="false"/>
                <w:sz w:val="20"/>
                <w:szCs w:val="20"/>
              </w:rPr>
              <w:t xml:space="preserve">Ongoing</w:t>
            </w:r>
          </w:p>
        </w:tc>
        <w:tc>
          <w:tcPr>
            <w:tcW w:type="dxa" w:w="2960"/>
            <w:shd w:fill="F5F8FC" w:color="auto" w:val="clear"/>
            <w:tcMar>
              <w:top w:type="dxa" w:w="60"/>
              <w:left w:type="dxa" w:w="100"/>
              <w:bottom w:type="dxa" w:w="60"/>
              <w:right w:type="dxa" w:w="100"/>
            </w:tcMar>
          </w:tcPr>
          <w:p>
            <w:pPr>
              <w:spacing w:after="0" w:line="250"/>
            </w:pPr>
            <w:r>
              <w:rPr>
                <w:b w:val="false"/>
                <w:bCs w:val="false"/>
                <w:sz w:val="20"/>
                <w:szCs w:val="20"/>
              </w:rPr>
              <w:t xml:space="preserve">Each shipped as it is ready.</w:t>
            </w:r>
          </w:p>
        </w:tc>
      </w:tr>
    </w:tbl>
    <w:p>
      <w:pPr>
        <w:spacing w:after="100"/>
      </w:pPr>
    </w:p>
    <w:p>
      <w:pPr>
        <w:spacing w:after="120" w:line="276"/>
      </w:pPr>
      <w:r>
        <w:rPr>
          <w:b w:val="false"/>
          <w:bCs w:val="false"/>
        </w:rPr>
        <w:t xml:space="preserve">Roughly 12 to 20 weeks of evenings to a daily-usable v1, and a further 9 to 15 to v2. Phase 1 is deliberately first and deliberately small: it produces the measurement that everything downstream is calibrated against.</w:t>
      </w:r>
    </w:p>
    <w:p>
      <w:pPr>
        <w:pStyle w:val="Heading1"/>
        <w:spacing w:after="160" w:before="360"/>
      </w:pPr>
      <w:r>
        <w:rPr>
          <w:b w:val="false"/>
          <w:bCs w:val="false"/>
        </w:rPr>
        <w:t xml:space="preserve">8. Resolved Decisions</w:t>
      </w:r>
    </w:p>
    <w:p>
      <w:pPr>
        <w:pBdr>
          <w:left w:val="single" w:color="BFD3E6" w:sz="12" w:space="8"/>
        </w:pBdr>
        <w:spacing w:after="160" w:line="260"/>
        <w:ind w:left="180"/>
      </w:pPr>
      <w:r>
        <w:rPr>
          <w:b w:val="false"/>
          <w:bCs w:val="false"/>
          <w:i/>
          <w:iCs/>
          <w:color w:val="595959"/>
          <w:sz w:val="20"/>
          <w:szCs w:val="20"/>
        </w:rPr>
        <w:t xml:space="preserve">New in v1.2. These were §8 “Open Questions” in v1.1; each is now decided, with the reasoning recorded so it is not relitigated.</w:t>
      </w:r>
    </w:p>
    <w:p>
      <w:pPr>
        <w:spacing w:after="100" w:before="180"/>
      </w:pPr>
      <w:r>
        <w:rPr>
          <w:b/>
          <w:bCs/>
          <w:color w:val="1F4D78"/>
        </w:rPr>
        <w:t xml:space="preserve">Carbs: grams only, or also “meal size” (S/M/L)?</w:t>
      </w:r>
    </w:p>
    <w:p>
      <w:pPr>
        <w:spacing w:after="120" w:line="276"/>
      </w:pPr>
      <w:r>
        <w:rPr>
          <w:b/>
          <w:bCs/>
        </w:rPr>
        <w:t xml:space="preserve">Grams only.</w:t>
      </w:r>
      <w:r>
        <w:rPr>
          <w:b w:val="false"/>
          <w:bCs w:val="false"/>
        </w:rPr>
        <w:t xml:space="preserve"> S/M/L is a second unit system that would have to be reconciled with ICR arithmetic (§4.4) to produce a forecast, and any mapping from it to grams is a guess the user cannot inspect. The speed benefit S/M/L was meant to provide is delivered instead by a quick-pick row of the user's own recent and frequent gram entries, which is faster than a size picker and keeps the math exact.</w:t>
      </w:r>
    </w:p>
    <w:p>
      <w:pPr>
        <w:spacing w:after="100" w:before="180"/>
      </w:pPr>
      <w:r>
        <w:rPr>
          <w:b/>
          <w:bCs/>
          <w:color w:val="1F4D78"/>
        </w:rPr>
        <w:t xml:space="preserve">Insulin types: pre-seeded or free-text?</w:t>
      </w:r>
    </w:p>
    <w:p>
      <w:pPr>
        <w:spacing w:after="120" w:line="276"/>
      </w:pPr>
      <w:r>
        <w:rPr>
          <w:b/>
          <w:bCs/>
        </w:rPr>
        <w:t xml:space="preserve">Both, but neither is the point.</w:t>
      </w:r>
      <w:r>
        <w:rPr>
          <w:b w:val="false"/>
          <w:bCs w:val="false"/>
        </w:rPr>
        <w:t xml:space="preserve"> A short pre-seeded list is offered and free-text entry is allowed. What actually matters is the pair of curve parameters (peak, duration) each type carries, because that is the only property the IOB calculation consumes. Every type — seeded or user-created — maps to an editable peak/duration pair with the §4.4 defaults pre-filled. A brand name with no curve attached is decoration.</w:t>
      </w:r>
    </w:p>
    <w:p>
      <w:pPr>
        <w:spacing w:after="100" w:before="180"/>
      </w:pPr>
      <w:r>
        <w:rPr>
          <w:b/>
          <w:bCs/>
          <w:color w:val="1F4D78"/>
        </w:rPr>
        <w:t xml:space="preserve">Confidence band: ±1 SD or ±2 SD?</w:t>
      </w:r>
    </w:p>
    <w:p>
      <w:pPr>
        <w:spacing w:after="120" w:line="276"/>
      </w:pPr>
      <w:r>
        <w:rPr>
          <w:b/>
          <w:bCs/>
        </w:rPr>
        <w:t xml:space="preserve">Neither.</w:t>
      </w:r>
      <w:r>
        <w:rPr>
          <w:b w:val="false"/>
          <w:bCs w:val="false"/>
        </w:rPr>
        <w:t xml:space="preserve"> Both options assume forecast residuals are stationary and normally distributed. They are strongly heteroscedastic — errors are several times larger when glucose is moving fast than when it is flat, which is exactly when the band is consulted. GlucoNoir uses </w:t>
      </w:r>
      <w:r>
        <w:rPr>
          <w:b/>
          <w:bCs/>
        </w:rPr>
        <w:t xml:space="preserve">empirical 10th/90th percentiles of the app's own realised errors</w:t>
      </w:r>
      <w:r>
        <w:rPr>
          <w:b w:val="false"/>
          <w:bCs w:val="false"/>
        </w:rPr>
        <w:t xml:space="preserve"> at each horizon, backtested on the user's own data and recomputed weekly. It is no harder to compute, it needs no distributional assumption, and it widens automatically in the conditions where it should.</w:t>
      </w:r>
    </w:p>
    <w:p>
      <w:pPr>
        <w:spacing w:after="100" w:before="180"/>
      </w:pPr>
      <w:r>
        <w:rPr>
          <w:b/>
          <w:bCs/>
          <w:color w:val="1F4D78"/>
        </w:rPr>
        <w:t xml:space="preserve">Bedside Mode trigger: ambient light, time, or both?</w:t>
      </w:r>
    </w:p>
    <w:p>
      <w:pPr>
        <w:spacing w:after="120" w:line="276"/>
      </w:pPr>
      <w:r>
        <w:rPr>
          <w:b/>
          <w:bCs/>
        </w:rPr>
        <w:t xml:space="preserve">Schedule primary, ambient light as a modifier.</w:t>
      </w:r>
      <w:r>
        <w:rPr>
          <w:b w:val="false"/>
          <w:bCs w:val="false"/>
        </w:rPr>
        <w:t xml:space="preserve"> Pure ambient-light triggering flips modes when walking past a window or into a dark room mid-afternoon, and mode flapping is worse than either mode. The schedule decides whether Bedside Mode is eligible; ambient light within that window modulates the dimming opacity.</w:t>
      </w:r>
    </w:p>
    <w:p>
      <w:pPr>
        <w:spacing w:after="100" w:before="180"/>
      </w:pPr>
      <w:r>
        <w:rPr>
          <w:b/>
          <w:bCs/>
          <w:color w:val="1F4D78"/>
        </w:rPr>
        <w:t xml:space="preserve">v3 closed-loop integration?</w:t>
      </w:r>
    </w:p>
    <w:p>
      <w:pPr>
        <w:spacing w:after="120" w:line="276"/>
      </w:pPr>
      <w:r>
        <w:rPr>
          <w:b/>
          <w:bCs/>
        </w:rPr>
        <w:t xml:space="preserve">No — stay strictly observational, permanently.</w:t>
      </w:r>
      <w:r>
        <w:rPr>
          <w:b w:val="false"/>
          <w:bCs w:val="false"/>
        </w:rPr>
        <w:t xml:space="preserve"> v1.1 recommended this and the recommendation is upgraded to a non-goal (§1.2). The subtler risk worth naming: a prediction curve displayed adjacent to a dose entry field functions as dose guidance regardless of labelling. The §3.2.3 requirement that predictions and dose entry never share a screen region exists for this reason.</w:t>
      </w:r>
    </w:p>
    <w:p>
      <w:pPr>
        <w:pStyle w:val="Heading1"/>
        <w:spacing w:after="160" w:before="360"/>
      </w:pPr>
      <w:r>
        <w:rPr>
          <w:b w:val="false"/>
          <w:bCs w:val="false"/>
        </w:rPr>
        <w:t xml:space="preserve">9. Open Questions</w:t>
      </w:r>
    </w:p>
    <w:p>
      <w:pPr>
        <w:spacing w:after="120" w:line="276"/>
      </w:pPr>
      <w:r>
        <w:rPr>
          <w:b w:val="false"/>
          <w:bCs w:val="false"/>
        </w:rPr>
        <w:t xml:space="preserve">Genuinely undecided, and mostly waiting on the Phase 1 measurement.</w:t>
      </w:r>
    </w:p>
    <w:p>
      <w:pPr>
        <w:pStyle w:val="ListParagraph"/>
        <w:numPr>
          <w:ilvl w:val="0"/>
          <w:numId w:val="3"/>
        </w:numPr>
        <w:spacing w:after="80" w:line="276"/>
      </w:pPr>
      <w:r>
        <w:rPr>
          <w:b/>
          <w:bCs/>
        </w:rPr>
        <w:t xml:space="preserve">What is the actual G7-to-HealthKit lag on this device?</w:t>
      </w:r>
      <w:r>
        <w:rPr>
          <w:b w:val="false"/>
          <w:bCs w:val="false"/>
        </w:rPr>
        <w:t xml:space="preserve"> (§4.2.2) The answer determines whether Share is a nice-to-have or a necessity, and how prominent the Share setup prompt should be. Blocking for Phase 1 exit.</w:t>
      </w:r>
    </w:p>
    <w:p>
      <w:pPr>
        <w:pStyle w:val="ListParagraph"/>
        <w:numPr>
          <w:ilvl w:val="0"/>
          <w:numId w:val="3"/>
        </w:numPr>
        <w:spacing w:after="80" w:line="276"/>
      </w:pPr>
      <w:r>
        <w:rPr>
          <w:b/>
          <w:bCs/>
        </w:rPr>
        <w:t xml:space="preserve">Does blood glucose still qualify for </w:t>
      </w:r>
      <w:r>
        <w:rPr>
          <w:rFonts w:ascii="Consolas" w:cs="Consolas" w:eastAsia="Consolas" w:hAnsi="Consolas"/>
          <w:b/>
          <w:bCs/>
          <w:sz w:val="19"/>
          <w:szCs w:val="19"/>
        </w:rPr>
        <w:t xml:space="preserve">HKUpdateFrequency.immediate</w:t>
      </w:r>
      <w:r>
        <w:rPr>
          <w:b/>
          <w:bCs/>
        </w:rPr>
        <w:t xml:space="preserve">?</w:t>
      </w:r>
      <w:r>
        <w:rPr>
          <w:b w:val="false"/>
          <w:bCs w:val="false"/>
        </w:rPr>
        <w:t xml:space="preserve"> (§4.2.1) The wake cadence depends on it. Verify against the current SDK before Phase 1 exit; if not, §1.3's freshness expectations need revising.</w:t>
      </w:r>
    </w:p>
    <w:p>
      <w:pPr>
        <w:pStyle w:val="ListParagraph"/>
        <w:numPr>
          <w:ilvl w:val="0"/>
          <w:numId w:val="3"/>
        </w:numPr>
        <w:spacing w:after="80" w:line="276"/>
      </w:pPr>
      <w:r>
        <w:rPr>
          <w:b/>
          <w:bCs/>
        </w:rPr>
        <w:t xml:space="preserve">Is the Live Activity's ~8-hour lifetime tolerable overnight,</w:t>
      </w:r>
      <w:r>
        <w:rPr>
          <w:b w:val="false"/>
          <w:bCs w:val="false"/>
        </w:rPr>
        <w:t xml:space="preserve"> or does it need a re-arm on the first morning wake? Answer empirically in Phase 9 rather than engineering around a problem that may not bite.</w:t>
      </w:r>
    </w:p>
    <w:p>
      <w:pPr>
        <w:pStyle w:val="ListParagraph"/>
        <w:numPr>
          <w:ilvl w:val="0"/>
          <w:numId w:val="3"/>
        </w:numPr>
        <w:spacing w:after="80" w:line="276"/>
      </w:pPr>
      <w:r>
        <w:rPr>
          <w:b/>
          <w:bCs/>
        </w:rPr>
        <w:t xml:space="preserve">Should sensor session start be inferrable more reliably</w:t>
      </w:r>
      <w:r>
        <w:rPr>
          <w:b w:val="false"/>
          <w:bCs w:val="false"/>
        </w:rPr>
        <w:t xml:space="preserve"> than the §3.1.3 gap heuristic — is there a signal in the Share payload or HealthKit metadata that identifies a session boundary directly?</w:t>
      </w:r>
    </w:p>
    <w:p>
      <w:pPr>
        <w:pStyle w:val="ListParagraph"/>
        <w:numPr>
          <w:ilvl w:val="0"/>
          <w:numId w:val="3"/>
        </w:numPr>
        <w:spacing w:after="80" w:line="276"/>
      </w:pPr>
      <w:r>
        <w:rPr>
          <w:b/>
          <w:bCs/>
        </w:rPr>
        <w:t xml:space="preserve">Default exercise sensitivity multiplier.</w:t>
      </w:r>
      <w:r>
        <w:rPr>
          <w:b w:val="false"/>
          <w:bCs w:val="false"/>
        </w:rPr>
        <w:t xml:space="preserve"> 1.5 is a placeholder. Derive it from the user's own logged exercise events once Phase 10 has accumulated enough of them, rather than shipping a number borrowed from the literature.</w:t>
      </w:r>
    </w:p>
    <w:p>
      <w:pPr>
        <w:pStyle w:val="ListParagraph"/>
        <w:numPr>
          <w:ilvl w:val="0"/>
          <w:numId w:val="3"/>
        </w:numPr>
        <w:spacing w:after="80" w:line="276"/>
      </w:pPr>
      <w:r>
        <w:rPr>
          <w:b/>
          <w:bCs/>
        </w:rPr>
        <w:t xml:space="preserve">How many samples make a meal fingerprint trustworthy?</w:t>
      </w:r>
      <w:r>
        <w:rPr>
          <w:b w:val="false"/>
          <w:bCs w:val="false"/>
        </w:rPr>
        <w:t xml:space="preserve"> Showing a median over two prior instances invites over-reading noise. Provisional threshold: display individual curves from the first instance, but suppress the median and derived statistics until four.</w:t>
      </w:r>
    </w:p>
    <w:p>
      <w:pPr>
        <w:pStyle w:val="Heading1"/>
        <w:spacing w:after="160" w:before="360"/>
      </w:pPr>
      <w:r>
        <w:rPr>
          <w:b w:val="false"/>
          <w:bCs w:val="false"/>
        </w:rPr>
        <w:t xml:space="preserve">10. Success Criteria</w:t>
      </w:r>
    </w:p>
    <w:p>
      <w:pPr>
        <w:spacing w:after="120" w:line="276"/>
      </w:pPr>
      <w:r>
        <w:rPr>
          <w:b w:val="false"/>
          <w:bCs w:val="false"/>
        </w:rPr>
        <w:t xml:space="preserve">This is a personal-use app, so success is measured against the user's own daily experience, not market metrics. v1.1's criteria are retained where they were measurable and tightened where they were not.</w:t>
      </w:r>
    </w:p>
    <w:p>
      <w:pPr>
        <w:pStyle w:val="ListParagraph"/>
        <w:numPr>
          <w:ilvl w:val="0"/>
          <w:numId w:val="2"/>
        </w:numPr>
        <w:spacing w:after="80" w:line="276"/>
      </w:pPr>
      <w:r>
        <w:rPr>
          <w:b/>
          <w:bCs/>
        </w:rPr>
        <w:t xml:space="preserve">Preference.</w:t>
      </w:r>
      <w:r>
        <w:rPr>
          <w:b w:val="false"/>
          <w:bCs w:val="false"/>
        </w:rPr>
        <w:t xml:space="preserve"> The user opens GlucoNoir before the official Dexcom app for routine checks within 30 days of v1. Measurable directly, since the app can count its own launches against a self-reported baseline.</w:t>
      </w:r>
    </w:p>
    <w:p>
      <w:pPr>
        <w:pStyle w:val="ListParagraph"/>
        <w:numPr>
          <w:ilvl w:val="0"/>
          <w:numId w:val="2"/>
        </w:numPr>
        <w:spacing w:after="80" w:line="276"/>
      </w:pPr>
      <w:r>
        <w:rPr>
          <w:b/>
          <w:bCs/>
        </w:rPr>
        <w:t xml:space="preserve">Glance displacement (new).</w:t>
      </w:r>
      <w:r>
        <w:rPr>
          <w:b w:val="false"/>
          <w:bCs w:val="false"/>
        </w:rPr>
        <w:t xml:space="preserve"> After v2, at least half of daily glucose checks are satisfied by the Live Activity, Lock Screen, or Watch complication without opening the app. This is the criterion that reflects §2.2's dominant use case.</w:t>
      </w:r>
    </w:p>
    <w:p>
      <w:pPr>
        <w:pStyle w:val="ListParagraph"/>
        <w:numPr>
          <w:ilvl w:val="0"/>
          <w:numId w:val="2"/>
        </w:numPr>
        <w:spacing w:after="80" w:line="276"/>
      </w:pPr>
      <w:r>
        <w:rPr>
          <w:b/>
          <w:bCs/>
        </w:rPr>
        <w:t xml:space="preserve">Eye strain.</w:t>
      </w:r>
      <w:r>
        <w:rPr>
          <w:b w:val="false"/>
          <w:bCs w:val="false"/>
        </w:rPr>
        <w:t xml:space="preserve"> Nighttime checks are subjectively less unpleasant. Deliberately subjective; a weekly one-tap self-rating in the app makes it trackable without pretending it is objective.</w:t>
      </w:r>
    </w:p>
    <w:p>
      <w:pPr>
        <w:pStyle w:val="ListParagraph"/>
        <w:numPr>
          <w:ilvl w:val="0"/>
          <w:numId w:val="2"/>
        </w:numPr>
        <w:spacing w:after="80" w:line="276"/>
      </w:pPr>
      <w:r>
        <w:rPr>
          <w:b/>
          <w:bCs/>
        </w:rPr>
        <w:t xml:space="preserve">Logging speed.</w:t>
      </w:r>
      <w:r>
        <w:rPr>
          <w:b w:val="false"/>
          <w:bCs w:val="false"/>
        </w:rPr>
        <w:t xml:space="preserve"> Median time from intent to logged event stays under 30 seconds, measured by the app instrumenting its own log flows. Under 10 seconds via App Intents.</w:t>
      </w:r>
    </w:p>
    <w:p>
      <w:pPr>
        <w:pStyle w:val="ListParagraph"/>
        <w:numPr>
          <w:ilvl w:val="0"/>
          <w:numId w:val="2"/>
        </w:numPr>
        <w:spacing w:after="80" w:line="276"/>
      </w:pPr>
      <w:r>
        <w:rPr>
          <w:b/>
          <w:bCs/>
        </w:rPr>
        <w:t xml:space="preserve">Forecast quality.</w:t>
      </w:r>
      <w:r>
        <w:rPr>
          <w:b w:val="false"/>
          <w:bCs w:val="false"/>
        </w:rPr>
        <w:t xml:space="preserve"> The §4.4 validation gate: beats the persistence baseline by at least 15% RMSE at 15 minutes, with zero points in Parkes zones C/D/E. This replaces v1.1's ±20 mg/dL threshold, which a naive baseline passes.</w:t>
      </w:r>
    </w:p>
    <w:p>
      <w:pPr>
        <w:pStyle w:val="ListParagraph"/>
        <w:numPr>
          <w:ilvl w:val="0"/>
          <w:numId w:val="2"/>
        </w:numPr>
        <w:spacing w:after="80" w:line="276"/>
      </w:pPr>
      <w:r>
        <w:rPr>
          <w:b/>
          <w:bCs/>
        </w:rPr>
        <w:t xml:space="preserve">Resilience (new).</w:t>
      </w:r>
      <w:r>
        <w:rPr>
          <w:b w:val="false"/>
          <w:bCs w:val="false"/>
        </w:rPr>
        <w:t xml:space="preserve"> Over any 30-day period after v1, no more than 1% of expected 5-minute samples are permanently missing from the local store, and no single gap exceeds 2 hours while the phone had network. This is the criterion for whether the dual-source architecture actually earned its complexity — v1.1 rewrote the architecture and then never measured whether it worked.</w:t>
      </w:r>
    </w:p>
    <w:p>
      <w:pPr>
        <w:pStyle w:val="ListParagraph"/>
        <w:numPr>
          <w:ilvl w:val="0"/>
          <w:numId w:val="2"/>
        </w:numPr>
        <w:spacing w:after="80" w:line="276"/>
      </w:pPr>
      <w:r>
        <w:rPr>
          <w:b/>
          <w:bCs/>
        </w:rPr>
        <w:t xml:space="preserve">Time in range.</w:t>
      </w:r>
      <w:r>
        <w:rPr>
          <w:b w:val="false"/>
          <w:bCs w:val="false"/>
        </w:rPr>
        <w:t xml:space="preserve"> TIR improves by at least 5 percentage points, sustained over a 30-day window, compared against the 90 days preceding v1 install. v1.1's “any measurable amount” is not a criterion — TIR routinely swings several points week to week on its own, so any threshold below the noise floor will be met by chance. Attribution to the app is explicitly not claimed; this measures whether things got better, not why.</w:t>
      </w:r>
    </w:p>
    <w:p>
      <w:pPr>
        <w:pStyle w:val="Heading1"/>
        <w:spacing w:after="160" w:before="360"/>
      </w:pPr>
      <w:r>
        <w:rPr>
          <w:b w:val="false"/>
          <w:bCs w:val="false"/>
        </w:rPr>
        <w:t xml:space="preserve">Appendix A: Glossary</w:t>
      </w:r>
    </w:p>
    <w:p>
      <w:pPr>
        <w:pStyle w:val="ListParagraph"/>
        <w:numPr>
          <w:ilvl w:val="0"/>
          <w:numId w:val="2"/>
        </w:numPr>
        <w:spacing w:after="80" w:line="276"/>
      </w:pPr>
      <w:r>
        <w:rPr>
          <w:b/>
          <w:bCs/>
        </w:rPr>
        <w:t xml:space="preserve">AGP</w:t>
      </w:r>
      <w:r>
        <w:rPr>
          <w:b w:val="false"/>
          <w:bCs w:val="false"/>
        </w:rPr>
        <w:t xml:space="preserve"> — Ambulatory Glucose Profile. A standardised CGM chart format showing percentile bands of glucose by time of day.</w:t>
      </w:r>
    </w:p>
    <w:p>
      <w:pPr>
        <w:pStyle w:val="ListParagraph"/>
        <w:numPr>
          <w:ilvl w:val="0"/>
          <w:numId w:val="2"/>
        </w:numPr>
        <w:spacing w:after="80" w:line="276"/>
      </w:pPr>
      <w:r>
        <w:rPr>
          <w:b/>
          <w:bCs/>
        </w:rPr>
        <w:t xml:space="preserve">CGM</w:t>
      </w:r>
      <w:r>
        <w:rPr>
          <w:b w:val="false"/>
          <w:bCs w:val="false"/>
        </w:rPr>
        <w:t xml:space="preserve"> — Continuous Glucose Monitor (e.g. Dexcom G7).</w:t>
      </w:r>
    </w:p>
    <w:p>
      <w:pPr>
        <w:pStyle w:val="ListParagraph"/>
        <w:numPr>
          <w:ilvl w:val="0"/>
          <w:numId w:val="2"/>
        </w:numPr>
        <w:spacing w:after="80" w:line="276"/>
      </w:pPr>
      <w:r>
        <w:rPr>
          <w:b/>
          <w:bCs/>
        </w:rPr>
        <w:t xml:space="preserve">COB</w:t>
      </w:r>
      <w:r>
        <w:rPr>
          <w:b w:val="false"/>
          <w:bCs w:val="false"/>
        </w:rPr>
        <w:t xml:space="preserve"> — Carbs On Board. Ingested carbohydrate not yet absorbed.</w:t>
      </w:r>
    </w:p>
    <w:p>
      <w:pPr>
        <w:pStyle w:val="ListParagraph"/>
        <w:numPr>
          <w:ilvl w:val="0"/>
          <w:numId w:val="2"/>
        </w:numPr>
        <w:spacing w:after="80" w:line="276"/>
      </w:pPr>
      <w:r>
        <w:rPr>
          <w:b/>
          <w:bCs/>
        </w:rPr>
        <w:t xml:space="preserve">Compression low</w:t>
      </w:r>
      <w:r>
        <w:rPr>
          <w:b w:val="false"/>
          <w:bCs w:val="false"/>
        </w:rPr>
        <w:t xml:space="preserve"> — a falsely low reading caused by physical pressure on the sensor, typically from lying on it. A sensor artifact, not a physiological event.</w:t>
      </w:r>
    </w:p>
    <w:p>
      <w:pPr>
        <w:pStyle w:val="ListParagraph"/>
        <w:numPr>
          <w:ilvl w:val="0"/>
          <w:numId w:val="2"/>
        </w:numPr>
        <w:spacing w:after="80" w:line="276"/>
      </w:pPr>
      <w:r>
        <w:rPr>
          <w:b/>
          <w:bCs/>
        </w:rPr>
        <w:t xml:space="preserve">CV</w:t>
      </w:r>
      <w:r>
        <w:rPr>
          <w:b w:val="false"/>
          <w:bCs w:val="false"/>
        </w:rPr>
        <w:t xml:space="preserve"> — Coefficient of Variation. SD divided by mean, expressed as a percentage. The standard glycaemic variability metric; target below 36%.</w:t>
      </w:r>
    </w:p>
    <w:p>
      <w:pPr>
        <w:pStyle w:val="ListParagraph"/>
        <w:numPr>
          <w:ilvl w:val="0"/>
          <w:numId w:val="2"/>
        </w:numPr>
        <w:spacing w:after="80" w:line="276"/>
      </w:pPr>
      <w:r>
        <w:rPr>
          <w:b/>
          <w:bCs/>
        </w:rPr>
        <w:t xml:space="preserve">DIA</w:t>
      </w:r>
      <w:r>
        <w:rPr>
          <w:b w:val="false"/>
          <w:bCs w:val="false"/>
        </w:rPr>
        <w:t xml:space="preserve"> — Duration of Insulin Action. How long a dose remains active; 5 to 6 hours for rapid analogues.</w:t>
      </w:r>
    </w:p>
    <w:p>
      <w:pPr>
        <w:pStyle w:val="ListParagraph"/>
        <w:numPr>
          <w:ilvl w:val="0"/>
          <w:numId w:val="2"/>
        </w:numPr>
        <w:spacing w:after="80" w:line="276"/>
      </w:pPr>
      <w:r>
        <w:rPr>
          <w:b/>
          <w:bCs/>
        </w:rPr>
        <w:t xml:space="preserve">GMI</w:t>
      </w:r>
      <w:r>
        <w:rPr>
          <w:b w:val="false"/>
          <w:bCs w:val="false"/>
        </w:rPr>
        <w:t xml:space="preserve"> — Glucose Management Indicator. An A1C estimate derived from mean CGM glucose. Requires at least 14 days at 70% capture to be meaningful.</w:t>
      </w:r>
    </w:p>
    <w:p>
      <w:pPr>
        <w:pStyle w:val="ListParagraph"/>
        <w:numPr>
          <w:ilvl w:val="0"/>
          <w:numId w:val="2"/>
        </w:numPr>
        <w:spacing w:after="80" w:line="276"/>
      </w:pPr>
      <w:r>
        <w:rPr>
          <w:b/>
          <w:bCs/>
        </w:rPr>
        <w:t xml:space="preserve">ICR</w:t>
      </w:r>
      <w:r>
        <w:rPr>
          <w:b w:val="false"/>
          <w:bCs w:val="false"/>
        </w:rPr>
        <w:t xml:space="preserve"> — Insulin-to-Carb Ratio. Grams of carbohydrate covered by one unit of insulin.</w:t>
      </w:r>
    </w:p>
    <w:p>
      <w:pPr>
        <w:pStyle w:val="ListParagraph"/>
        <w:numPr>
          <w:ilvl w:val="0"/>
          <w:numId w:val="2"/>
        </w:numPr>
        <w:spacing w:after="80" w:line="276"/>
      </w:pPr>
      <w:r>
        <w:rPr>
          <w:b/>
          <w:bCs/>
        </w:rPr>
        <w:t xml:space="preserve">IOB</w:t>
      </w:r>
      <w:r>
        <w:rPr>
          <w:b w:val="false"/>
          <w:bCs w:val="false"/>
        </w:rPr>
        <w:t xml:space="preserve"> — Insulin On Board. Active insulin still working in the body.</w:t>
      </w:r>
    </w:p>
    <w:p>
      <w:pPr>
        <w:pStyle w:val="ListParagraph"/>
        <w:numPr>
          <w:ilvl w:val="0"/>
          <w:numId w:val="2"/>
        </w:numPr>
        <w:spacing w:after="80" w:line="276"/>
      </w:pPr>
      <w:r>
        <w:rPr>
          <w:b/>
          <w:bCs/>
        </w:rPr>
        <w:t xml:space="preserve">ISF</w:t>
      </w:r>
      <w:r>
        <w:rPr>
          <w:b w:val="false"/>
          <w:bCs w:val="false"/>
        </w:rPr>
        <w:t xml:space="preserve"> — Insulin Sensitivity Factor. Expected mg/dL drop per unit of insulin. Also called correction factor.</w:t>
      </w:r>
    </w:p>
    <w:p>
      <w:pPr>
        <w:pStyle w:val="ListParagraph"/>
        <w:numPr>
          <w:ilvl w:val="0"/>
          <w:numId w:val="2"/>
        </w:numPr>
        <w:spacing w:after="80" w:line="276"/>
      </w:pPr>
      <w:r>
        <w:rPr>
          <w:b/>
          <w:bCs/>
        </w:rPr>
        <w:t xml:space="preserve">MDI</w:t>
      </w:r>
      <w:r>
        <w:rPr>
          <w:b w:val="false"/>
          <w:bCs w:val="false"/>
        </w:rPr>
        <w:t xml:space="preserve"> — Multiple Daily Injections. A non-pump insulin regimen.</w:t>
      </w:r>
    </w:p>
    <w:p>
      <w:pPr>
        <w:pStyle w:val="ListParagraph"/>
        <w:numPr>
          <w:ilvl w:val="0"/>
          <w:numId w:val="2"/>
        </w:numPr>
        <w:spacing w:after="80" w:line="276"/>
      </w:pPr>
      <w:r>
        <w:rPr>
          <w:b/>
          <w:bCs/>
        </w:rPr>
        <w:t xml:space="preserve">Parkes error grid</w:t>
      </w:r>
      <w:r>
        <w:rPr>
          <w:b w:val="false"/>
          <w:bCs w:val="false"/>
        </w:rPr>
        <w:t xml:space="preserve"> — a clinical-significance plot for glucose estimates, dividing predicted-versus-actual space into zones by the severity of the consequence of the error.</w:t>
      </w:r>
    </w:p>
    <w:p>
      <w:pPr>
        <w:pStyle w:val="ListParagraph"/>
        <w:numPr>
          <w:ilvl w:val="0"/>
          <w:numId w:val="2"/>
        </w:numPr>
        <w:spacing w:after="80" w:line="276"/>
      </w:pPr>
      <w:r>
        <w:rPr>
          <w:b/>
          <w:bCs/>
        </w:rPr>
        <w:t xml:space="preserve">Persistence baseline</w:t>
      </w:r>
      <w:r>
        <w:rPr>
          <w:b w:val="false"/>
          <w:bCs w:val="false"/>
        </w:rPr>
        <w:t xml:space="preserve"> — the trivial forecast “the next value equals the current value.” The benchmark any real forecaster must beat.</w:t>
      </w:r>
    </w:p>
    <w:p>
      <w:pPr>
        <w:pStyle w:val="ListParagraph"/>
        <w:numPr>
          <w:ilvl w:val="0"/>
          <w:numId w:val="2"/>
        </w:numPr>
        <w:spacing w:after="80" w:line="276"/>
      </w:pPr>
      <w:r>
        <w:rPr>
          <w:b/>
          <w:bCs/>
        </w:rPr>
        <w:t xml:space="preserve">T1D</w:t>
      </w:r>
      <w:r>
        <w:rPr>
          <w:b w:val="false"/>
          <w:bCs w:val="false"/>
        </w:rPr>
        <w:t xml:space="preserve"> — Type 1 Diabetes.</w:t>
      </w:r>
    </w:p>
    <w:p>
      <w:pPr>
        <w:pStyle w:val="ListParagraph"/>
        <w:numPr>
          <w:ilvl w:val="0"/>
          <w:numId w:val="2"/>
        </w:numPr>
        <w:spacing w:after="80" w:line="276"/>
      </w:pPr>
      <w:r>
        <w:rPr>
          <w:b/>
          <w:bCs/>
        </w:rPr>
        <w:t xml:space="preserve">Time in Range (TIR)</w:t>
      </w:r>
      <w:r>
        <w:rPr>
          <w:b w:val="false"/>
          <w:bCs w:val="false"/>
        </w:rPr>
        <w:t xml:space="preserve"> — percentage of CGM readings within the target range, conventionally 70 to 180 mg/dL.</w:t>
      </w:r>
    </w:p>
    <w:p>
      <w:r>
        <w:br w:type="page"/>
      </w:r>
    </w:p>
    <w:p>
      <w:pPr>
        <w:pStyle w:val="Heading1"/>
        <w:spacing w:after="160" w:before="360"/>
      </w:pPr>
      <w:r>
        <w:rPr>
          <w:b w:val="false"/>
          <w:bCs w:val="false"/>
        </w:rPr>
        <w:t xml:space="preserve">Appendix B: Review Findings Log</w:t>
      </w:r>
    </w:p>
    <w:p>
      <w:pPr>
        <w:spacing w:after="120" w:line="276"/>
      </w:pPr>
      <w:r>
        <w:rPr>
          <w:b w:val="false"/>
          <w:bCs w:val="false"/>
        </w:rPr>
        <w:t xml:space="preserve">Every change made in v1.2, with the finding that prompted it. Ordered by severity so the material changes can be reviewed first. “Blocking” means the app would not have worked as specified.</w:t>
      </w:r>
    </w:p>
    <w:p>
      <w:pPr>
        <w:pStyle w:val="Heading2"/>
        <w:spacing w:after="140" w:before="280"/>
      </w:pPr>
      <w:r>
        <w:rPr>
          <w:b w:val="false"/>
          <w:bCs w:val="false"/>
        </w:rPr>
        <w:t xml:space="preserve">B.1 Blocking Technical Errors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BGAppRefreshTask cannot deliver a 15-minute background poll; earliestBeginDate is a floor, not a schedule, and is least likely to fire overnight.</w:t>
            </w:r>
          </w:p>
        </w:tc>
        <w:tc>
          <w:tcPr>
            <w:tcW w:type="dxa" w:w="4100"/>
            <w:tcMar>
              <w:top w:type="dxa" w:w="60"/>
              <w:left w:type="dxa" w:w="100"/>
              <w:bottom w:type="dxa" w:w="60"/>
              <w:right w:type="dxa" w:w="100"/>
            </w:tcMar>
          </w:tcPr>
          <w:p>
            <w:pPr>
              <w:spacing w:after="0" w:line="250"/>
            </w:pPr>
            <w:r>
              <w:rPr>
                <w:b w:val="false"/>
                <w:bCs w:val="false"/>
                <w:sz w:val="20"/>
                <w:szCs w:val="20"/>
              </w:rPr>
              <w:t xml:space="preserve">Background architecture inverted: HealthKit background delivery is the wake mechanism; Share polled opportunistically inside each wake; BGAppRefreshTask demoted to a daily janitor.</w:t>
            </w:r>
          </w:p>
        </w:tc>
        <w:tc>
          <w:tcPr>
            <w:tcW w:type="dxa" w:w="1760"/>
            <w:tcMar>
              <w:top w:type="dxa" w:w="60"/>
              <w:left w:type="dxa" w:w="100"/>
              <w:bottom w:type="dxa" w:w="60"/>
              <w:right w:type="dxa" w:w="100"/>
            </w:tcMar>
          </w:tcPr>
          <w:p>
            <w:pPr>
              <w:spacing w:after="0" w:line="250"/>
            </w:pPr>
            <w:r>
              <w:rPr>
                <w:b w:val="false"/>
                <w:bCs w:val="false"/>
                <w:sz w:val="20"/>
                <w:szCs w:val="20"/>
              </w:rPr>
              <w:t xml:space="preserve">§3.1.1, §4.1, §4.2.1,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HealthKit background delivery entitlement was never mentioned; without it the observer does not fire when backgrounded.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Entitlement added to the stack table and the source spec; verified in Phase 0.</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§4.1, §4.2.2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kSecAttrAccessibleWhenUnlockedThisDeviceOnly makes credentials unreadable while the device is locked, breaking every background Share poll and all operation after reboot until first unlock.</w:t>
            </w:r>
          </w:p>
        </w:tc>
        <w:tc>
          <w:tcPr>
            <w:tcW w:type="dxa" w:w="4100"/>
            <w:tcMar>
              <w:top w:type="dxa" w:w="60"/>
              <w:left w:type="dxa" w:w="100"/>
              <w:bottom w:type="dxa" w:w="60"/>
              <w:right w:type="dxa" w:w="100"/>
            </w:tcMar>
          </w:tcPr>
          <w:p>
            <w:pPr>
              <w:spacing w:after="0" w:line="250"/>
            </w:pPr>
            <w:r>
              <w:rPr>
                <w:b w:val="false"/>
                <w:bCs w:val="false"/>
                <w:sz w:val="20"/>
                <w:szCs w:val="20"/>
              </w:rPr>
              <w:t xml:space="preserve">Changed to kSecAttrAccessibleAfterFirstUnlockThisDeviceOnly.</w:t>
            </w:r>
          </w:p>
        </w:tc>
        <w:tc>
          <w:tcPr>
            <w:tcW w:type="dxa" w:w="1760"/>
            <w:tcMar>
              <w:top w:type="dxa" w:w="60"/>
              <w:left w:type="dxa" w:w="100"/>
              <w:bottom w:type="dxa" w:w="60"/>
              <w:right w:type="dxa" w:w="100"/>
            </w:tcMar>
          </w:tcPr>
          <w:p>
            <w:pPr>
              <w:spacing w:after="0" w:line="250"/>
            </w:pPr>
            <w:r>
              <w:rPr>
                <w:b w:val="false"/>
                <w:bCs w:val="false"/>
                <w:sz w:val="20"/>
                <w:szCs w:val="20"/>
              </w:rPr>
              <w:t xml:space="preserve">§6</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unique syncId attribute is incompatible with SwiftData's CloudKit backing, which v3 commits to.</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No unique attributes anywhere; dedup enforced in the coordinator with an indexed non-unique dedupKey and explicit upsert. CloudKit's optional-property and delete-rule constraints adopted from v1.</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§4.2.4, §4.3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No App Group container; widgets, Live Activity, and Watch cannot read the default store, and retrofitting means migrating the whole history.</w:t>
            </w:r>
          </w:p>
        </w:tc>
        <w:tc>
          <w:tcPr>
            <w:tcW w:type="dxa" w:w="4100"/>
            <w:tcMar>
              <w:top w:type="dxa" w:w="60"/>
              <w:left w:type="dxa" w:w="100"/>
              <w:bottom w:type="dxa" w:w="60"/>
              <w:right w:type="dxa" w:w="100"/>
            </w:tcMar>
          </w:tcPr>
          <w:p>
            <w:pPr>
              <w:spacing w:after="0" w:line="250"/>
            </w:pPr>
            <w:r>
              <w:rPr>
                <w:b w:val="false"/>
                <w:bCs w:val="false"/>
                <w:sz w:val="20"/>
                <w:szCs w:val="20"/>
              </w:rPr>
              <w:t xml:space="preserve">App Group mandated from Phase 0, including the HealthKit anchor.</w:t>
            </w:r>
          </w:p>
        </w:tc>
        <w:tc>
          <w:tcPr>
            <w:tcW w:type="dxa" w:w="1760"/>
            <w:tcMar>
              <w:top w:type="dxa" w:w="60"/>
              <w:left w:type="dxa" w:w="100"/>
              <w:bottom w:type="dxa" w:w="60"/>
              <w:right w:type="dxa" w:w="100"/>
            </w:tcMar>
          </w:tcPr>
          <w:p>
            <w:pPr>
              <w:spacing w:after="0" w:line="250"/>
            </w:pPr>
            <w:r>
              <w:rPr>
                <w:b w:val="false"/>
                <w:bCs w:val="false"/>
                <w:sz w:val="20"/>
                <w:szCs w:val="20"/>
              </w:rPr>
              <w:t xml:space="preserve">§4.1, §4.2.2, §4.3, §4.6,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Blanket exponential backoff applied to a 401 retries bad credentials indefinitely and can lock the Dexcom account the official app depends on.</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Auth failures stop immediately and prompt; only transient failures back off.</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§3.1.1, §4.2.3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An app cannot set brightness for its own window; UIScreen.main.brightness is global and persistent, and a crash leaves the device stuck dim.</w:t>
            </w:r>
          </w:p>
        </w:tc>
        <w:tc>
          <w:tcPr>
            <w:tcW w:type="dxa" w:w="4100"/>
            <w:tcMar>
              <w:top w:type="dxa" w:w="60"/>
              <w:left w:type="dxa" w:w="100"/>
              <w:bottom w:type="dxa" w:w="60"/>
              <w:right w:type="dxa" w:w="100"/>
            </w:tcMar>
          </w:tcPr>
          <w:p>
            <w:pPr>
              <w:spacing w:after="0" w:line="250"/>
            </w:pPr>
            <w:r>
              <w:rPr>
                <w:b w:val="false"/>
                <w:bCs w:val="false"/>
                <w:sz w:val="20"/>
                <w:szCs w:val="20"/>
              </w:rPr>
              <w:t xml:space="preserve">Bedside dimming reimplemented as a black overlay with adjustable opacity; optional system dimming requires capture and guaranteed restore.</w:t>
            </w:r>
          </w:p>
        </w:tc>
        <w:tc>
          <w:tcPr>
            <w:tcW w:type="dxa" w:w="1760"/>
            <w:tcMar>
              <w:top w:type="dxa" w:w="60"/>
              <w:left w:type="dxa" w:w="100"/>
              <w:bottom w:type="dxa" w:w="60"/>
              <w:right w:type="dxa" w:w="100"/>
            </w:tcMar>
          </w:tcPr>
          <w:p>
            <w:pPr>
              <w:spacing w:after="0" w:line="250"/>
            </w:pPr>
            <w:r>
              <w:rPr>
                <w:b w:val="false"/>
                <w:bCs w:val="false"/>
                <w:sz w:val="20"/>
                <w:szCs w:val="20"/>
              </w:rPr>
              <w:t xml:space="preserve">§5.3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Share auth flow, applicationId, Microsoft date format, and integer/string trend polymorphism were unspecified — each an established breakage source.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Full protocol spec added, with an instruction to pin against a maintained reference implementation.</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§4.2.3</w:t>
            </w:r>
          </w:p>
        </w:tc>
      </w:tr>
    </w:tbl>
    <w:p>
      <w:pPr>
        <w:pStyle w:val="Heading2"/>
        <w:spacing w:after="140" w:before="280"/>
      </w:pPr>
      <w:r>
        <w:rPr>
          <w:b w:val="false"/>
          <w:bCs w:val="false"/>
        </w:rPr>
        <w:t xml:space="preserve">B.2 Clinical &amp; Mathematical Errors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Linear 4-hour IOB decay is wrong in shape (activity peaks, it does not decline linearly) and duration (5–6 hours, not 4). The error propagated into every prediction via the meal estimator.</w:t>
            </w:r>
          </w:p>
        </w:tc>
        <w:tc>
          <w:tcPr>
            <w:tcW w:type="dxa" w:w="4100"/>
            <w:tcMar>
              <w:top w:type="dxa" w:w="60"/>
              <w:left w:type="dxa" w:w="100"/>
              <w:bottom w:type="dxa" w:w="60"/>
              <w:right w:type="dxa" w:w="100"/>
            </w:tcMar>
          </w:tcPr>
          <w:p>
            <w:pPr>
              <w:spacing w:after="0" w:line="250"/>
            </w:pPr>
            <w:r>
              <w:rPr>
                <w:b w:val="false"/>
                <w:bCs w:val="false"/>
                <w:sz w:val="20"/>
                <w:szCs w:val="20"/>
              </w:rPr>
              <w:t xml:space="preserve">Bi-exponential LoopKit model with explicit formula; defaults peak 75 min / duration 360 min for rapid, 55/300 for ultra-rapid; all editable.</w:t>
            </w:r>
          </w:p>
        </w:tc>
        <w:tc>
          <w:tcPr>
            <w:tcW w:type="dxa" w:w="1760"/>
            <w:tcMar>
              <w:top w:type="dxa" w:w="60"/>
              <w:left w:type="dxa" w:w="100"/>
              <w:bottom w:type="dxa" w:w="60"/>
              <w:right w:type="dxa" w:w="100"/>
            </w:tcMar>
          </w:tcPr>
          <w:p>
            <w:pPr>
              <w:spacing w:after="0" w:line="250"/>
            </w:pPr>
            <w:r>
              <w:rPr>
                <w:b w:val="false"/>
                <w:bCs w:val="false"/>
                <w:sz w:val="20"/>
                <w:szCs w:val="20"/>
              </w:rPr>
              <w:t xml:space="preserve">§3.2.3, §4.4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Long-acting insulin was logged and fed into IOB undifferentiated, making the IOB figure meaningless.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Basal explicitly excluded from IOB; logged and displayed separately.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§3.2.1, §4.3, §4.4</w:t>
            </w:r>
          </w:p>
        </w:tc>
      </w:tr>
      <w:tr>
        <w:tc>
          <w:tcPr>
            <w:tcW w:type="dxa" w:w="3500"/>
            <w:tcMar>
              <w:top w:type="dxa" w:w="60"/>
              <w:left w:type="dxa" w:w="100"/>
              <w:bottom w:type="dxa" w:w="60"/>
              <w:right w:type="dxa" w:w="100"/>
            </w:tcMar>
          </w:tcPr>
          <w:p>
            <w:pPr>
              <w:spacing w:after="0" w:line="250"/>
            </w:pPr>
            <w:r>
              <w:rPr>
                <w:b w:val="false"/>
                <w:bCs w:val="false"/>
                <w:sz w:val="20"/>
                <w:szCs w:val="20"/>
              </w:rPr>
              <w:t xml:space="preserve">MealResponseEstimator was mathematically impossible as specified — carbs-to-mg/dL needs ICR and insulin-to-mg/dL needs ISF, and neither existed in the settings or the data model.</w:t>
            </w:r>
          </w:p>
        </w:tc>
        <w:tc>
          <w:tcPr>
            <w:tcW w:type="dxa" w:w="4100"/>
            <w:tcMar>
              <w:top w:type="dxa" w:w="60"/>
              <w:left w:type="dxa" w:w="100"/>
              <w:bottom w:type="dxa" w:w="60"/>
              <w:right w:type="dxa" w:w="100"/>
            </w:tcMar>
          </w:tcPr>
          <w:p>
            <w:pPr>
              <w:spacing w:after="0" w:line="250"/>
            </w:pPr>
            <w:r>
              <w:rPr>
                <w:b w:val="false"/>
                <w:bCs w:val="false"/>
                <w:sz w:val="20"/>
                <w:szCs w:val="20"/>
              </w:rPr>
              <w:t xml:space="preserve">ISF and ICR added as required settings and model fields; explicit prediction formula; forecast disabled until both are entered.</w:t>
            </w:r>
          </w:p>
        </w:tc>
        <w:tc>
          <w:tcPr>
            <w:tcW w:type="dxa" w:w="1760"/>
            <w:tcMar>
              <w:top w:type="dxa" w:w="60"/>
              <w:left w:type="dxa" w:w="100"/>
              <w:bottom w:type="dxa" w:w="60"/>
              <w:right w:type="dxa" w:w="100"/>
            </w:tcMar>
          </w:tcPr>
          <w:p>
            <w:pPr>
              <w:spacing w:after="0" w:line="250"/>
            </w:pPr>
            <w:r>
              <w:rPr>
                <w:b w:val="false"/>
                <w:bCs w:val="false"/>
                <w:sz w:val="20"/>
                <w:szCs w:val="20"/>
              </w:rPr>
              <w:t xml:space="preserve">§3.1.6, §4.3, §4.4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GMI would have been computed for 3-hour windows, where it is meaningless.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Gated to windows ≥14 days with ≥70% capture; hidden otherwise. Formula stated explicitly.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Three-band time-in-range does not match the consensus definition or any AGP report, despite AGP export being a stated goal.</w:t>
            </w:r>
          </w:p>
        </w:tc>
        <w:tc>
          <w:tcPr>
            <w:tcW w:type="dxa" w:w="4100"/>
            <w:tcMar>
              <w:top w:type="dxa" w:w="60"/>
              <w:left w:type="dxa" w:w="100"/>
              <w:bottom w:type="dxa" w:w="60"/>
              <w:right w:type="dxa" w:w="100"/>
            </w:tcMar>
          </w:tcPr>
          <w:p>
            <w:pPr>
              <w:spacing w:after="0" w:line="250"/>
            </w:pPr>
            <w:r>
              <w:rPr>
                <w:b w:val="false"/>
                <w:bCs w:val="false"/>
                <w:sz w:val="20"/>
                <w:szCs w:val="20"/>
              </w:rPr>
              <w:t xml:space="preserve">Five-band TIR with consensus thresholds and targets.</w:t>
            </w:r>
          </w:p>
        </w:tc>
        <w:tc>
          <w:tcPr>
            <w:tcW w:type="dxa" w:w="1760"/>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Coefficient of variation — the standard variability metric — was absent; raw SD was reported instead.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CV added and emphasised; SD retained but de-emphasised. Data-capture percentage added.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described “AGP overlay” is a spaghetti plot, not an AGP; v3 then promised an AGP-styled PDF.</w:t>
            </w:r>
          </w:p>
        </w:tc>
        <w:tc>
          <w:tcPr>
            <w:tcW w:type="dxa" w:w="4100"/>
            <w:tcMar>
              <w:top w:type="dxa" w:w="60"/>
              <w:left w:type="dxa" w:w="100"/>
              <w:bottom w:type="dxa" w:w="60"/>
              <w:right w:type="dxa" w:w="100"/>
            </w:tcMar>
          </w:tcPr>
          <w:p>
            <w:pPr>
              <w:spacing w:after="0" w:line="250"/>
            </w:pPr>
            <w:r>
              <w:rPr>
                <w:b w:val="false"/>
                <w:bCs w:val="false"/>
                <w:sz w:val="20"/>
                <w:szCs w:val="20"/>
              </w:rPr>
              <w:t xml:space="preserve">Percentile-band computation (5/25/50/75/95 in 30-minute bins) specified in v1, making the v3 export a rendering task.</w:t>
            </w:r>
          </w:p>
        </w:tc>
        <w:tc>
          <w:tcPr>
            <w:tcW w:type="dxa" w:w="1760"/>
            <w:tcMar>
              <w:top w:type="dxa" w:w="60"/>
              <w:left w:type="dxa" w:w="100"/>
              <w:bottom w:type="dxa" w:w="60"/>
              <w:right w:type="dxa" w:w="100"/>
            </w:tcMar>
          </w:tcPr>
          <w:p>
            <w:pPr>
              <w:spacing w:after="0" w:line="250"/>
            </w:pPr>
            <w:r>
              <w:rPr>
                <w:b w:val="false"/>
                <w:bCs w:val="false"/>
                <w:sz w:val="20"/>
                <w:szCs w:val="20"/>
              </w:rPr>
              <w:t xml:space="preserve">§3.1.5, §3.3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±20 mg/dL / 80% accuracy target is passed by a naive persistence baseline, so it demonstrates nothing.</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Replaced with mandatory persistence-baseline comparison, zone-stratified error, and a Parkes error grid gate.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§4.4, §10</w:t>
            </w:r>
          </w:p>
        </w:tc>
      </w:tr>
      <w:tr>
        <w:tc>
          <w:tcPr>
            <w:tcW w:type="dxa" w:w="3500"/>
            <w:tcMar>
              <w:top w:type="dxa" w:w="60"/>
              <w:left w:type="dxa" w:w="100"/>
              <w:bottom w:type="dxa" w:w="60"/>
              <w:right w:type="dxa" w:w="100"/>
            </w:tcMar>
          </w:tcPr>
          <w:p>
            <w:pPr>
              <w:spacing w:after="0" w:line="250"/>
            </w:pPr>
            <w:r>
              <w:rPr>
                <w:b w:val="false"/>
                <w:bCs w:val="false"/>
                <w:sz w:val="20"/>
                <w:szCs w:val="20"/>
              </w:rPr>
              <w:t xml:space="preserve">Undamped linear extrapolation overshoots at post-meal peaks and post-correction nadirs — the moments a forecast is actually consulted.</w:t>
            </w:r>
          </w:p>
        </w:tc>
        <w:tc>
          <w:tcPr>
            <w:tcW w:type="dxa" w:w="4100"/>
            <w:tcMar>
              <w:top w:type="dxa" w:w="60"/>
              <w:left w:type="dxa" w:w="100"/>
              <w:bottom w:type="dxa" w:w="60"/>
              <w:right w:type="dxa" w:w="100"/>
            </w:tcMar>
          </w:tcPr>
          <w:p>
            <w:pPr>
              <w:spacing w:after="0" w:line="250"/>
            </w:pPr>
            <w:r>
              <w:rPr>
                <w:b w:val="false"/>
                <w:bCs w:val="false"/>
                <w:sz w:val="20"/>
                <w:szCs w:val="20"/>
              </w:rPr>
              <w:t xml:space="preserve">Exponentially damped projection with a ±4 mg/dL/min slope clamp.</w:t>
            </w:r>
          </w:p>
        </w:tc>
        <w:tc>
          <w:tcPr>
            <w:tcW w:type="dxa" w:w="1760"/>
            <w:tcMar>
              <w:top w:type="dxa" w:w="60"/>
              <w:left w:type="dxa" w:w="100"/>
              <w:bottom w:type="dxa" w:w="60"/>
              <w:right w:type="dxa" w:w="100"/>
            </w:tcMar>
          </w:tcPr>
          <w:p>
            <w:pPr>
              <w:spacing w:after="0" w:line="250"/>
            </w:pPr>
            <w:r>
              <w:rPr>
                <w:b w:val="false"/>
                <w:bCs w:val="false"/>
                <w:sz w:val="20"/>
                <w:szCs w:val="20"/>
              </w:rPr>
              <w:t xml:space="preserve">§3.2.3, §4.4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±1 SD confidence band assumes stationary normal residuals; glucose forecast residuals are strongly heteroscedastic.</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Empirical 10th/90th percentile band from backtested errors, recomputed weekly.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§3.2.3, §4.4, §8</w:t>
            </w:r>
          </w:p>
        </w:tc>
      </w:tr>
    </w:tbl>
    <w:p>
      <w:pPr>
        <w:pStyle w:val="Heading2"/>
        <w:spacing w:after="140" w:before="280"/>
      </w:pPr>
      <w:r>
        <w:rPr>
          <w:b w:val="false"/>
          <w:bCs w:val="false"/>
        </w:rPr>
        <w:t xml:space="preserve">B.3 Internal Contradictions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Dedup rule contradicted itself: §3.1.1 said the earlier timestamp wins, §4.2.3 said the record with the most metadata wins.</w:t>
            </w:r>
          </w:p>
        </w:tc>
        <w:tc>
          <w:tcPr>
            <w:tcW w:type="dxa" w:w="4100"/>
            <w:tcMar>
              <w:top w:type="dxa" w:w="60"/>
              <w:left w:type="dxa" w:w="100"/>
              <w:bottom w:type="dxa" w:w="60"/>
              <w:right w:type="dxa" w:w="100"/>
            </w:tcMar>
          </w:tcPr>
          <w:p>
            <w:pPr>
              <w:spacing w:after="0" w:line="250"/>
            </w:pPr>
            <w:r>
              <w:rPr>
                <w:b w:val="false"/>
                <w:bCs w:val="false"/>
                <w:sz w:val="20"/>
                <w:szCs w:val="20"/>
              </w:rPr>
              <w:t xml:space="preserve">Neither — the records are merged, taking HealthKit's timestamp and Share's trend. Window widened from 60s to ±2.5 min.</w:t>
            </w:r>
          </w:p>
        </w:tc>
        <w:tc>
          <w:tcPr>
            <w:tcW w:type="dxa" w:w="1760"/>
            <w:tcMar>
              <w:top w:type="dxa" w:w="60"/>
              <w:left w:type="dxa" w:w="100"/>
              <w:bottom w:type="dxa" w:w="60"/>
              <w:right w:type="dxa" w:w="100"/>
            </w:tcMar>
          </w:tcPr>
          <w:p>
            <w:pPr>
              <w:spacing w:after="0" w:line="250"/>
            </w:pPr>
            <w:r>
              <w:rPr>
                <w:b w:val="false"/>
                <w:bCs w:val="false"/>
                <w:sz w:val="20"/>
                <w:szCs w:val="20"/>
              </w:rPr>
              <w:t xml:space="preserve">§3.1.1, §4.2.4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Widget and Watch complication appeared in v2 (§3.2.1) and v3 (§3.3, §4.5) simultaneously.</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Consolidated into v2 as §3.2.4 Glanceable Surfaces, with only the full Watch app and StandBy widgets left in v3.</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§3.2.4, §3.3, §4.6, §7</w:t>
            </w:r>
          </w:p>
        </w:tc>
      </w:tr>
      <w:tr>
        <w:tc>
          <w:tcPr>
            <w:tcW w:type="dxa" w:w="3500"/>
            <w:tcMar>
              <w:top w:type="dxa" w:w="60"/>
              <w:left w:type="dxa" w:w="100"/>
              <w:bottom w:type="dxa" w:w="60"/>
              <w:right w:type="dxa" w:w="100"/>
            </w:tcMar>
          </w:tcPr>
          <w:p>
            <w:pPr>
              <w:spacing w:after="0" w:line="250"/>
            </w:pPr>
            <w:r>
              <w:rPr>
                <w:b w:val="false"/>
                <w:bCs w:val="false"/>
                <w:sz w:val="20"/>
                <w:szCs w:val="20"/>
              </w:rPr>
              <w:t xml:space="preserve">§1.3 enforced a safety boundary on glucose alarms, but no alarm feature was specified anywhere in §3.</w:t>
            </w:r>
          </w:p>
        </w:tc>
        <w:tc>
          <w:tcPr>
            <w:tcW w:type="dxa" w:w="4100"/>
            <w:tcMar>
              <w:top w:type="dxa" w:w="60"/>
              <w:left w:type="dxa" w:w="100"/>
              <w:bottom w:type="dxa" w:w="60"/>
              <w:right w:type="dxa" w:w="100"/>
            </w:tcMar>
          </w:tcPr>
          <w:p>
            <w:pPr>
              <w:spacing w:after="0" w:line="250"/>
            </w:pPr>
            <w:r>
              <w:rPr>
                <w:b w:val="false"/>
                <w:bCs w:val="false"/>
                <w:sz w:val="20"/>
                <w:szCs w:val="20"/>
              </w:rPr>
              <w:t xml:space="preserve">Alarms excluded permanently, with the Critical Alerts entitlement as the concrete reason. Replaced by a pull-only predicted-low heads-up.</w:t>
            </w:r>
          </w:p>
        </w:tc>
        <w:tc>
          <w:tcPr>
            <w:tcW w:type="dxa" w:w="1760"/>
            <w:tcMar>
              <w:top w:type="dxa" w:w="60"/>
              <w:left w:type="dxa" w:w="100"/>
              <w:bottom w:type="dxa" w:w="60"/>
              <w:right w:type="dxa" w:w="100"/>
            </w:tcMar>
          </w:tcPr>
          <w:p>
            <w:pPr>
              <w:spacing w:after="0" w:line="250"/>
            </w:pPr>
            <w:r>
              <w:rPr>
                <w:b w:val="false"/>
                <w:bCs w:val="false"/>
                <w:sz w:val="20"/>
                <w:szCs w:val="20"/>
              </w:rPr>
              <w:t xml:space="preserve">§1.2, §1.3, §3.2.3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§2.1 defined the target user as someone maintaining a Share follower account; §4.2.4 defined a fully supported HealthKit-only mode.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Share described as optional throughout.</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§2.1, §4.2.5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§3.1.2 omitted the source badge that §3.1.1 mandates — a v1.1 revision leftover.</w:t>
            </w:r>
          </w:p>
        </w:tc>
        <w:tc>
          <w:tcPr>
            <w:tcW w:type="dxa" w:w="4100"/>
            <w:tcMar>
              <w:top w:type="dxa" w:w="60"/>
              <w:left w:type="dxa" w:w="100"/>
              <w:bottom w:type="dxa" w:w="60"/>
              <w:right w:type="dxa" w:w="100"/>
            </w:tcMar>
          </w:tcPr>
          <w:p>
            <w:pPr>
              <w:spacing w:after="0" w:line="250"/>
            </w:pPr>
            <w:r>
              <w:rPr>
                <w:b w:val="false"/>
                <w:bCs w:val="false"/>
                <w:sz w:val="20"/>
                <w:szCs w:val="20"/>
              </w:rPr>
              <w:t xml:space="preserve">Badge added to the screen spec.</w:t>
            </w:r>
          </w:p>
        </w:tc>
        <w:tc>
          <w:tcPr>
            <w:tcW w:type="dxa" w:w="1760"/>
            <w:tcMar>
              <w:top w:type="dxa" w:w="60"/>
              <w:left w:type="dxa" w:w="100"/>
              <w:bottom w:type="dxa" w:w="60"/>
              <w:right w:type="dxa" w:w="100"/>
            </w:tcMar>
          </w:tcPr>
          <w:p>
            <w:pPr>
              <w:spacing w:after="0" w:line="250"/>
            </w:pPr>
            <w:r>
              <w:rPr>
                <w:b w:val="false"/>
                <w:bCs w:val="false"/>
                <w:sz w:val="20"/>
                <w:szCs w:val="20"/>
              </w:rPr>
              <w:t xml:space="preserve">§3.1.2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§6 Privacy was never updated for the v1.1 dual-source change and said nothing about HealthKit.</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HealthKit handling, export handling, and diagnostics redaction specified.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§6</w:t>
            </w:r>
          </w:p>
        </w:tc>
      </w:tr>
      <w:tr>
        <w:tc>
          <w:tcPr>
            <w:tcW w:type="dxa" w:w="3500"/>
            <w:tcMar>
              <w:top w:type="dxa" w:w="60"/>
              <w:left w:type="dxa" w:w="100"/>
              <w:bottom w:type="dxa" w:w="60"/>
              <w:right w:type="dxa" w:w="100"/>
            </w:tcMar>
          </w:tcPr>
          <w:p>
            <w:pPr>
              <w:spacing w:after="0" w:line="250"/>
            </w:pPr>
            <w:r>
              <w:rPr>
                <w:b w:val="false"/>
                <w:bCs w:val="false"/>
                <w:sz w:val="20"/>
                <w:szCs w:val="20"/>
              </w:rPr>
              <w:t xml:space="preserve">§9 had no success criterion for source failover — the capability the v1.1 architecture rewrite existed to deliver.</w:t>
            </w:r>
          </w:p>
        </w:tc>
        <w:tc>
          <w:tcPr>
            <w:tcW w:type="dxa" w:w="4100"/>
            <w:tcMar>
              <w:top w:type="dxa" w:w="60"/>
              <w:left w:type="dxa" w:w="100"/>
              <w:bottom w:type="dxa" w:w="60"/>
              <w:right w:type="dxa" w:w="100"/>
            </w:tcMar>
          </w:tcPr>
          <w:p>
            <w:pPr>
              <w:spacing w:after="0" w:line="250"/>
            </w:pPr>
            <w:r>
              <w:rPr>
                <w:b w:val="false"/>
                <w:bCs w:val="false"/>
                <w:sz w:val="20"/>
                <w:szCs w:val="20"/>
              </w:rPr>
              <w:t xml:space="preserve">Resilience criterion added: sample completeness and maximum gap duration.</w:t>
            </w:r>
          </w:p>
        </w:tc>
        <w:tc>
          <w:tcPr>
            <w:tcW w:type="dxa" w:w="1760"/>
            <w:tcMar>
              <w:top w:type="dxa" w:w="60"/>
              <w:left w:type="dxa" w:w="100"/>
              <w:bottom w:type="dxa" w:w="60"/>
              <w:right w:type="dxa" w:w="100"/>
            </w:tcMar>
          </w:tcPr>
          <w:p>
            <w:pPr>
              <w:spacing w:after="0" w:line="250"/>
            </w:pPr>
            <w:r>
              <w:rPr>
                <w:b w:val="false"/>
                <w:bCs w:val="false"/>
                <w:sz w:val="20"/>
                <w:szCs w:val="20"/>
              </w:rPr>
              <w:t xml:space="preserve">§10</w:t>
            </w:r>
          </w:p>
        </w:tc>
      </w:tr>
    </w:tbl>
    <w:p>
      <w:pPr>
        <w:pStyle w:val="Heading2"/>
        <w:spacing w:after="140" w:before="280"/>
      </w:pPr>
      <w:r>
        <w:rPr>
          <w:b w:val="false"/>
          <w:bCs w:val="false"/>
        </w:rPr>
        <w:t xml:space="preserve">B.4 Specification Gaps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No sensor lifecycle model; a routine 30-minute G7 warmup would have rendered as a staleness failure every 10 days.</w:t>
            </w:r>
          </w:p>
        </w:tc>
        <w:tc>
          <w:tcPr>
            <w:tcW w:type="dxa" w:w="4100"/>
            <w:tcMar>
              <w:top w:type="dxa" w:w="60"/>
              <w:left w:type="dxa" w:w="100"/>
              <w:bottom w:type="dxa" w:w="60"/>
              <w:right w:type="dxa" w:w="100"/>
            </w:tcMar>
          </w:tcPr>
          <w:p>
            <w:pPr>
              <w:spacing w:after="0" w:line="250"/>
            </w:pPr>
            <w:r>
              <w:rPr>
                <w:b w:val="false"/>
                <w:bCs w:val="false"/>
                <w:sz w:val="20"/>
                <w:szCs w:val="20"/>
              </w:rPr>
              <w:t xml:space="preserve">New §3.1.3 with six explicit states, plus a sensor session dashboard.</w:t>
            </w:r>
          </w:p>
        </w:tc>
        <w:tc>
          <w:tcPr>
            <w:tcW w:type="dxa" w:w="1760"/>
            <w:tcMar>
              <w:top w:type="dxa" w:w="60"/>
              <w:left w:type="dxa" w:w="100"/>
              <w:bottom w:type="dxa" w:w="60"/>
              <w:right w:type="dxa" w:w="100"/>
            </w:tcMar>
          </w:tcPr>
          <w:p>
            <w:pPr>
              <w:spacing w:after="0" w:line="250"/>
            </w:pPr>
            <w:r>
              <w:rPr>
                <w:b w:val="false"/>
                <w:bCs w:val="false"/>
                <w:sz w:val="20"/>
                <w:szCs w:val="20"/>
              </w:rPr>
              <w:t xml:space="preserve">§3.1.2, §3.1.3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No handling for values at the G7's 40–400 mg/dL rails; a bounded sentinel would display as a measurement.</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LOW/HIGH sentinel rendering and model flags.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§3.1.2, §4.2.3, §4.3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Dexcom backfills and revises readings; insert-only persistence accumulates duplicates that corrupt every aggregate.</w:t>
            </w:r>
          </w:p>
        </w:tc>
        <w:tc>
          <w:tcPr>
            <w:tcW w:type="dxa" w:w="4100"/>
            <w:tcMar>
              <w:top w:type="dxa" w:w="60"/>
              <w:left w:type="dxa" w:w="100"/>
              <w:bottom w:type="dxa" w:w="60"/>
              <w:right w:type="dxa" w:w="100"/>
            </w:tcMar>
          </w:tcPr>
          <w:p>
            <w:pPr>
              <w:spacing w:after="0" w:line="250"/>
            </w:pPr>
            <w:r>
              <w:rPr>
                <w:b w:val="false"/>
                <w:bCs w:val="false"/>
                <w:sz w:val="20"/>
                <w:szCs w:val="20"/>
              </w:rPr>
              <w:t xml:space="preserve">Upsert-by-sample-time semantics; HealthKit deletions handled.</w:t>
            </w:r>
          </w:p>
        </w:tc>
        <w:tc>
          <w:tcPr>
            <w:tcW w:type="dxa" w:w="1760"/>
            <w:tcMar>
              <w:top w:type="dxa" w:w="60"/>
              <w:left w:type="dxa" w:w="100"/>
              <w:bottom w:type="dxa" w:w="60"/>
              <w:right w:type="dxa" w:w="100"/>
            </w:tcMar>
          </w:tcPr>
          <w:p>
            <w:pPr>
              <w:spacing w:after="0" w:line="250"/>
            </w:pPr>
            <w:r>
              <w:rPr>
                <w:b w:val="false"/>
                <w:bCs w:val="false"/>
                <w:sz w:val="20"/>
                <w:szCs w:val="20"/>
              </w:rPr>
              <w:t xml:space="preserve">§3.1.1, §4.2.2, §4.2.4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90-day window is ~26,000 points; handing that to Swift Charts stutters, and an unbounded @Query materialises the store into a view body.</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New §4.5: downsampling with min/max preservation, DailyAggregate, bounded predicates.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SwiftData was chosen for migrations, then no migration plan was given despite committed model changes at v2 and v3.</w:t>
            </w:r>
          </w:p>
        </w:tc>
        <w:tc>
          <w:tcPr>
            <w:tcW w:type="dxa" w:w="4100"/>
            <w:tcMar>
              <w:top w:type="dxa" w:w="60"/>
              <w:left w:type="dxa" w:w="100"/>
              <w:bottom w:type="dxa" w:w="60"/>
              <w:right w:type="dxa" w:w="100"/>
            </w:tcMar>
          </w:tcPr>
          <w:p>
            <w:pPr>
              <w:spacing w:after="0" w:line="250"/>
            </w:pPr>
            <w:r>
              <w:rPr>
                <w:b w:val="false"/>
                <w:bCs w:val="false"/>
                <w:sz w:val="20"/>
                <w:szCs w:val="20"/>
              </w:rPr>
              <w:t xml:space="preserve">VersionedSchema and SchemaMigrationPlan from v1, with per-version migration tests.</w:t>
            </w:r>
          </w:p>
        </w:tc>
        <w:tc>
          <w:tcPr>
            <w:tcW w:type="dxa" w:w="1760"/>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No retention policy, and the 90-day backfill window means older data exists only if the app was running.</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Retention policy defined; nothing auto-deleted.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No export or backup before v3 iCloud — a single point of failure for years of irreplaceable medical history.</w:t>
            </w:r>
          </w:p>
        </w:tc>
        <w:tc>
          <w:tcPr>
            <w:tcW w:type="dxa" w:w="4100"/>
            <w:tcMar>
              <w:top w:type="dxa" w:w="60"/>
              <w:left w:type="dxa" w:w="100"/>
              <w:bottom w:type="dxa" w:w="60"/>
              <w:right w:type="dxa" w:w="100"/>
            </w:tcMar>
          </w:tcPr>
          <w:p>
            <w:pPr>
              <w:spacing w:after="0" w:line="250"/>
            </w:pPr>
            <w:r>
              <w:rPr>
                <w:b w:val="false"/>
                <w:bCs w:val="false"/>
                <w:sz w:val="20"/>
                <w:szCs w:val="20"/>
              </w:rPr>
              <w:t xml:space="preserve">New §3.1.7 shipping in v1: CSV/JSON, database backup/restore, Nightscout format.</w:t>
            </w:r>
          </w:p>
        </w:tc>
        <w:tc>
          <w:tcPr>
            <w:tcW w:type="dxa" w:w="1760"/>
            <w:tcMar>
              <w:top w:type="dxa" w:w="60"/>
              <w:left w:type="dxa" w:w="100"/>
              <w:bottom w:type="dxa" w:w="60"/>
              <w:right w:type="dxa" w:w="100"/>
            </w:tcMar>
          </w:tcPr>
          <w:p>
            <w:pPr>
              <w:spacing w:after="0" w:line="250"/>
            </w:pPr>
            <w:r>
              <w:rPr>
                <w:b w:val="false"/>
                <w:bCs w:val="false"/>
                <w:sz w:val="20"/>
                <w:szCs w:val="20"/>
              </w:rPr>
              <w:t xml:space="preserve">§3.1.7,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Exercise was logged with type, duration, and intensity, then used only as a timeline glyph despite being a major driver of glucose response.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Exercise sensitivity multiplier feeds the forecast; HealthKit workouts auto-suggest entries.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§3.2.1, §3.2.3, §4.4</w:t>
            </w:r>
          </w:p>
        </w:tc>
      </w:tr>
      <w:tr>
        <w:tc>
          <w:tcPr>
            <w:tcW w:type="dxa" w:w="3500"/>
            <w:tcMar>
              <w:top w:type="dxa" w:w="60"/>
              <w:left w:type="dxa" w:w="100"/>
              <w:bottom w:type="dxa" w:w="60"/>
              <w:right w:type="dxa" w:w="100"/>
            </w:tcMar>
          </w:tcPr>
          <w:p>
            <w:pPr>
              <w:spacing w:after="0" w:line="250"/>
            </w:pPr>
            <w:r>
              <w:rPr>
                <w:b w:val="false"/>
                <w:bCs w:val="false"/>
                <w:sz w:val="20"/>
                <w:szCs w:val="20"/>
              </w:rPr>
              <w:t xml:space="preserve">Client-side trend thresholds were unspecified, so computed arrows would have disagreed with the official app.</w:t>
            </w:r>
          </w:p>
        </w:tc>
        <w:tc>
          <w:tcPr>
            <w:tcW w:type="dxa" w:w="4100"/>
            <w:tcMar>
              <w:top w:type="dxa" w:w="60"/>
              <w:left w:type="dxa" w:w="100"/>
              <w:bottom w:type="dxa" w:w="60"/>
              <w:right w:type="dxa" w:w="100"/>
            </w:tcMar>
          </w:tcPr>
          <w:p>
            <w:pPr>
              <w:spacing w:after="0" w:line="250"/>
            </w:pPr>
            <w:r>
              <w:rPr>
                <w:b w:val="false"/>
                <w:bCs w:val="false"/>
                <w:sz w:val="20"/>
                <w:szCs w:val="20"/>
              </w:rPr>
              <w:t xml:space="preserve">New §4.2.6 with Dexcom's published rate bands and the non-computable cases.</w:t>
            </w:r>
          </w:p>
        </w:tc>
        <w:tc>
          <w:tcPr>
            <w:tcW w:type="dxa" w:w="1760"/>
            <w:tcMar>
              <w:top w:type="dxa" w:w="60"/>
              <w:left w:type="dxa" w:w="100"/>
              <w:bottom w:type="dxa" w:w="60"/>
              <w:right w:type="dxa" w:w="100"/>
            </w:tcMar>
          </w:tcPr>
          <w:p>
            <w:pPr>
              <w:spacing w:after="0" w:line="250"/>
            </w:pPr>
            <w:r>
              <w:rPr>
                <w:b w:val="false"/>
                <w:bCs w:val="false"/>
                <w:sz w:val="20"/>
                <w:szCs w:val="20"/>
              </w:rPr>
              <w:t xml:space="preserve">§4.2.6</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Trend was described as seven states; the Share API returns ten, including None, NotComputable, and RateOutOfRange.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Non-arrow states specified and given a neutral glyph.</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§3.1.2, §4.2.6</w:t>
            </w:r>
          </w:p>
        </w:tc>
      </w:tr>
      <w:tr>
        <w:tc>
          <w:tcPr>
            <w:tcW w:type="dxa" w:w="3500"/>
            <w:tcMar>
              <w:top w:type="dxa" w:w="60"/>
              <w:left w:type="dxa" w:w="100"/>
              <w:bottom w:type="dxa" w:w="60"/>
              <w:right w:type="dxa" w:w="100"/>
            </w:tcMar>
          </w:tcPr>
          <w:p>
            <w:pPr>
              <w:spacing w:after="0" w:line="250"/>
            </w:pPr>
            <w:r>
              <w:rPr>
                <w:b w:val="false"/>
                <w:bCs w:val="false"/>
                <w:sz w:val="20"/>
                <w:szCs w:val="20"/>
              </w:rPr>
              <w:t xml:space="preserve">VoiceOver and chart accessibility unaddressed; Swift Charts is opaque to screen readers by default.</w:t>
            </w:r>
          </w:p>
        </w:tc>
        <w:tc>
          <w:tcPr>
            <w:tcW w:type="dxa" w:w="4100"/>
            <w:tcMar>
              <w:top w:type="dxa" w:w="60"/>
              <w:left w:type="dxa" w:w="100"/>
              <w:bottom w:type="dxa" w:w="60"/>
              <w:right w:type="dxa" w:w="100"/>
            </w:tcMar>
          </w:tcPr>
          <w:p>
            <w:pPr>
              <w:spacing w:after="0" w:line="250"/>
            </w:pPr>
            <w:r>
              <w:rPr>
                <w:b w:val="false"/>
                <w:bCs w:val="false"/>
                <w:sz w:val="20"/>
                <w:szCs w:val="20"/>
              </w:rPr>
              <w:t xml:space="preserve">New §5.4, including AXChartDescriptor, composed hero labels, and Reduce Motion / Increase Contrast behaviour.</w:t>
            </w:r>
          </w:p>
        </w:tc>
        <w:tc>
          <w:tcPr>
            <w:tcW w:type="dxa" w:w="1760"/>
            <w:tcMar>
              <w:top w:type="dxa" w:w="60"/>
              <w:left w:type="dxa" w:w="100"/>
              <w:bottom w:type="dxa" w:w="60"/>
              <w:right w:type="dxa" w:w="100"/>
            </w:tcMar>
          </w:tcPr>
          <w:p>
            <w:pPr>
              <w:spacing w:after="0" w:line="250"/>
            </w:pPr>
            <w:r>
              <w:rPr>
                <w:b w:val="false"/>
                <w:bCs w:val="false"/>
                <w:sz w:val="20"/>
                <w:szCs w:val="20"/>
              </w:rPr>
              <w:t xml:space="preserve">§5.4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96pt hero number cannot survive accessibility Dynamic Type sizes.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Scaling cap with layout reflow, verified at AX5.</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claim that HealthKit glucose lags 15–30 minutes was a G6-era figure driving the entire architecture, and was never verified for G7.</w:t>
            </w:r>
          </w:p>
        </w:tc>
        <w:tc>
          <w:tcPr>
            <w:tcW w:type="dxa" w:w="4100"/>
            <w:tcMar>
              <w:top w:type="dxa" w:w="60"/>
              <w:left w:type="dxa" w:w="100"/>
              <w:bottom w:type="dxa" w:w="60"/>
              <w:right w:type="dxa" w:w="100"/>
            </w:tcMar>
          </w:tcPr>
          <w:p>
            <w:pPr>
              <w:spacing w:after="0" w:line="250"/>
            </w:pPr>
            <w:r>
              <w:rPr>
                <w:b w:val="false"/>
                <w:bCs w:val="false"/>
                <w:sz w:val="20"/>
                <w:szCs w:val="20"/>
              </w:rPr>
              <w:t xml:space="preserve">Made an explicit Phase 1 measurement with a defined method and a blocking exit criterion; downstream product decisions named.</w:t>
            </w:r>
          </w:p>
        </w:tc>
        <w:tc>
          <w:tcPr>
            <w:tcW w:type="dxa" w:w="1760"/>
            <w:tcMar>
              <w:top w:type="dxa" w:w="60"/>
              <w:left w:type="dxa" w:w="100"/>
              <w:bottom w:type="dxa" w:w="60"/>
              <w:right w:type="dxa" w:w="100"/>
            </w:tcMar>
          </w:tcPr>
          <w:p>
            <w:pPr>
              <w:spacing w:after="0" w:line="250"/>
            </w:pPr>
            <w:r>
              <w:rPr>
                <w:b w:val="false"/>
                <w:bCs w:val="false"/>
                <w:sz w:val="20"/>
                <w:szCs w:val="20"/>
              </w:rPr>
              <w:t xml:space="preserve">§1.3, §4.2.2, §7, §9</w:t>
            </w:r>
          </w:p>
        </w:tc>
      </w:tr>
    </w:tbl>
    <w:p>
      <w:pPr>
        <w:pStyle w:val="Heading2"/>
        <w:spacing w:after="140" w:before="280"/>
      </w:pPr>
      <w:r>
        <w:rPr>
          <w:b w:val="false"/>
          <w:bCs w:val="false"/>
        </w:rPr>
        <w:t xml:space="preserve">B.5 Corrections &amp; Refinements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range.low (#FF453A) and range.urgent (#FF2D55) are near-identical hues, and that is the most safety-critical distinction in the app.</w:t>
            </w:r>
          </w:p>
        </w:tc>
        <w:tc>
          <w:tcPr>
            <w:tcW w:type="dxa" w:w="4100"/>
            <w:tcMar>
              <w:top w:type="dxa" w:w="60"/>
              <w:left w:type="dxa" w:w="100"/>
              <w:bottom w:type="dxa" w:w="60"/>
              <w:right w:type="dxa" w:w="100"/>
            </w:tcMar>
          </w:tcPr>
          <w:p>
            <w:pPr>
              <w:spacing w:after="0" w:line="250"/>
            </w:pPr>
            <w:r>
              <w:rPr>
                <w:b w:val="false"/>
                <w:bCs w:val="false"/>
                <w:sz w:val="20"/>
                <w:szCs w:val="20"/>
              </w:rPr>
              <w:t xml:space="preserve">Urgent distinguished by treatment rather than hue: fill-plus-white-text versus coloured text, plus a distinct glyph.</w:t>
            </w:r>
          </w:p>
        </w:tc>
        <w:tc>
          <w:tcPr>
            <w:tcW w:type="dxa" w:w="1760"/>
            <w:tcMar>
              <w:top w:type="dxa" w:w="60"/>
              <w:left w:type="dxa" w:w="100"/>
              <w:bottom w:type="dxa" w:w="60"/>
              <w:right w:type="dxa" w:w="100"/>
            </w:tcMar>
          </w:tcPr>
          <w:p>
            <w:pPr>
              <w:spacing w:after="0" w:line="250"/>
            </w:pPr>
            <w:r>
              <w:rPr>
                <w:b w:val="false"/>
                <w:bCs w:val="false"/>
                <w:sz w:val="20"/>
                <w:szCs w:val="20"/>
              </w:rPr>
              <w:t xml:space="preserve">§5.1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Freshness text — the most safety-relevant string on screen — used the dimmest token in the system at 13pt.</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New text.freshness token; measured contrast reported.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“96pt Bold is a true OLED-friendly weight” is backwards; a heavier glyph lights more pixels and increases night glare.</w:t>
            </w:r>
          </w:p>
        </w:tc>
        <w:tc>
          <w:tcPr>
            <w:tcW w:type="dxa" w:w="4100"/>
            <w:tcMar>
              <w:top w:type="dxa" w:w="60"/>
              <w:left w:type="dxa" w:w="100"/>
              <w:bottom w:type="dxa" w:w="60"/>
              <w:right w:type="dxa" w:w="100"/>
            </w:tcMar>
          </w:tcPr>
          <w:p>
            <w:pPr>
              <w:spacing w:after="0" w:line="250"/>
            </w:pPr>
            <w:r>
              <w:rPr>
                <w:b w:val="false"/>
                <w:bCs w:val="false"/>
                <w:sz w:val="20"/>
                <w:szCs w:val="20"/>
              </w:rPr>
              <w:t xml:space="preserve">Rationale corrected; Bold retained for legibility; Bedside Mode drops to Medium.</w:t>
            </w:r>
          </w:p>
        </w:tc>
        <w:tc>
          <w:tcPr>
            <w:tcW w:type="dxa" w:w="1760"/>
            <w:tcMar>
              <w:top w:type="dxa" w:w="60"/>
              <w:left w:type="dxa" w:w="100"/>
              <w:bottom w:type="dxa" w:w="60"/>
              <w:right w:type="dxa" w:w="100"/>
            </w:tcMar>
          </w:tcPr>
          <w:p>
            <w:pPr>
              <w:spacing w:after="0" w:line="250"/>
            </w:pPr>
            <w:r>
              <w:rPr>
                <w:b w:val="false"/>
                <w:bCs w:val="false"/>
                <w:sz w:val="20"/>
                <w:szCs w:val="20"/>
              </w:rPr>
              <w:t xml:space="preserve">§5.2, §5.3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“Single tap anywhere exits Bedside Mode” conflicts with the tappable timeline and fires on accidental wake-taps.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Deliberate exit gesture: two-finger tap or long-press on the hero number.</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Staleness amber at 10 minutes fires on a single missed reading — routine — and trains the user to ignore it.</w:t>
            </w:r>
          </w:p>
        </w:tc>
        <w:tc>
          <w:tcPr>
            <w:tcW w:type="dxa" w:w="4100"/>
            <w:tcMar>
              <w:top w:type="dxa" w:w="60"/>
              <w:left w:type="dxa" w:w="100"/>
              <w:bottom w:type="dxa" w:w="60"/>
              <w:right w:type="dxa" w:w="100"/>
            </w:tcMar>
          </w:tcPr>
          <w:p>
            <w:pPr>
              <w:spacing w:after="0" w:line="250"/>
            </w:pPr>
            <w:r>
              <w:rPr>
                <w:b w:val="false"/>
                <w:bCs w:val="false"/>
                <w:sz w:val="20"/>
                <w:szCs w:val="20"/>
              </w:rPr>
              <w:t xml:space="preserve">Thresholds moved to 12 and 30 minutes; arrow and forecast hidden in the critical state.</w:t>
            </w:r>
          </w:p>
        </w:tc>
        <w:tc>
          <w:tcPr>
            <w:tcW w:type="dxa" w:w="1760"/>
            <w:tcMar>
              <w:top w:type="dxa" w:w="60"/>
              <w:left w:type="dxa" w:w="100"/>
              <w:bottom w:type="dxa" w:w="60"/>
              <w:right w:type="dxa" w:w="100"/>
            </w:tcMar>
          </w:tcPr>
          <w:p>
            <w:pPr>
              <w:spacing w:after="0" w:line="250"/>
            </w:pPr>
            <w:r>
              <w:rPr>
                <w:b w:val="false"/>
                <w:bCs w:val="false"/>
                <w:sz w:val="20"/>
                <w:szCs w:val="20"/>
              </w:rPr>
              <w:t xml:space="preserve">§1.3, §3.1.2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“No third-party servers” is inaccurate while Share is a data source.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Reworded to “no servers beyond Dexcom's own.”</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§6</w:t>
            </w:r>
          </w:p>
        </w:tc>
      </w:tr>
      <w:tr>
        <w:tc>
          <w:tcPr>
            <w:tcW w:type="dxa" w:w="3500"/>
            <w:tcMar>
              <w:top w:type="dxa" w:w="60"/>
              <w:left w:type="dxa" w:w="100"/>
              <w:bottom w:type="dxa" w:w="60"/>
              <w:right w:type="dxa" w:w="100"/>
            </w:tcMar>
          </w:tcPr>
          <w:p>
            <w:pPr>
              <w:spacing w:after="0" w:line="250"/>
            </w:pPr>
            <w:r>
              <w:rPr>
                <w:b w:val="false"/>
                <w:bCs w:val="false"/>
                <w:sz w:val="20"/>
                <w:szCs w:val="20"/>
              </w:rPr>
              <w:t xml:space="preserve">photoData stored inline in SwiftData bloats the store and slows unrelated queries.</w:t>
            </w:r>
          </w:p>
        </w:tc>
        <w:tc>
          <w:tcPr>
            <w:tcW w:type="dxa" w:w="4100"/>
            <w:tcMar>
              <w:top w:type="dxa" w:w="60"/>
              <w:left w:type="dxa" w:w="100"/>
              <w:bottom w:type="dxa" w:w="60"/>
              <w:right w:type="dxa" w:w="100"/>
            </w:tcMar>
          </w:tcPr>
          <w:p>
            <w:pPr>
              <w:spacing w:after="0" w:line="250"/>
            </w:pPr>
            <w:r>
              <w:rPr>
                <w:b w:val="false"/>
                <w:bCs w:val="false"/>
                <w:sz w:val="20"/>
                <w:szCs w:val="20"/>
              </w:rPr>
              <w:t xml:space="preserve">@Attribute(.externalStorage).</w:t>
            </w:r>
          </w:p>
        </w:tc>
        <w:tc>
          <w:tcPr>
            <w:tcW w:type="dxa" w:w="1760"/>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iOS 17 minimum is conservative for a single-user app with no market, and inherits iOS 17 SwiftData's known problems.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Minimum raised to the current major release, with the rationale stated.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Swift 6 strict concurrency and SwiftData interact badly; ModelContext is not Sendable.</w:t>
            </w:r>
          </w:p>
        </w:tc>
        <w:tc>
          <w:tcPr>
            <w:tcW w:type="dxa" w:w="4100"/>
            <w:tcMar>
              <w:top w:type="dxa" w:w="60"/>
              <w:left w:type="dxa" w:w="100"/>
              <w:bottom w:type="dxa" w:w="60"/>
              <w:right w:type="dxa" w:w="100"/>
            </w:tcMar>
          </w:tcPr>
          <w:p>
            <w:pPr>
              <w:spacing w:after="0" w:line="250"/>
            </w:pPr>
            <w:r>
              <w:rPr>
                <w:b w:val="false"/>
                <w:bCs w:val="false"/>
                <w:sz w:val="20"/>
                <w:szCs w:val="20"/>
              </w:rPr>
              <w:t xml:space="preserve">All writes routed through a @ModelActor; noted in the stack table.</w:t>
            </w:r>
          </w:p>
        </w:tc>
        <w:tc>
          <w:tcPr>
            <w:tcW w:type="dxa" w:w="1760"/>
            <w:tcMar>
              <w:top w:type="dxa" w:w="60"/>
              <w:left w:type="dxa" w:w="100"/>
              <w:bottom w:type="dxa" w:w="60"/>
              <w:right w:type="dxa" w:w="100"/>
            </w:tcMar>
          </w:tcPr>
          <w:p>
            <w:pPr>
              <w:spacing w:after="0" w:line="250"/>
            </w:pPr>
            <w:r>
              <w:rPr>
                <w:b w:val="false"/>
                <w:bCs w:val="false"/>
                <w:sz w:val="20"/>
                <w:szCs w:val="20"/>
              </w:rPr>
              <w:t xml:space="preserve">§4.1, §4.3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CI signing in a one-weekend Phase 0 is a disproportionate time sink for a personal app.</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CI does build and test only; signing deferred until TestFlight is actually needed.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§7</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“TIR improves by any measurable amount” is not measurable — TIR swings several points week to week on its own.</w:t>
            </w:r>
          </w:p>
        </w:tc>
        <w:tc>
          <w:tcPr>
            <w:tcW w:type="dxa" w:w="4100"/>
            <w:tcMar>
              <w:top w:type="dxa" w:w="60"/>
              <w:left w:type="dxa" w:w="100"/>
              <w:bottom w:type="dxa" w:w="60"/>
              <w:right w:type="dxa" w:w="100"/>
            </w:tcMar>
          </w:tcPr>
          <w:p>
            <w:pPr>
              <w:spacing w:after="0" w:line="250"/>
            </w:pPr>
            <w:r>
              <w:rPr>
                <w:b w:val="false"/>
                <w:bCs w:val="false"/>
                <w:sz w:val="20"/>
                <w:szCs w:val="20"/>
              </w:rPr>
              <w:t xml:space="preserve">Threshold set at 5 percentage points sustained over 30 days against a defined pre-install baseline; attribution explicitly not claimed.</w:t>
            </w:r>
          </w:p>
        </w:tc>
        <w:tc>
          <w:tcPr>
            <w:tcW w:type="dxa" w:w="1760"/>
            <w:tcMar>
              <w:top w:type="dxa" w:w="60"/>
              <w:left w:type="dxa" w:w="100"/>
              <w:bottom w:type="dxa" w:w="60"/>
              <w:right w:type="dxa" w:w="100"/>
            </w:tcMar>
          </w:tcPr>
          <w:p>
            <w:pPr>
              <w:spacing w:after="0" w:line="250"/>
            </w:pPr>
            <w:r>
              <w:rPr>
                <w:b w:val="false"/>
                <w:bCs w:val="false"/>
                <w:sz w:val="20"/>
                <w:szCs w:val="20"/>
              </w:rPr>
              <w:t xml:space="preserve">§10</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Japan Share endpoint was missing from the region toggle.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share.dexcom.jp added.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§3.1.1, §4.2.3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regulatory position was framed as intent-based; the actual boundary is distribution.</w:t>
            </w:r>
          </w:p>
        </w:tc>
        <w:tc>
          <w:tcPr>
            <w:tcW w:type="dxa" w:w="4100"/>
            <w:tcMar>
              <w:top w:type="dxa" w:w="60"/>
              <w:left w:type="dxa" w:w="100"/>
              <w:bottom w:type="dxa" w:w="60"/>
              <w:right w:type="dxa" w:w="100"/>
            </w:tcMar>
          </w:tcPr>
          <w:p>
            <w:pPr>
              <w:spacing w:after="0" w:line="250"/>
            </w:pPr>
            <w:r>
              <w:rPr>
                <w:b w:val="false"/>
                <w:bCs w:val="false"/>
                <w:sz w:val="20"/>
                <w:szCs w:val="20"/>
              </w:rPr>
              <w:t xml:space="preserve">New §1.4 stating the personal-use position, the line, the ToS issue, and why the official Dexcom API is unusable.</w:t>
            </w:r>
          </w:p>
        </w:tc>
        <w:tc>
          <w:tcPr>
            <w:tcW w:type="dxa" w:w="1760"/>
            <w:tcMar>
              <w:top w:type="dxa" w:w="60"/>
              <w:left w:type="dxa" w:w="100"/>
              <w:bottom w:type="dxa" w:w="60"/>
              <w:right w:type="dxa" w:w="100"/>
            </w:tcMar>
          </w:tcPr>
          <w:p>
            <w:pPr>
              <w:spacing w:after="0" w:line="250"/>
            </w:pPr>
            <w:r>
              <w:rPr>
                <w:b w:val="false"/>
                <w:bCs w:val="false"/>
                <w:sz w:val="20"/>
                <w:szCs w:val="20"/>
              </w:rPr>
              <w:t xml:space="preserve">§1.4</w:t>
            </w:r>
          </w:p>
        </w:tc>
      </w:tr>
    </w:tbl>
    <w:p>
      <w:pPr>
        <w:pStyle w:val="Heading2"/>
        <w:spacing w:after="140" w:before="280"/>
      </w:pPr>
      <w:r>
        <w:rPr>
          <w:b w:val="false"/>
          <w:bCs w:val="false"/>
        </w:rPr>
        <w:t xml:space="preserve">B.6 Features Added</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Feature</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Rationale</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Live Activity and Dynamic Island</w:t>
            </w:r>
          </w:p>
        </w:tc>
        <w:tc>
          <w:tcPr>
            <w:tcW w:type="dxa" w:w="4100"/>
            <w:tcMar>
              <w:top w:type="dxa" w:w="60"/>
              <w:left w:type="dxa" w:w="100"/>
              <w:bottom w:type="dxa" w:w="60"/>
              <w:right w:type="dxa" w:w="100"/>
            </w:tcMar>
          </w:tcPr>
          <w:p>
            <w:pPr>
              <w:spacing w:after="0" w:line="250"/>
            </w:pPr>
            <w:r>
              <w:rPr>
                <w:b w:val="false"/>
                <w:bCs w:val="false"/>
                <w:sz w:val="20"/>
                <w:szCs w:val="20"/>
              </w:rPr>
              <w:t xml:space="preserve">The primary use case is 20–50 daily glances. A persistent Lock Screen reading absorbs most of them without opening anything, and it is the single change that most affects daily experience.</w:t>
            </w:r>
          </w:p>
        </w:tc>
        <w:tc>
          <w:tcPr>
            <w:tcW w:type="dxa" w:w="1760"/>
            <w:tcMar>
              <w:top w:type="dxa" w:w="60"/>
              <w:left w:type="dxa" w:w="100"/>
              <w:bottom w:type="dxa" w:w="60"/>
              <w:right w:type="dxa" w:w="100"/>
            </w:tcMar>
          </w:tcPr>
          <w:p>
            <w:pPr>
              <w:spacing w:after="0" w:line="250"/>
            </w:pPr>
            <w:r>
              <w:rPr>
                <w:b w:val="false"/>
                <w:bCs w:val="false"/>
                <w:sz w:val="20"/>
                <w:szCs w:val="20"/>
              </w:rPr>
              <w:t xml:space="preserve">§3.2.4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Apple Watch complication, reading HealthKit directly</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Glances happen at the wrist. Direct HealthKit access avoids WatchConnectivity, which would make the most-used surface the least fresh.</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§3.2.4 (v2)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App Intents for logging and querying</w:t>
            </w:r>
          </w:p>
        </w:tc>
        <w:tc>
          <w:tcPr>
            <w:tcW w:type="dxa" w:w="4100"/>
            <w:tcMar>
              <w:top w:type="dxa" w:w="60"/>
              <w:left w:type="dxa" w:w="100"/>
              <w:bottom w:type="dxa" w:w="60"/>
              <w:right w:type="dxa" w:w="100"/>
            </w:tcMar>
          </w:tcPr>
          <w:p>
            <w:pPr>
              <w:spacing w:after="0" w:line="250"/>
            </w:pPr>
            <w:r>
              <w:rPr>
                <w:b w:val="false"/>
                <w:bCs w:val="false"/>
                <w:sz w:val="20"/>
                <w:szCs w:val="20"/>
              </w:rPr>
              <w:t xml:space="preserve">The fastest logging path available, serving the sub-30-second target. One implementation yields Siri, Shortcuts, Spotlight, and interactive widgets.</w:t>
            </w:r>
          </w:p>
        </w:tc>
        <w:tc>
          <w:tcPr>
            <w:tcW w:type="dxa" w:w="1760"/>
            <w:tcMar>
              <w:top w:type="dxa" w:w="60"/>
              <w:left w:type="dxa" w:w="100"/>
              <w:bottom w:type="dxa" w:w="60"/>
              <w:right w:type="dxa" w:w="100"/>
            </w:tcMar>
          </w:tcPr>
          <w:p>
            <w:pPr>
              <w:spacing w:after="0" w:line="250"/>
            </w:pPr>
            <w:r>
              <w:rPr>
                <w:b w:val="false"/>
                <w:bCs w:val="false"/>
                <w:sz w:val="20"/>
                <w:szCs w:val="20"/>
              </w:rPr>
              <w:t xml:space="preserve">§3.2.4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Sensor session dashboard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Nearly free once the lifecycle state machine exists, and answers a question that currently requires opening the Dexcom app.</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§3.1.3 (v1)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Meal fingerprinting</w:t>
            </w:r>
          </w:p>
        </w:tc>
        <w:tc>
          <w:tcPr>
            <w:tcW w:type="dxa" w:w="4100"/>
            <w:tcMar>
              <w:top w:type="dxa" w:w="60"/>
              <w:left w:type="dxa" w:w="100"/>
              <w:bottom w:type="dxa" w:w="60"/>
              <w:right w:type="dxa" w:w="100"/>
            </w:tcMar>
          </w:tcPr>
          <w:p>
            <w:pPr>
              <w:spacing w:after="0" w:line="250"/>
            </w:pPr>
            <w:r>
              <w:rPr>
                <w:b w:val="false"/>
                <w:bCs w:val="false"/>
                <w:sz w:val="20"/>
                <w:szCs w:val="20"/>
              </w:rPr>
              <w:t xml:space="preserve">The feature the official app structurally cannot offer, and the payoff that justifies the logging discipline v2 asks for. Promoted from a v3 line item.</w:t>
            </w:r>
          </w:p>
        </w:tc>
        <w:tc>
          <w:tcPr>
            <w:tcW w:type="dxa" w:w="1760"/>
            <w:tcMar>
              <w:top w:type="dxa" w:w="60"/>
              <w:left w:type="dxa" w:w="100"/>
              <w:bottom w:type="dxa" w:w="60"/>
              <w:right w:type="dxa" w:w="100"/>
            </w:tcMar>
          </w:tcPr>
          <w:p>
            <w:pPr>
              <w:spacing w:after="0" w:line="250"/>
            </w:pPr>
            <w:r>
              <w:rPr>
                <w:b w:val="false"/>
                <w:bCs w:val="false"/>
                <w:sz w:val="20"/>
                <w:szCs w:val="20"/>
              </w:rPr>
              <w:t xml:space="preserve">§3.2.5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Overnight report card with compression-low detection</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High value for T1D at low cost; flagging artifacts prevents over-correcting patterns that were never real and keeps them out of the forecast error statistics.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§3.2.6 (v2)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Extended HealthKit context reads (sleep, workouts, steps, carbs, insulin)</w:t>
            </w:r>
          </w:p>
        </w:tc>
        <w:tc>
          <w:tcPr>
            <w:tcW w:type="dxa" w:w="4100"/>
            <w:tcMar>
              <w:top w:type="dxa" w:w="60"/>
              <w:left w:type="dxa" w:w="100"/>
              <w:bottom w:type="dxa" w:w="60"/>
              <w:right w:type="dxa" w:w="100"/>
            </w:tcMar>
          </w:tcPr>
          <w:p>
            <w:pPr>
              <w:spacing w:after="0" w:line="250"/>
            </w:pPr>
            <w:r>
              <w:rPr>
                <w:b w:val="false"/>
                <w:bCs w:val="false"/>
                <w:sz w:val="20"/>
                <w:szCs w:val="20"/>
              </w:rPr>
              <w:t xml:space="preserve">The plumbing already exists. Each read reduces manual logging, which §10 identifies as the primary adoption risk.</w:t>
            </w:r>
          </w:p>
        </w:tc>
        <w:tc>
          <w:tcPr>
            <w:tcW w:type="dxa" w:w="1760"/>
            <w:tcMar>
              <w:top w:type="dxa" w:w="60"/>
              <w:left w:type="dxa" w:w="100"/>
              <w:bottom w:type="dxa" w:w="60"/>
              <w:right w:type="dxa" w:w="100"/>
            </w:tcMar>
          </w:tcPr>
          <w:p>
            <w:pPr>
              <w:spacing w:after="0" w:line="250"/>
            </w:pPr>
            <w:r>
              <w:rPr>
                <w:b w:val="false"/>
                <w:bCs w:val="false"/>
                <w:sz w:val="20"/>
                <w:szCs w:val="20"/>
              </w:rPr>
              <w:t xml:space="preserve">§3.1.1, §3.2.1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Bolus outcome review</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Reuses the prediction engine with no new math, closes the logging-to-learning loop, and stays retrospective — so it serves dosing accuracy without recommending a dose.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§3.2.7 (v2)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Predicted-low heads-up, pull-only</w:t>
            </w:r>
          </w:p>
        </w:tc>
        <w:tc>
          <w:tcPr>
            <w:tcW w:type="dxa" w:w="4100"/>
            <w:tcMar>
              <w:top w:type="dxa" w:w="60"/>
              <w:left w:type="dxa" w:w="100"/>
              <w:bottom w:type="dxa" w:w="60"/>
              <w:right w:type="dxa" w:w="100"/>
            </w:tcMar>
          </w:tcPr>
          <w:p>
            <w:pPr>
              <w:spacing w:after="0" w:line="250"/>
            </w:pPr>
            <w:r>
              <w:rPr>
                <w:b w:val="false"/>
                <w:bCs w:val="false"/>
                <w:sz w:val="20"/>
                <w:szCs w:val="20"/>
              </w:rPr>
              <w:t xml:space="preserve">The most valuable forecast output, delivered without crossing the alarm boundary. The official app keeps the alarm; GlucoNoir keeps the foresight.</w:t>
            </w:r>
          </w:p>
        </w:tc>
        <w:tc>
          <w:tcPr>
            <w:tcW w:type="dxa" w:w="1760"/>
            <w:tcMar>
              <w:top w:type="dxa" w:w="60"/>
              <w:left w:type="dxa" w:w="100"/>
              <w:bottom w:type="dxa" w:w="60"/>
              <w:right w:type="dxa" w:w="100"/>
            </w:tcMar>
          </w:tcPr>
          <w:p>
            <w:pPr>
              <w:spacing w:after="0" w:line="250"/>
            </w:pPr>
            <w:r>
              <w:rPr>
                <w:b w:val="false"/>
                <w:bCs w:val="false"/>
                <w:sz w:val="20"/>
                <w:szCs w:val="20"/>
              </w:rPr>
              <w:t xml:space="preserve">§3.2.3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Auto-generated endo prep</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More useful in a 15-minute appointment than a raw AGP page.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§3.3 (v3)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Replay and simulator mode</w:t>
            </w:r>
          </w:p>
        </w:tc>
        <w:tc>
          <w:tcPr>
            <w:tcW w:type="dxa" w:w="4100"/>
            <w:tcMar>
              <w:top w:type="dxa" w:w="60"/>
              <w:left w:type="dxa" w:w="100"/>
              <w:bottom w:type="dxa" w:w="60"/>
              <w:right w:type="dxa" w:w="100"/>
            </w:tcMar>
          </w:tcPr>
          <w:p>
            <w:pPr>
              <w:spacing w:after="0" w:line="250"/>
            </w:pPr>
            <w:r>
              <w:rPr>
                <w:b w:val="false"/>
                <w:bCs w:val="false"/>
                <w:sz w:val="20"/>
                <w:szCs w:val="20"/>
              </w:rPr>
              <w:t xml:space="preserve">Required to develop during sensor warmup and to make Phase 2's 24-hour failure-injection exit criterion an automated test rather than a vigil.</w:t>
            </w:r>
          </w:p>
        </w:tc>
        <w:tc>
          <w:tcPr>
            <w:tcW w:type="dxa" w:w="1760"/>
            <w:tcMar>
              <w:top w:type="dxa" w:w="60"/>
              <w:left w:type="dxa" w:w="100"/>
              <w:bottom w:type="dxa" w:w="60"/>
              <w:right w:type="dxa" w:w="100"/>
            </w:tcMar>
          </w:tcPr>
          <w:p>
            <w:pPr>
              <w:spacing w:after="0" w:line="250"/>
            </w:pPr>
            <w:r>
              <w:rPr>
                <w:b w:val="false"/>
                <w:bCs w:val="false"/>
                <w:sz w:val="20"/>
                <w:szCs w:val="20"/>
              </w:rPr>
              <w:t xml:space="preserve">§4.5,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Rescue-carb calculator — deliberately excluded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Two lines of code once ISF and ICR exist, and squarely across the §1.2 line. Recorded as a permanent non-goal so future work does not drift into it.</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§1.2</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pPr>
    <w:r>
      <w:rPr>
        <w:color w:val="595959"/>
        <w:sz w:val="18"/>
        <w:szCs w:val="18"/>
      </w:rPr>
      <w:t xml:space="preserve">GlucoNoir PRD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E74B5"/>
      <w:sz w:val="32"/>
      <w:szCs w:val="32"/>
    </w:rPr>
  </w:style>
  <w:style w:type="paragraph" w:styleId="Heading2">
    <w:name w:val="Heading 2"/>
    <w:basedOn w:val="Normal"/>
    <w:next w:val="Normal"/>
    <w:qFormat/>
    <w:pPr>
      <w:spacing w:after="140" w:before="280"/>
    </w:pPr>
    <w:rPr>
      <w:rFonts w:ascii="Calibri" w:cs="Calibri" w:eastAsia="Calibri" w:hAnsi="Calibri"/>
      <w:b/>
      <w:bCs/>
      <w:color w:val="2E74B5"/>
      <w:sz w:val="26"/>
      <w:szCs w:val="26"/>
    </w:rPr>
  </w:style>
  <w:style w:type="paragraph" w:styleId="Heading3">
    <w:name w:val="Heading 3"/>
    <w:basedOn w:val="Normal"/>
    <w:next w:val="Normal"/>
    <w:qFormat/>
    <w:pPr>
      <w:spacing w:after="120" w:before="220"/>
    </w:pPr>
    <w:rPr>
      <w:rFonts w:ascii="Calibri" w:cs="Calibri" w:eastAsia="Calibri" w:hAnsi="Calibri"/>
      <w:b/>
      <w:bC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GlucoNoir PRD v1.2</dc:title>
  <dc:creator>GlucoNoir Project</dc:creator>
  <dc:description>Product Requirements Document for GlucoNoir, a dark-mode Dexcom G7 companion app for iOS.</dc:description>
  <cp:lastModifiedBy>Un-named</cp:lastModifiedBy>
  <cp:revision>1</cp:revision>
  <dcterms:created xsi:type="dcterms:W3CDTF">2026-09-08T02:29:18.298Z</dcterms:created>
  <dcterms:modified xsi:type="dcterms:W3CDTF">2026-09-08T02:29:18.304Z</dcterms:modified>
</cp:coreProperties>
</file>

<file path=docProps/custom.xml><?xml version="1.0" encoding="utf-8"?>
<Properties xmlns="http://schemas.openxmlformats.org/officeDocument/2006/custom-properties" xmlns:vt="http://schemas.openxmlformats.org/officeDocument/2006/docPropsVTypes"/>
</file>