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D78"/>
          <w:sz w:val="56"/>
          <w:szCs w:val="56"/>
        </w:rPr>
        <w:t xml:space="preserve">GlucoNoir</w:t>
      </w:r>
    </w:p>
    <w:p>
      <w:pPr>
        <w:spacing w:after="60"/>
      </w:pPr>
      <w:r>
        <w:rPr>
          <w:color w:val="2E74B5"/>
          <w:sz w:val="28"/>
          <w:szCs w:val="28"/>
        </w:rPr>
        <w:t xml:space="preserve">A Dark-Mode Dexcom G7 Companion App for iOS</w:t>
      </w:r>
    </w:p>
    <w:p>
      <w:pPr>
        <w:pBdr>
          <w:bottom w:val="single" w:color="9CC2E5" w:sz="8" w:space="8"/>
        </w:pBdr>
        <w:spacing w:after="240"/>
      </w:pPr>
      <w:r>
        <w:rPr>
          <w:color w:val="595959"/>
          <w:sz w:val="22"/>
          <w:szCs w:val="22"/>
        </w:rPr>
        <w:t xml:space="preserve">Product Requirements Document  |  v1.3  |  September 2026</w:t>
      </w:r>
    </w:p>
    <w:p>
      <w:pPr>
        <w:pStyle w:val="Heading1"/>
        <w:spacing w:after="160" w:before="360"/>
      </w:pPr>
      <w:r>
        <w:rPr>
          <w:b w:val="false"/>
          <w:bCs w:val="false"/>
        </w:rPr>
        <w:t xml:space="preserve">1. Executive Summary</w:t>
      </w:r>
    </w:p>
    <w:p>
      <w:pPr>
        <w:spacing w:after="120" w:line="276"/>
      </w:pPr>
      <w:r>
        <w:rPr>
          <w:b w:val="false"/>
          <w:bCs w:val="false"/>
        </w:rPr>
        <w:t xml:space="preserve">GlucoNoir is a personal-use iOS application that reads a Dexcom G7 sensor </w:t>
      </w:r>
      <w:r>
        <w:rPr>
          <w:b/>
          <w:bCs/>
        </w:rPr>
        <w:t xml:space="preserve">directly over Bluetooth</w:t>
      </w:r>
      <w:r>
        <w:rPr>
          <w:b w:val="false"/>
          <w:bCs w:val="false"/>
        </w:rPr>
        <w:t xml:space="preserve"> and presents its output in a thoughtfully designed dark-mode interface. Glucose values arrive within seconds of the sensor producing them, with no cloud round-trip and no internet connection required. Apple HealthKit supplies historical backfill only. The app is built for a single user with Type 1 Diabetes (T1D) who wants a less visually fatiguing alternative to the official Dexcom G7 app, plus richer logging and short-horizon glucose prediction features the stock app does not offer.</w:t>
      </w:r>
    </w:p>
    <w:p>
      <w:pPr>
        <w:spacing w:after="120" w:line="276"/>
      </w:pPr>
      <w:r>
        <w:rPr>
          <w:b w:val="false"/>
          <w:bCs w:val="false"/>
        </w:rPr>
        <w:t xml:space="preserve">This document defines scope, features, technical architecture, safety boundaries, and a phased build roadmap. It is intentionally written so any developer (including the author) can pick it up and execute without re-deriving decisions.</w:t>
      </w:r>
    </w:p>
    <w:p>
      <w:pPr>
        <w:spacing w:after="100" w:before="180"/>
      </w:pPr>
      <w:r>
        <w:rPr>
          <w:b/>
          <w:bCs/>
          <w:color w:val="1F4D78"/>
        </w:rPr>
        <w:t xml:space="preserve">Change log v1.3</w:t>
      </w:r>
    </w:p>
    <w:p>
      <w:pPr>
        <w:spacing w:after="120" w:line="276"/>
      </w:pPr>
      <w:r>
        <w:rPr>
          <w:b w:val="false"/>
          <w:bCs w:val="false"/>
        </w:rPr>
        <w:t xml:space="preserve">v1.3 replaces the data-source architecture of both prior revisions. v1.1 and v1.2 were built on an assumption about Apple HealthKit that turns out to be false, and the correct answer for this app is a source neither revision considered.</w:t>
      </w:r>
    </w:p>
    <w:p>
      <w:pPr>
        <w:pStyle w:val="ListParagraph"/>
        <w:numPr>
          <w:ilvl w:val="0"/>
          <w:numId w:val="2"/>
        </w:numPr>
        <w:spacing w:after="80" w:line="276"/>
      </w:pPr>
      <w:r>
        <w:rPr>
          <w:b/>
          <w:bCs/>
        </w:rPr>
        <w:t xml:space="preserve">HealthKit is not a live source and never was.</w:t>
      </w:r>
      <w:r>
        <w:rPr>
          <w:b w:val="false"/>
          <w:bCs w:val="false"/>
        </w:rPr>
        <w:t xml:space="preserve"> Dexcom documents the Apple Health integration as carrying a deliberate </w:t>
      </w:r>
      <w:r>
        <w:rPr>
          <w:b/>
          <w:bCs/>
        </w:rPr>
        <w:t xml:space="preserve">three-hour delay</w:t>
      </w:r>
      <w:r>
        <w:rPr>
          <w:b w:val="false"/>
          <w:bCs w:val="false"/>
        </w:rPr>
        <w:t xml:space="preserve">: “Apple Health receives your Dexcom G7 information after a three-hour delay, not in real time.” v1.1 assumed 15 to 30 minutes of write batching; v1.2 compounded the error by promoting HealthKit to the primary source and the background wake mechanism. Both were wrong. HealthKit is demoted to historical backfill, where a three-hour delay is irrelevant.</w:t>
      </w:r>
    </w:p>
    <w:p>
      <w:pPr>
        <w:pStyle w:val="ListParagraph"/>
        <w:numPr>
          <w:ilvl w:val="0"/>
          <w:numId w:val="2"/>
        </w:numPr>
        <w:spacing w:after="80" w:line="276"/>
      </w:pPr>
      <w:r>
        <w:rPr>
          <w:b/>
          <w:bCs/>
        </w:rPr>
        <w:t xml:space="preserve">Direct Bluetooth is the primary source.</w:t>
      </w:r>
      <w:r>
        <w:rPr>
          <w:b w:val="false"/>
          <w:bCs w:val="false"/>
        </w:rPr>
        <w:t xml:space="preserve"> The G7 broadcasts over BLE and can be read directly using </w:t>
      </w:r>
      <w:r>
        <w:rPr>
          <w:rFonts w:ascii="Consolas" w:cs="Consolas" w:eastAsia="Consolas" w:hAnsi="Consolas"/>
          <w:b w:val="false"/>
          <w:bCs w:val="false"/>
          <w:sz w:val="19"/>
          <w:szCs w:val="19"/>
        </w:rPr>
        <w:t xml:space="preserve">G7SensorKit</w:t>
      </w:r>
      <w:r>
        <w:rPr>
          <w:b w:val="false"/>
          <w:bCs w:val="false"/>
        </w:rPr>
        <w:t xml:space="preserve"> (LoopKit, MIT licensed, actively maintained). Latency drops from minutes to seconds, the app works with </w:t>
      </w:r>
      <w:r>
        <w:rPr>
          <w:b/>
          <w:bCs/>
        </w:rPr>
        <w:t xml:space="preserve">no internet connection at all</w:t>
      </w:r>
      <w:r>
        <w:rPr>
          <w:b w:val="false"/>
          <w:bCs w:val="false"/>
        </w:rPr>
        <w:t xml:space="preserve">, and the sensor supplies trend, algorithm state, and its own forward prediction natively. This directly serves the overnight use case: no wifi dependency, no Dexcom cloud dependency, no upload dependency.</w:t>
      </w:r>
    </w:p>
    <w:p>
      <w:pPr>
        <w:pStyle w:val="ListParagraph"/>
        <w:numPr>
          <w:ilvl w:val="0"/>
          <w:numId w:val="2"/>
        </w:numPr>
        <w:spacing w:after="80" w:line="276"/>
      </w:pPr>
      <w:r>
        <w:rPr>
          <w:b/>
          <w:bCs/>
        </w:rPr>
        <w:t xml:space="preserve">Dexcom Share is demoted to an optional v2 fallback.</w:t>
      </w:r>
      <w:r>
        <w:rPr>
          <w:b w:val="false"/>
          <w:bCs w:val="false"/>
        </w:rPr>
        <w:t xml:space="preserve"> With BLE primary, Share’s remaining value is redundancy, and it carries costs the primary path does not: stored credentials, a network dependency, an undocumented API, and terms-of-service ambiguity. It is specified but deferred.</w:t>
      </w:r>
    </w:p>
    <w:p>
      <w:pPr>
        <w:pStyle w:val="ListParagraph"/>
        <w:numPr>
          <w:ilvl w:val="0"/>
          <w:numId w:val="2"/>
        </w:numPr>
        <w:spacing w:after="80" w:line="276"/>
      </w:pPr>
      <w:r>
        <w:rPr>
          <w:b/>
          <w:bCs/>
        </w:rPr>
        <w:t xml:space="preserve">Share credential model corrected.</w:t>
      </w:r>
      <w:r>
        <w:rPr>
          <w:b w:val="false"/>
          <w:bCs w:val="false"/>
        </w:rPr>
        <w:t xml:space="preserve"> Both prior revisions instructed the developer to use a dedicated follower account. That is wrong: the Share API authenticates with the </w:t>
      </w:r>
      <w:r>
        <w:rPr>
          <w:b/>
          <w:bCs/>
        </w:rPr>
        <w:t xml:space="preserve">account holder’s own credentials</w:t>
      </w:r>
      <w:r>
        <w:rPr>
          <w:b w:val="false"/>
          <w:bCs w:val="false"/>
        </w:rPr>
        <w:t xml:space="preserve">. A follower must merely exist for the Share service to be enabled at all.</w:t>
      </w:r>
    </w:p>
    <w:p>
      <w:pPr>
        <w:pStyle w:val="ListParagraph"/>
        <w:numPr>
          <w:ilvl w:val="0"/>
          <w:numId w:val="2"/>
        </w:numPr>
        <w:spacing w:after="80" w:line="276"/>
      </w:pPr>
      <w:r>
        <w:rPr>
          <w:b/>
          <w:bCs/>
        </w:rPr>
        <w:t xml:space="preserve">Sensor lifecycle states replaced with the real enum.</w:t>
      </w:r>
      <w:r>
        <w:rPr>
          <w:b w:val="false"/>
          <w:bCs w:val="false"/>
        </w:rPr>
        <w:t xml:space="preserve"> v1.2 invented six states. The sensor reports 26 via </w:t>
      </w:r>
      <w:r>
        <w:rPr>
          <w:rFonts w:ascii="Consolas" w:cs="Consolas" w:eastAsia="Consolas" w:hAnsi="Consolas"/>
          <w:b w:val="false"/>
          <w:bCs w:val="false"/>
          <w:sz w:val="19"/>
          <w:szCs w:val="19"/>
        </w:rPr>
        <w:t xml:space="preserve">AlgorithmState</w:t>
      </w:r>
      <w:r>
        <w:rPr>
          <w:b w:val="false"/>
          <w:bCs w:val="false"/>
        </w:rPr>
        <w:t xml:space="preserve">, including distinct sensor-failure modes. The invented list is discarded.</w:t>
      </w:r>
    </w:p>
    <w:p>
      <w:pPr>
        <w:pStyle w:val="ListParagraph"/>
        <w:numPr>
          <w:ilvl w:val="0"/>
          <w:numId w:val="2"/>
        </w:numPr>
        <w:spacing w:after="80" w:line="276"/>
      </w:pPr>
      <w:r>
        <w:rPr>
          <w:b/>
          <w:bCs/>
        </w:rPr>
        <w:t xml:space="preserve">Background wake mechanism changed</w:t>
      </w:r>
      <w:r>
        <w:rPr>
          <w:b w:val="false"/>
          <w:bCs w:val="false"/>
        </w:rPr>
        <w:t xml:space="preserve"> from HealthKit background delivery to CoreBluetooth state preservation and restoration, which is both more appropriate and not subject to HealthKit’s delivery-frequency caps.</w:t>
      </w:r>
    </w:p>
    <w:p>
      <w:pPr>
        <w:pStyle w:val="ListParagraph"/>
        <w:numPr>
          <w:ilvl w:val="0"/>
          <w:numId w:val="2"/>
        </w:numPr>
        <w:spacing w:after="80" w:line="276"/>
      </w:pPr>
      <w:r>
        <w:rPr>
          <w:b/>
          <w:bCs/>
        </w:rPr>
        <w:t xml:space="preserve">Provisioning constraints are now a first-class planning input.</w:t>
      </w:r>
      <w:r>
        <w:rPr>
          <w:b w:val="false"/>
          <w:bCs w:val="false"/>
        </w:rPr>
        <w:t xml:space="preserve"> New §6.1 records what a free Apple personal team permits, because it determines what can ship in v1 versus what waits for a paid membership.</w:t>
      </w:r>
    </w:p>
    <w:p>
      <w:pPr>
        <w:pStyle w:val="ListParagraph"/>
        <w:numPr>
          <w:ilvl w:val="0"/>
          <w:numId w:val="2"/>
        </w:numPr>
        <w:spacing w:after="80" w:line="276"/>
      </w:pPr>
      <w:r>
        <w:rPr>
          <w:b/>
          <w:bCs/>
        </w:rPr>
        <w:t xml:space="preserve">Verified against source, not memory.</w:t>
      </w:r>
      <w:r>
        <w:rPr>
          <w:b w:val="false"/>
          <w:bCs w:val="false"/>
        </w:rPr>
        <w:t xml:space="preserve"> Share endpoints, the </w:t>
      </w:r>
      <w:r>
        <w:rPr>
          <w:rFonts w:ascii="Consolas" w:cs="Consolas" w:eastAsia="Consolas" w:hAnsi="Consolas"/>
          <w:b w:val="false"/>
          <w:bCs w:val="false"/>
          <w:sz w:val="19"/>
          <w:szCs w:val="19"/>
        </w:rPr>
        <w:t xml:space="preserve">applicationId</w:t>
      </w:r>
      <w:r>
        <w:rPr>
          <w:b w:val="false"/>
          <w:bCs w:val="false"/>
        </w:rPr>
        <w:t xml:space="preserve"> constants, the integer-versus-string </w:t>
      </w:r>
      <w:r>
        <w:rPr>
          <w:rFonts w:ascii="Consolas" w:cs="Consolas" w:eastAsia="Consolas" w:hAnsi="Consolas"/>
          <w:b w:val="false"/>
          <w:bCs w:val="false"/>
          <w:sz w:val="19"/>
          <w:szCs w:val="19"/>
        </w:rPr>
        <w:t xml:space="preserve">Trend</w:t>
      </w:r>
      <w:r>
        <w:rPr>
          <w:b w:val="false"/>
          <w:bCs w:val="false"/>
        </w:rPr>
        <w:t xml:space="preserve"> change, and the Microsoft date format were confirmed against pydexcom; the trend thresholds and the 40–400 mg/dL limits were confirmed against G7SensorKit. Two claims carried from v1.2 checked out unchanged; the rest are corrections. See Appendix B.7.</w:t>
      </w:r>
    </w:p>
    <w:p>
      <w:pPr>
        <w:pBdr>
          <w:left w:val="single" w:color="BFD3E6" w:sz="12" w:space="8"/>
        </w:pBdr>
        <w:spacing w:after="160" w:line="260"/>
        <w:ind w:left="180"/>
      </w:pPr>
      <w:r>
        <w:rPr>
          <w:b w:val="false"/>
          <w:bCs w:val="false"/>
          <w:i/>
          <w:iCs/>
          <w:color w:val="595959"/>
          <w:sz w:val="20"/>
          <w:szCs w:val="20"/>
        </w:rPr>
        <w:t xml:space="preserve">The v1.2 change log is preserved in Appendix B, which logs every finding from both review passes.</w:t>
      </w:r>
    </w:p>
    <w:p>
      <w:pPr>
        <w:pStyle w:val="Heading2"/>
        <w:spacing w:after="140" w:before="280"/>
      </w:pPr>
      <w:r>
        <w:rPr>
          <w:b w:val="false"/>
          <w:bCs w:val="false"/>
        </w:rPr>
        <w:t xml:space="preserve">1.1 Problem Statement</w:t>
      </w:r>
    </w:p>
    <w:p>
      <w:pPr>
        <w:pStyle w:val="ListParagraph"/>
        <w:numPr>
          <w:ilvl w:val="0"/>
          <w:numId w:val="2"/>
        </w:numPr>
        <w:spacing w:after="80" w:line="276"/>
      </w:pPr>
      <w:r>
        <w:rPr>
          <w:b w:val="false"/>
          <w:bCs w:val="false"/>
        </w:rPr>
        <w:t xml:space="preserve">The official Dexcom G7 app uses a bright white interface that causes eye strain in low-light conditions and at night, when glucose checks are most frequent.</w:t>
      </w:r>
    </w:p>
    <w:p>
      <w:pPr>
        <w:pStyle w:val="ListParagraph"/>
        <w:numPr>
          <w:ilvl w:val="0"/>
          <w:numId w:val="2"/>
        </w:numPr>
        <w:spacing w:after="80" w:line="276"/>
      </w:pPr>
      <w:r>
        <w:rPr>
          <w:b w:val="false"/>
          <w:bCs w:val="false"/>
        </w:rPr>
        <w:t xml:space="preserve">It does not offer integrated meal, insulin, or exercise logging in a single timeline view.</w:t>
      </w:r>
    </w:p>
    <w:p>
      <w:pPr>
        <w:pStyle w:val="ListParagraph"/>
        <w:numPr>
          <w:ilvl w:val="0"/>
          <w:numId w:val="2"/>
        </w:numPr>
        <w:spacing w:after="80" w:line="276"/>
      </w:pPr>
      <w:r>
        <w:rPr>
          <w:b w:val="false"/>
          <w:bCs w:val="false"/>
        </w:rPr>
        <w:t xml:space="preserve">It does not surface short-term glucose trajectory predictions beyond the standard trend arrow.</w:t>
      </w:r>
    </w:p>
    <w:p>
      <w:pPr>
        <w:pStyle w:val="ListParagraph"/>
        <w:numPr>
          <w:ilvl w:val="0"/>
          <w:numId w:val="2"/>
        </w:numPr>
        <w:spacing w:after="80" w:line="276"/>
      </w:pPr>
      <w:r>
        <w:rPr>
          <w:b w:val="false"/>
          <w:bCs w:val="false"/>
        </w:rPr>
        <w:t xml:space="preserve">It does not adapt to system appearance (light/dark mode toggle).</w:t>
      </w:r>
    </w:p>
    <w:p>
      <w:pPr>
        <w:pStyle w:val="ListParagraph"/>
        <w:numPr>
          <w:ilvl w:val="0"/>
          <w:numId w:val="2"/>
        </w:numPr>
        <w:spacing w:after="80" w:line="276"/>
      </w:pPr>
      <w:r>
        <w:rPr>
          <w:b w:val="false"/>
          <w:bCs w:val="false"/>
        </w:rPr>
        <w:t xml:space="preserve">It does not surface historical response to a repeated meal, which is the single most actionable pattern available from combined CGM and log data.</w:t>
      </w:r>
    </w:p>
    <w:p>
      <w:pPr>
        <w:pStyle w:val="Heading2"/>
        <w:spacing w:after="140" w:before="280"/>
      </w:pPr>
      <w:r>
        <w:rPr>
          <w:b w:val="false"/>
          <w:bCs w:val="false"/>
        </w:rPr>
        <w:t xml:space="preserve">1.2 Goals &amp; Non-Goals</w:t>
      </w:r>
    </w:p>
    <w:p>
      <w:pPr>
        <w:pStyle w:val="Heading3"/>
        <w:spacing w:after="120" w:before="220"/>
      </w:pPr>
      <w:r>
        <w:rPr>
          <w:b w:val="false"/>
          <w:bCs w:val="false"/>
        </w:rPr>
        <w:t xml:space="preserve">Goals</w:t>
      </w:r>
    </w:p>
    <w:p>
      <w:pPr>
        <w:pStyle w:val="ListParagraph"/>
        <w:numPr>
          <w:ilvl w:val="0"/>
          <w:numId w:val="2"/>
        </w:numPr>
        <w:spacing w:after="80" w:line="276"/>
      </w:pPr>
      <w:r>
        <w:rPr>
          <w:b/>
          <w:bCs/>
        </w:rPr>
        <w:t xml:space="preserve">Primary:</w:t>
      </w:r>
      <w:r>
        <w:rPr>
          <w:b w:val="false"/>
          <w:bCs w:val="false"/>
        </w:rPr>
        <w:t xml:space="preserve"> Build a personal iOS app that displays current and historical Dexcom G7 readings in a true OLED-friendly dark interface that respects iOS system appearance settings.</w:t>
      </w:r>
    </w:p>
    <w:p>
      <w:pPr>
        <w:pStyle w:val="ListParagraph"/>
        <w:numPr>
          <w:ilvl w:val="0"/>
          <w:numId w:val="2"/>
        </w:numPr>
        <w:spacing w:after="80" w:line="276"/>
      </w:pPr>
      <w:r>
        <w:rPr>
          <w:b/>
          <w:bCs/>
        </w:rPr>
        <w:t xml:space="preserve">Secondary:</w:t>
      </w:r>
      <w:r>
        <w:rPr>
          <w:b w:val="false"/>
          <w:bCs w:val="false"/>
        </w:rPr>
        <w:t xml:space="preserve"> Add a unified event log (meals, insulin doses, exercise) overlaid on the glucose timeline.</w:t>
      </w:r>
    </w:p>
    <w:p>
      <w:pPr>
        <w:pStyle w:val="ListParagraph"/>
        <w:numPr>
          <w:ilvl w:val="0"/>
          <w:numId w:val="2"/>
        </w:numPr>
        <w:spacing w:after="80" w:line="276"/>
      </w:pPr>
      <w:r>
        <w:rPr>
          <w:b/>
          <w:bCs/>
        </w:rPr>
        <w:t xml:space="preserve">Tertiary:</w:t>
      </w:r>
      <w:r>
        <w:rPr>
          <w:b w:val="false"/>
          <w:bCs w:val="false"/>
        </w:rPr>
        <w:t xml:space="preserve"> Provide a 15 to 30 minute glucose trajectory forecast using transparent statistical methods (damped linear regression, bi-exponential IOB, linear carb absorption).</w:t>
      </w:r>
    </w:p>
    <w:p>
      <w:pPr>
        <w:pStyle w:val="ListParagraph"/>
        <w:numPr>
          <w:ilvl w:val="0"/>
          <w:numId w:val="2"/>
        </w:numPr>
        <w:spacing w:after="80" w:line="276"/>
      </w:pPr>
      <w:r>
        <w:rPr>
          <w:b/>
          <w:bCs/>
        </w:rPr>
        <w:t xml:space="preserve">Fourth:</w:t>
      </w:r>
      <w:r>
        <w:rPr>
          <w:b w:val="false"/>
          <w:bCs w:val="false"/>
        </w:rPr>
        <w:t xml:space="preserve"> Reduce the number of glances that require opening an app at all, via Live Activity, Lock Screen, and Watch surfaces.</w:t>
      </w:r>
    </w:p>
    <w:p>
      <w:pPr>
        <w:pStyle w:val="Heading3"/>
        <w:spacing w:after="120" w:before="220"/>
      </w:pPr>
      <w:r>
        <w:rPr>
          <w:b w:val="false"/>
          <w:bCs w:val="false"/>
        </w:rPr>
        <w:t xml:space="preserve">Non-Goals</w:t>
      </w:r>
    </w:p>
    <w:p>
      <w:pPr>
        <w:pStyle w:val="ListParagraph"/>
        <w:numPr>
          <w:ilvl w:val="0"/>
          <w:numId w:val="2"/>
        </w:numPr>
        <w:spacing w:after="80" w:line="276"/>
      </w:pPr>
      <w:r>
        <w:rPr>
          <w:b w:val="false"/>
          <w:bCs w:val="false"/>
        </w:rPr>
        <w:t xml:space="preserve">This app is </w:t>
      </w:r>
      <w:r>
        <w:rPr>
          <w:b/>
          <w:bCs/>
        </w:rPr>
        <w:t xml:space="preserve">not a medical device</w:t>
      </w:r>
      <w:r>
        <w:rPr>
          <w:b w:val="false"/>
          <w:bCs w:val="false"/>
        </w:rPr>
        <w:t xml:space="preserve"> and will not be submitted to the App Store as one. See §1.4 for the precise boundary.</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replace the official Dexcom G7 app for low-glucose or high-glucose alarms. Those remain on the stock app, which is FDA-cleared for that purpose.</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implement any alarm or push notification tied to a glucose threshold. See §1.3 for why this is a hard line rather than a deferral.</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calculate insulin doses or recommend medical action. This explicitly includes the tempting adjacent feature of a rescue-carb calculator (“how many grams to get from 62 to 100”): once ISF and ICR exist in the data model that computation is two lines of code, and it is out of scope permanently, not until v3.</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support multiple users or family/follower features.</w:t>
      </w:r>
    </w:p>
    <w:p>
      <w:pPr>
        <w:pStyle w:val="ListParagraph"/>
        <w:numPr>
          <w:ilvl w:val="0"/>
          <w:numId w:val="2"/>
        </w:numPr>
        <w:spacing w:after="80" w:line="276"/>
      </w:pPr>
      <w:r>
        <w:rPr>
          <w:b w:val="false"/>
          <w:bCs w:val="false"/>
        </w:rPr>
        <w:t xml:space="preserve">It will </w:t>
      </w:r>
      <w:r>
        <w:rPr>
          <w:b/>
          <w:bCs/>
        </w:rPr>
        <w:t xml:space="preserve">not</w:t>
      </w:r>
      <w:r>
        <w:rPr>
          <w:b w:val="false"/>
          <w:bCs w:val="false"/>
        </w:rPr>
        <w:t xml:space="preserve"> integrate with, command, or read state from a closed-loop system (Loop, AAPS, iAPS, or a commercial pump). The app is strictly observational.</w:t>
      </w:r>
    </w:p>
    <w:p>
      <w:pPr>
        <w:pBdr>
          <w:left w:val="single" w:color="BFD3E6" w:sz="12" w:space="8"/>
        </w:pBdr>
        <w:spacing w:after="160" w:line="260"/>
        <w:ind w:left="180"/>
      </w:pPr>
      <w:r>
        <w:rPr>
          <w:b w:val="false"/>
          <w:bCs w:val="false"/>
          <w:i/>
          <w:iCs/>
          <w:color w:val="595959"/>
          <w:sz w:val="20"/>
          <w:szCs w:val="20"/>
        </w:rPr>
        <w:t xml:space="preserve">Changed in v1.2: the rescue-carb exclusion and the permanent alarm exclusion are new. Both are boundaries that v1.1 left implicit and that become easy to cross once the prediction engine exists.</w:t>
      </w:r>
    </w:p>
    <w:p>
      <w:pPr>
        <w:pStyle w:val="Heading2"/>
        <w:spacing w:after="140" w:before="280"/>
      </w:pPr>
      <w:r>
        <w:rPr>
          <w:b w:val="false"/>
          <w:bCs w:val="false"/>
        </w:rPr>
        <w:t xml:space="preserve">1.3 Critical Safety Boundary</w:t>
      </w:r>
    </w:p>
    <w:p>
      <w:pPr>
        <w:spacing w:after="120" w:line="276"/>
      </w:pPr>
      <w:r>
        <w:rPr>
          <w:b w:val="false"/>
          <w:bCs w:val="false"/>
        </w:rPr>
        <w:t xml:space="preserve">GlucoNoir displays glucose data but </w:t>
      </w:r>
      <w:r>
        <w:rPr>
          <w:b/>
          <w:bCs/>
        </w:rPr>
        <w:t xml:space="preserve">does not alarm on it</w:t>
      </w:r>
      <w:r>
        <w:rPr>
          <w:b w:val="false"/>
          <w:bCs w:val="false"/>
        </w:rPr>
        <w:t xml:space="preserve">. The official Dexcom G7 app remains the sole source of low-glucose and high-glucose alerts, and it stays installed and running — GlucoNoir depends on it for sensor pairing regardless (§3.1.1).</w:t>
      </w:r>
    </w:p>
    <w:p>
      <w:pPr>
        <w:spacing w:after="120" w:line="276"/>
      </w:pPr>
      <w:r>
        <w:rPr>
          <w:b w:val="false"/>
          <w:bCs w:val="false"/>
        </w:rPr>
        <w:t xml:space="preserve">The freshness picture changed substantially in v1.3, and it changed in the app’s favour:</w:t>
      </w:r>
    </w:p>
    <w:p>
      <w:pPr>
        <w:pStyle w:val="ListParagraph"/>
        <w:numPr>
          <w:ilvl w:val="0"/>
          <w:numId w:val="2"/>
        </w:numPr>
        <w:spacing w:after="80" w:line="276"/>
      </w:pPr>
      <w:r>
        <w:rPr>
          <w:b/>
          <w:bCs/>
        </w:rPr>
        <w:t xml:space="preserve">Direct Bluetooth</w:t>
      </w:r>
      <w:r>
        <w:rPr>
          <w:b w:val="false"/>
          <w:bCs w:val="false"/>
        </w:rPr>
        <w:t xml:space="preserve"> delivers a reading within seconds of the sensor producing it. Every reading carries an </w:t>
      </w:r>
      <w:r>
        <w:rPr>
          <w:rFonts w:ascii="Consolas" w:cs="Consolas" w:eastAsia="Consolas" w:hAnsi="Consolas"/>
          <w:b w:val="false"/>
          <w:bCs w:val="false"/>
          <w:sz w:val="19"/>
          <w:szCs w:val="19"/>
        </w:rPr>
        <w:t xml:space="preserve">age</w:t>
      </w:r>
      <w:r>
        <w:rPr>
          <w:b w:val="false"/>
          <w:bCs w:val="false"/>
        </w:rPr>
        <w:t xml:space="preserve"> field — the exact number of seconds between the sensor measurement and the BLE transmission — so displayed freshness is measured, not estimated. The sensor produces a value every 5 minutes, which is a hard physical floor no source can beat.</w:t>
      </w:r>
    </w:p>
    <w:p>
      <w:pPr>
        <w:pStyle w:val="ListParagraph"/>
        <w:numPr>
          <w:ilvl w:val="0"/>
          <w:numId w:val="2"/>
        </w:numPr>
        <w:spacing w:after="80" w:line="276"/>
      </w:pPr>
      <w:r>
        <w:rPr>
          <w:b/>
          <w:bCs/>
        </w:rPr>
        <w:t xml:space="preserve">Apple HealthKit</w:t>
      </w:r>
      <w:r>
        <w:rPr>
          <w:b w:val="false"/>
          <w:bCs w:val="false"/>
        </w:rPr>
        <w:t xml:space="preserve"> carries a documented three-hour delay and is used only for historical backfill. It is never the source of a displayed current value.</w:t>
      </w:r>
    </w:p>
    <w:p>
      <w:pPr>
        <w:pStyle w:val="ListParagraph"/>
        <w:numPr>
          <w:ilvl w:val="0"/>
          <w:numId w:val="2"/>
        </w:numPr>
        <w:spacing w:after="80" w:line="276"/>
      </w:pPr>
      <w:r>
        <w:rPr>
          <w:b/>
          <w:bCs/>
        </w:rPr>
        <w:t xml:space="preserve">Dexcom Share</w:t>
      </w:r>
      <w:r>
        <w:rPr>
          <w:b w:val="false"/>
          <w:bCs w:val="false"/>
        </w:rPr>
        <w:t xml:space="preserve"> (optional, v2) adds roughly 1 to 8 minutes and depends on the official app uploading, the Dexcom cloud, and a working internet connection.</w:t>
      </w:r>
    </w:p>
    <w:p>
      <w:pPr>
        <w:spacing w:after="120" w:line="276"/>
      </w:pPr>
      <w:r>
        <w:rPr>
          <w:b w:val="false"/>
          <w:bCs w:val="false"/>
        </w:rPr>
        <w:t xml:space="preserve">Even so, no source here is a life-safety alarm. A BLE connection can drop, a sensor can fail, and the app can be killed by the system. The official app is FDA-cleared for alarms and this one is not.</w:t>
      </w:r>
    </w:p>
    <w:p>
      <w:pPr>
        <w:spacing w:after="100" w:before="180"/>
      </w:pPr>
      <w:r>
        <w:rPr>
          <w:b/>
          <w:bCs/>
          <w:color w:val="1F4D78"/>
        </w:rPr>
        <w:t xml:space="preserve">Why alarms are excluded permanently, not deferred</w:t>
      </w:r>
    </w:p>
    <w:p>
      <w:pPr>
        <w:spacing w:after="120" w:line="276"/>
      </w:pPr>
      <w:r>
        <w:rPr>
          <w:b w:val="false"/>
          <w:bCs w:val="false"/>
        </w:rPr>
        <w:t xml:space="preserve">v1.1 described alarms as “supplemental only” but never specified an alarm feature, leaving a governed behaviour that did not exist. The correct resolution is exclusion, for a concrete technical reason:</w:t>
      </w:r>
    </w:p>
    <w:p>
      <w:pPr>
        <w:spacing w:after="120" w:line="276"/>
      </w:pPr>
      <w:r>
        <w:rPr>
          <w:b w:val="false"/>
          <w:bCs w:val="false"/>
        </w:rPr>
        <w:t xml:space="preserve">Breaking through Do Not Disturb, Focus modes, and the ringer switch requires Apple's </w:t>
      </w:r>
      <w:r>
        <w:rPr>
          <w:b/>
          <w:bCs/>
        </w:rPr>
        <w:t xml:space="preserve">Critical Alerts</w:t>
      </w:r>
      <w:r>
        <w:rPr>
          <w:b w:val="false"/>
          <w:bCs w:val="false"/>
        </w:rPr>
        <w:t xml:space="preserve"> entitlement (</w:t>
      </w:r>
      <w:r>
        <w:rPr>
          <w:rFonts w:ascii="Consolas" w:cs="Consolas" w:eastAsia="Consolas" w:hAnsi="Consolas"/>
          <w:b w:val="false"/>
          <w:bCs w:val="false"/>
          <w:sz w:val="19"/>
          <w:szCs w:val="19"/>
        </w:rPr>
        <w:t xml:space="preserve">com.apple.developer.usernotifications.critical</w:t>
      </w:r>
      <w:r>
        <w:rPr>
          <w:b w:val="false"/>
          <w:bCs w:val="false"/>
        </w:rPr>
        <w:t xml:space="preserve">). Apple grants it to a narrow set of cleared medical applications and will not grant it here. Without it, every notification GlucoNoir could send is silently suppressed exactly when it would matter most — overnight. A nighttime alert that fires 80% of the time is more dangerous than no alert at all, because the user begins to rely on it. GlucoNoir therefore ships no glucose-threshold notifications of any kind.</w:t>
      </w:r>
    </w:p>
    <w:p>
      <w:pPr>
        <w:spacing w:after="120" w:line="276"/>
      </w:pPr>
      <w:r>
        <w:rPr>
          <w:b w:val="false"/>
          <w:bCs w:val="false"/>
        </w:rPr>
        <w:t xml:space="preserve">The forecast still surfaces impending lows, but only on surfaces the user is already looking at: the in-app hero area, the Live Activity, and the Watch complication (§3.2.3). This is information the user pulls, never a signal the app pushes.</w:t>
      </w:r>
    </w:p>
    <w:p>
      <w:pPr>
        <w:spacing w:after="100" w:before="180"/>
      </w:pPr>
      <w:r>
        <w:rPr>
          <w:b/>
          <w:bCs/>
          <w:color w:val="1F4D78"/>
        </w:rPr>
        <w:t xml:space="preserve">Staleness enforcement</w:t>
      </w:r>
    </w:p>
    <w:p>
      <w:pPr>
        <w:spacing w:after="120" w:line="276"/>
      </w:pPr>
      <w:r>
        <w:rPr>
          <w:b w:val="false"/>
          <w:bCs w:val="false"/>
        </w:rPr>
        <w:t xml:space="preserve">The UI surfaces data age prominently. Thresholds are set to survive normal signal-loss behaviour without crying wolf: a single missed G7 reading is routine, so a 10-minute warning threshold would fire many times a day and train the user to ignore it.</w:t>
      </w:r>
    </w:p>
    <w:p>
      <w:pPr>
        <w:pStyle w:val="ListParagraph"/>
        <w:numPr>
          <w:ilvl w:val="0"/>
          <w:numId w:val="2"/>
        </w:numPr>
        <w:spacing w:after="80" w:line="276"/>
      </w:pPr>
      <w:r>
        <w:rPr>
          <w:b/>
          <w:bCs/>
        </w:rPr>
        <w:t xml:space="preserve">Fresh:</w:t>
      </w:r>
      <w:r>
        <w:rPr>
          <w:b w:val="false"/>
          <w:bCs w:val="false"/>
        </w:rPr>
        <w:t xml:space="preserve"> newest reading under 12 minutes old. Normal display.</w:t>
      </w:r>
    </w:p>
    <w:p>
      <w:pPr>
        <w:pStyle w:val="ListParagraph"/>
        <w:numPr>
          <w:ilvl w:val="0"/>
          <w:numId w:val="2"/>
        </w:numPr>
        <w:spacing w:after="80" w:line="276"/>
      </w:pPr>
      <w:r>
        <w:rPr>
          <w:b/>
          <w:bCs/>
        </w:rPr>
        <w:t xml:space="preserve">Stale (amber):</w:t>
      </w:r>
      <w:r>
        <w:rPr>
          <w:b w:val="false"/>
          <w:bCs w:val="false"/>
        </w:rPr>
        <w:t xml:space="preserve"> 12 to 30 minutes. Freshness label turns amber; the hero number desaturates.</w:t>
      </w:r>
    </w:p>
    <w:p>
      <w:pPr>
        <w:pStyle w:val="ListParagraph"/>
        <w:numPr>
          <w:ilvl w:val="0"/>
          <w:numId w:val="2"/>
        </w:numPr>
        <w:spacing w:after="80" w:line="276"/>
      </w:pPr>
      <w:r>
        <w:rPr>
          <w:b/>
          <w:bCs/>
        </w:rPr>
        <w:t xml:space="preserve">Critically stale (red):</w:t>
      </w:r>
      <w:r>
        <w:rPr>
          <w:b w:val="false"/>
          <w:bCs w:val="false"/>
        </w:rPr>
        <w:t xml:space="preserve"> over 30 minutes. Hero number is replaced by the last value in a muted treatment with an explicit “open the Dexcom app” prompt. The trend arrow and the forecast are both hidden, because both are meaningless on stale data.</w:t>
      </w:r>
    </w:p>
    <w:p>
      <w:pPr>
        <w:pBdr>
          <w:left w:val="single" w:color="BFD3E6" w:sz="12" w:space="8"/>
        </w:pBdr>
        <w:spacing w:after="160" w:line="260"/>
        <w:ind w:left="180"/>
      </w:pPr>
      <w:r>
        <w:rPr>
          <w:b w:val="false"/>
          <w:bCs w:val="false"/>
          <w:i/>
          <w:iCs/>
          <w:color w:val="595959"/>
          <w:sz w:val="20"/>
          <w:szCs w:val="20"/>
        </w:rPr>
        <w:t xml:space="preserve">Changed in v1.2: thresholds moved from 10/20 minutes to 12/30. Hiding the forecast and arrow in the critically-stale state is new — v1.1 would have continued extrapolating from an old reading.</w:t>
      </w:r>
    </w:p>
    <w:p>
      <w:pPr>
        <w:spacing w:after="120" w:line="276"/>
      </w:pPr>
      <w:r>
        <w:rPr>
          <w:b w:val="false"/>
          <w:bCs w:val="false"/>
        </w:rPr>
        <w:t xml:space="preserve">An always-visible disclaimer appears on the Settings screen, and the critically-stale state repeats it inline.</w:t>
      </w:r>
    </w:p>
    <w:p>
      <w:pPr>
        <w:pStyle w:val="Heading2"/>
        <w:spacing w:after="140" w:before="280"/>
      </w:pPr>
      <w:r>
        <w:rPr>
          <w:b w:val="false"/>
          <w:bCs w:val="false"/>
        </w:rPr>
        <w:t xml:space="preserve">1.4 Regulatory &amp; Distribution Boundary</w:t>
      </w:r>
    </w:p>
    <w:p>
      <w:pPr>
        <w:pBdr>
          <w:left w:val="single" w:color="BFD3E6" w:sz="12" w:space="8"/>
        </w:pBdr>
        <w:spacing w:after="160" w:line="260"/>
        <w:ind w:left="180"/>
      </w:pPr>
      <w:r>
        <w:rPr>
          <w:b w:val="false"/>
          <w:bCs w:val="false"/>
          <w:i/>
          <w:iCs/>
          <w:color w:val="595959"/>
          <w:sz w:val="20"/>
          <w:szCs w:val="20"/>
        </w:rPr>
        <w:t xml:space="preserve">New in v1.2.</w:t>
      </w:r>
    </w:p>
    <w:p>
      <w:pPr>
        <w:spacing w:after="120" w:line="276"/>
      </w:pPr>
      <w:r>
        <w:rPr>
          <w:b w:val="false"/>
          <w:bCs w:val="false"/>
        </w:rPr>
        <w:t xml:space="preserve">v1.1 asserted that the app is not a medical device. That is correct as long as the boundary is understood to be </w:t>
      </w:r>
      <w:r>
        <w:rPr>
          <w:b/>
          <w:bCs/>
        </w:rPr>
        <w:t xml:space="preserve">distribution</w:t>
      </w:r>
      <w:r>
        <w:rPr>
          <w:b w:val="false"/>
          <w:bCs w:val="false"/>
        </w:rPr>
        <w:t xml:space="preserve">, not intent.</w:t>
      </w:r>
    </w:p>
    <w:p>
      <w:pPr>
        <w:pStyle w:val="ListParagraph"/>
        <w:numPr>
          <w:ilvl w:val="0"/>
          <w:numId w:val="2"/>
        </w:numPr>
        <w:spacing w:after="80" w:line="276"/>
      </w:pPr>
      <w:r>
        <w:rPr>
          <w:b/>
          <w:bCs/>
        </w:rPr>
        <w:t xml:space="preserve">Personal use.</w:t>
      </w:r>
      <w:r>
        <w:rPr>
          <w:b w:val="false"/>
          <w:bCs w:val="false"/>
        </w:rPr>
        <w:t xml:space="preserve"> An application built by an individual, signed with their own account, and installed only on their own devices is not a regulated medical device and not subject to FDA premarket requirements. This is the intended and permanent operating mode for GlucoNoir.</w:t>
      </w:r>
    </w:p>
    <w:p>
      <w:pPr>
        <w:pStyle w:val="ListParagraph"/>
        <w:numPr>
          <w:ilvl w:val="0"/>
          <w:numId w:val="2"/>
        </w:numPr>
        <w:spacing w:after="80" w:line="276"/>
      </w:pPr>
      <w:r>
        <w:rPr>
          <w:b/>
          <w:bCs/>
        </w:rPr>
        <w:t xml:space="preserve">The line.</w:t>
      </w:r>
      <w:r>
        <w:rPr>
          <w:b w:val="false"/>
          <w:bCs w:val="false"/>
        </w:rPr>
        <w:t xml:space="preserve"> Distributing the app to even one other person changes the analysis. Displaying CGM data for someone else is secondary display of CGM output, a category the FDA does regulate (Dexcom's own Follow app is separately cleared). App Review Guideline 1.4.1 additionally covers apps that could cause physical harm through inaccurate data.</w:t>
      </w:r>
    </w:p>
    <w:p>
      <w:pPr>
        <w:pStyle w:val="ListParagraph"/>
        <w:numPr>
          <w:ilvl w:val="0"/>
          <w:numId w:val="2"/>
        </w:numPr>
        <w:spacing w:after="80" w:line="276"/>
      </w:pPr>
      <w:r>
        <w:rPr>
          <w:b/>
          <w:bCs/>
        </w:rPr>
        <w:t xml:space="preserve">Terms of service.</w:t>
      </w:r>
      <w:r>
        <w:rPr>
          <w:b w:val="false"/>
          <w:bCs w:val="false"/>
        </w:rPr>
        <w:t xml:space="preserve"> Changed in v1.3. v1 uses no Dexcom API — the app reads the sensor's own Bluetooth broadcasts and Apple Health, so the Share terms-of-service question does not arise unless the optional §4.2.4 fallback is built. Reading a device you own over BLE occupies a different and considerably more comfortable position than authenticating against an undocumented server API. The same distribution line still applies.</w:t>
      </w:r>
    </w:p>
    <w:p>
      <w:pPr>
        <w:pStyle w:val="ListParagraph"/>
        <w:numPr>
          <w:ilvl w:val="0"/>
          <w:numId w:val="2"/>
        </w:numPr>
        <w:spacing w:after="80" w:line="276"/>
      </w:pPr>
      <w:r>
        <w:rPr>
          <w:b/>
          <w:bCs/>
        </w:rPr>
        <w:t xml:space="preserve">Practical consequence.</w:t>
      </w:r>
      <w:r>
        <w:rPr>
          <w:b w:val="false"/>
          <w:bCs w:val="false"/>
        </w:rPr>
        <w:t xml:space="preserve"> GlucoNoir is installed via personal-team signing or a personal TestFlight build with no external testers. No public TestFlight link, no App Store submission, no sharing of the build.</w:t>
      </w:r>
    </w:p>
    <w:p>
      <w:pPr>
        <w:spacing w:after="100" w:before="180"/>
      </w:pPr>
      <w:r>
        <w:rPr>
          <w:b/>
          <w:bCs/>
          <w:color w:val="1F4D78"/>
        </w:rPr>
        <w:t xml:space="preserve">Why not the official Dexcom Developer API?</w:t>
      </w:r>
    </w:p>
    <w:p>
      <w:pPr>
        <w:spacing w:after="120" w:line="276"/>
      </w:pPr>
      <w:r>
        <w:rPr>
          <w:b w:val="false"/>
          <w:bCs w:val="false"/>
        </w:rPr>
        <w:t xml:space="preserve">This is the first question any future reader will ask. The official Dexcom Developer API (developer.dexcom.com) is documented, supported, and sanctioned — and unusable here, because its data is delivered on a multi-hour delay by design. It is built for retrospective analytics, not live display. The unofficial Share endpoints are the only sanctioned-adjacent path to sub-10-minute data, which is precisely why the Nightscout and xDrip communities settled on them. This is a deliberate, informed trade, not an oversight.</w:t>
      </w:r>
    </w:p>
    <w:p>
      <w:pPr>
        <w:pStyle w:val="Heading1"/>
        <w:spacing w:after="160" w:before="360"/>
      </w:pPr>
      <w:r>
        <w:rPr>
          <w:b w:val="false"/>
          <w:bCs w:val="false"/>
        </w:rPr>
        <w:t xml:space="preserve">2. User &amp; Use Cases</w:t>
      </w:r>
    </w:p>
    <w:p>
      <w:pPr>
        <w:pStyle w:val="Heading2"/>
        <w:spacing w:after="140" w:before="280"/>
      </w:pPr>
      <w:r>
        <w:rPr>
          <w:b w:val="false"/>
          <w:bCs w:val="false"/>
        </w:rPr>
        <w:t xml:space="preserve">2.1 Target User</w:t>
      </w:r>
    </w:p>
    <w:p>
      <w:pPr>
        <w:spacing w:after="120" w:line="276"/>
      </w:pPr>
      <w:r>
        <w:rPr>
          <w:b w:val="false"/>
          <w:bCs w:val="false"/>
        </w:rPr>
        <w:t xml:space="preserve">A single primary user: an adult with Type 1 Diabetes who wears a Dexcom G7, manages insulin manually (MDI or pump, not a closed-loop system this app integrates with), and is comfortable with iOS. Technical sophistication is high enough to build and side-load an app from Xcode, and to re-sign it weekly under free provisioning (§6.1).</w:t>
      </w:r>
    </w:p>
    <w:p>
      <w:pPr>
        <w:spacing w:after="120" w:line="276"/>
      </w:pPr>
      <w:r>
        <w:rPr>
          <w:b w:val="false"/>
          <w:bCs w:val="false"/>
        </w:rPr>
        <w:t xml:space="preserve">The user keeps the official Dexcom G7 app installed and running. This is not optional: it owns sensor pairing, and it owns the alarms (§1.3, §3.1.1).</w:t>
      </w:r>
    </w:p>
    <w:p>
      <w:pPr>
        <w:spacing w:after="120" w:line="276"/>
      </w:pPr>
      <w:r>
        <w:rPr>
          <w:b/>
          <w:bCs/>
        </w:rPr>
        <w:t xml:space="preserve">This user runs Dexcom Direct to Watch and owns no receiver</w:t>
      </w:r>
      <w:r>
        <w:rPr>
          <w:b w:val="false"/>
          <w:bCs w:val="false"/>
        </w:rPr>
        <w:t xml:space="preserve">, which is what makes the third Bluetooth channel available to GlucoNoir (§3.1.1).</w:t>
      </w:r>
    </w:p>
    <w:p>
      <w:pPr>
        <w:pBdr>
          <w:left w:val="single" w:color="BFD3E6" w:sz="12" w:space="8"/>
        </w:pBdr>
        <w:spacing w:after="160" w:line="260"/>
        <w:ind w:left="180"/>
      </w:pPr>
      <w:r>
        <w:rPr>
          <w:b w:val="false"/>
          <w:bCs w:val="false"/>
          <w:i/>
          <w:iCs/>
          <w:color w:val="595959"/>
          <w:sz w:val="20"/>
          <w:szCs w:val="20"/>
        </w:rPr>
        <w:t xml:space="preserve">Changed in v1.3: v1.1 defined the target user as someone maintaining a Share follower account, which v1.2 corrected to optional. With BLE primary, Share is not part of v1 at all, so the requirement is gone entirely. The real requirements are now the official app and a spare Bluetooth channel.</w:t>
      </w:r>
    </w:p>
    <w:p>
      <w:pPr>
        <w:pStyle w:val="Heading2"/>
        <w:spacing w:after="140" w:before="280"/>
      </w:pPr>
      <w:r>
        <w:rPr>
          <w:b w:val="false"/>
          <w:bCs w:val="false"/>
        </w:rPr>
        <w:t xml:space="preserve">2.2 Primary Use Cases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2600"/>
        <w:gridCol w:w="1700"/>
        <w:gridCol w:w="5060"/>
      </w:tblGrid>
      <w:tr>
        <w:trPr>
          <w:tblHeader/>
        </w:trPr>
        <w:tc>
          <w:tcPr>
            <w:tcW w:type="dxa" w:w="2600"/>
            <w:shd w:fill="DEEAF6" w:color="auto" w:val="clear"/>
            <w:tcMar>
              <w:top w:type="dxa" w:w="60"/>
              <w:left w:type="dxa" w:w="100"/>
              <w:bottom w:type="dxa" w:w="60"/>
              <w:right w:type="dxa" w:w="100"/>
            </w:tcMar>
          </w:tcPr>
          <w:p>
            <w:pPr>
              <w:spacing w:after="0" w:line="250"/>
            </w:pPr>
            <w:r>
              <w:rPr>
                <w:b/>
                <w:bCs/>
                <w:sz w:val="20"/>
                <w:szCs w:val="20"/>
              </w:rPr>
              <w:t xml:space="preserve">Use Case</w:t>
            </w:r>
          </w:p>
        </w:tc>
        <w:tc>
          <w:tcPr>
            <w:tcW w:type="dxa" w:w="1700"/>
            <w:shd w:fill="DEEAF6" w:color="auto" w:val="clear"/>
            <w:tcMar>
              <w:top w:type="dxa" w:w="60"/>
              <w:left w:type="dxa" w:w="100"/>
              <w:bottom w:type="dxa" w:w="60"/>
              <w:right w:type="dxa" w:w="100"/>
            </w:tcMar>
          </w:tcPr>
          <w:p>
            <w:pPr>
              <w:spacing w:after="0" w:line="250"/>
            </w:pPr>
            <w:r>
              <w:rPr>
                <w:b/>
                <w:bCs/>
                <w:sz w:val="20"/>
                <w:szCs w:val="20"/>
              </w:rPr>
              <w:t xml:space="preserve">Frequency</w:t>
            </w:r>
          </w:p>
        </w:tc>
        <w:tc>
          <w:tcPr>
            <w:tcW w:type="dxa" w:w="5060"/>
            <w:shd w:fill="DEEAF6" w:color="auto" w:val="clear"/>
            <w:tcMar>
              <w:top w:type="dxa" w:w="60"/>
              <w:left w:type="dxa" w:w="100"/>
              <w:bottom w:type="dxa" w:w="60"/>
              <w:right w:type="dxa" w:w="100"/>
            </w:tcMar>
          </w:tcPr>
          <w:p>
            <w:pPr>
              <w:spacing w:after="0" w:line="250"/>
            </w:pPr>
            <w:r>
              <w:rPr>
                <w:b/>
                <w:bCs/>
                <w:sz w:val="20"/>
                <w:szCs w:val="20"/>
              </w:rPr>
              <w:t xml:space="preserve">Example</w:t>
            </w:r>
          </w:p>
        </w:tc>
      </w:tr>
      <w:tr>
        <w:tc>
          <w:tcPr>
            <w:tcW w:type="dxa" w:w="2600"/>
            <w:tcMar>
              <w:top w:type="dxa" w:w="60"/>
              <w:left w:type="dxa" w:w="100"/>
              <w:bottom w:type="dxa" w:w="60"/>
              <w:right w:type="dxa" w:w="100"/>
            </w:tcMar>
          </w:tcPr>
          <w:p>
            <w:pPr>
              <w:spacing w:after="0" w:line="250"/>
            </w:pPr>
            <w:r>
              <w:rPr>
                <w:b w:val="false"/>
                <w:bCs w:val="false"/>
                <w:sz w:val="20"/>
                <w:szCs w:val="20"/>
              </w:rPr>
              <w:t xml:space="preserve">Glance at current glucose without opening an app</w:t>
            </w:r>
          </w:p>
        </w:tc>
        <w:tc>
          <w:tcPr>
            <w:tcW w:type="dxa" w:w="1700"/>
            <w:tcMar>
              <w:top w:type="dxa" w:w="60"/>
              <w:left w:type="dxa" w:w="100"/>
              <w:bottom w:type="dxa" w:w="60"/>
              <w:right w:type="dxa" w:w="100"/>
            </w:tcMar>
          </w:tcPr>
          <w:p>
            <w:pPr>
              <w:spacing w:after="0" w:line="250"/>
            </w:pPr>
            <w:r>
              <w:rPr>
                <w:b w:val="false"/>
                <w:bCs w:val="false"/>
                <w:sz w:val="20"/>
                <w:szCs w:val="20"/>
              </w:rPr>
              <w:t xml:space="preserve">20 to 50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Lock Screen, Dynamic Island, or wrist. The dominant case; §3.2.4 exists to serve it.</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Open the app for a considered look</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5 to 10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Wake up, open phone, see number and 3h curve without retina shock.</w:t>
            </w:r>
          </w:p>
        </w:tc>
      </w:tr>
      <w:tr>
        <w:tc>
          <w:tcPr>
            <w:tcW w:type="dxa" w:w="2600"/>
            <w:tcMar>
              <w:top w:type="dxa" w:w="60"/>
              <w:left w:type="dxa" w:w="100"/>
              <w:bottom w:type="dxa" w:w="60"/>
              <w:right w:type="dxa" w:w="100"/>
            </w:tcMar>
          </w:tcPr>
          <w:p>
            <w:pPr>
              <w:spacing w:after="0" w:line="250"/>
            </w:pPr>
            <w:r>
              <w:rPr>
                <w:b w:val="false"/>
                <w:bCs w:val="false"/>
                <w:sz w:val="20"/>
                <w:szCs w:val="20"/>
              </w:rPr>
              <w:t xml:space="preserve">Check trajectory before activity</w:t>
            </w:r>
          </w:p>
        </w:tc>
        <w:tc>
          <w:tcPr>
            <w:tcW w:type="dxa" w:w="1700"/>
            <w:tcMar>
              <w:top w:type="dxa" w:w="60"/>
              <w:left w:type="dxa" w:w="100"/>
              <w:bottom w:type="dxa" w:w="60"/>
              <w:right w:type="dxa" w:w="100"/>
            </w:tcMar>
          </w:tcPr>
          <w:p>
            <w:pPr>
              <w:spacing w:after="0" w:line="250"/>
            </w:pPr>
            <w:r>
              <w:rPr>
                <w:b w:val="false"/>
                <w:bCs w:val="false"/>
                <w:sz w:val="20"/>
                <w:szCs w:val="20"/>
              </w:rPr>
              <w:t xml:space="preserve">3 to 8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Before meals, exercise, driving, sleeping.</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Log a meal with carb estimate</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3 to 5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Snap photo, enter carbs, mark insulin dose.</w:t>
            </w:r>
          </w:p>
        </w:tc>
      </w:tr>
      <w:tr>
        <w:tc>
          <w:tcPr>
            <w:tcW w:type="dxa" w:w="2600"/>
            <w:tcMar>
              <w:top w:type="dxa" w:w="60"/>
              <w:left w:type="dxa" w:w="100"/>
              <w:bottom w:type="dxa" w:w="60"/>
              <w:right w:type="dxa" w:w="100"/>
            </w:tcMar>
          </w:tcPr>
          <w:p>
            <w:pPr>
              <w:spacing w:after="0" w:line="250"/>
            </w:pPr>
            <w:r>
              <w:rPr>
                <w:b w:val="false"/>
                <w:bCs w:val="false"/>
                <w:sz w:val="20"/>
                <w:szCs w:val="20"/>
              </w:rPr>
              <w:t xml:space="preserve">Log an insulin dose</w:t>
            </w:r>
          </w:p>
        </w:tc>
        <w:tc>
          <w:tcPr>
            <w:tcW w:type="dxa" w:w="1700"/>
            <w:tcMar>
              <w:top w:type="dxa" w:w="60"/>
              <w:left w:type="dxa" w:w="100"/>
              <w:bottom w:type="dxa" w:w="60"/>
              <w:right w:type="dxa" w:w="100"/>
            </w:tcMar>
          </w:tcPr>
          <w:p>
            <w:pPr>
              <w:spacing w:after="0" w:line="250"/>
            </w:pPr>
            <w:r>
              <w:rPr>
                <w:b w:val="false"/>
                <w:bCs w:val="false"/>
                <w:sz w:val="20"/>
                <w:szCs w:val="20"/>
              </w:rPr>
              <w:t xml:space="preserve">4 to 8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Bolus or correction, tied to a timestamp.</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Log exercise</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0 to 2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Type, duration, intensity. Auto-suggested from HealthKit workouts.</w:t>
            </w:r>
          </w:p>
        </w:tc>
      </w:tr>
      <w:tr>
        <w:tc>
          <w:tcPr>
            <w:tcW w:type="dxa" w:w="2600"/>
            <w:tcMar>
              <w:top w:type="dxa" w:w="60"/>
              <w:left w:type="dxa" w:w="100"/>
              <w:bottom w:type="dxa" w:w="60"/>
              <w:right w:type="dxa" w:w="100"/>
            </w:tcMar>
          </w:tcPr>
          <w:p>
            <w:pPr>
              <w:spacing w:after="0" w:line="250"/>
            </w:pPr>
            <w:r>
              <w:rPr>
                <w:b w:val="false"/>
                <w:bCs w:val="false"/>
                <w:sz w:val="20"/>
                <w:szCs w:val="20"/>
              </w:rPr>
              <w:t xml:space="preserve">Review last 24h pattern</w:t>
            </w:r>
          </w:p>
        </w:tc>
        <w:tc>
          <w:tcPr>
            <w:tcW w:type="dxa" w:w="1700"/>
            <w:tcMar>
              <w:top w:type="dxa" w:w="60"/>
              <w:left w:type="dxa" w:w="100"/>
              <w:bottom w:type="dxa" w:w="60"/>
              <w:right w:type="dxa" w:w="100"/>
            </w:tcMar>
          </w:tcPr>
          <w:p>
            <w:pPr>
              <w:spacing w:after="0" w:line="250"/>
            </w:pPr>
            <w:r>
              <w:rPr>
                <w:b w:val="false"/>
                <w:bCs w:val="false"/>
                <w:sz w:val="20"/>
                <w:szCs w:val="20"/>
              </w:rPr>
              <w:t xml:space="preserve">1 to 2 times per day</w:t>
            </w:r>
          </w:p>
        </w:tc>
        <w:tc>
          <w:tcPr>
            <w:tcW w:type="dxa" w:w="5060"/>
            <w:tcMar>
              <w:top w:type="dxa" w:w="60"/>
              <w:left w:type="dxa" w:w="100"/>
              <w:bottom w:type="dxa" w:w="60"/>
              <w:right w:type="dxa" w:w="100"/>
            </w:tcMar>
          </w:tcPr>
          <w:p>
            <w:pPr>
              <w:spacing w:after="0" w:line="250"/>
            </w:pPr>
            <w:r>
              <w:rPr>
                <w:b w:val="false"/>
                <w:bCs w:val="false"/>
                <w:sz w:val="20"/>
                <w:szCs w:val="20"/>
              </w:rPr>
              <w:t xml:space="preserve">Identify spikes, post-meal curves, overnight trends.</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Check a repeated meal's history</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1 to 3 times per day</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“What did this do to me last four times?” before dosing.</w:t>
            </w:r>
          </w:p>
        </w:tc>
      </w:tr>
      <w:tr>
        <w:tc>
          <w:tcPr>
            <w:tcW w:type="dxa" w:w="2600"/>
            <w:tcMar>
              <w:top w:type="dxa" w:w="60"/>
              <w:left w:type="dxa" w:w="100"/>
              <w:bottom w:type="dxa" w:w="60"/>
              <w:right w:type="dxa" w:w="100"/>
            </w:tcMar>
          </w:tcPr>
          <w:p>
            <w:pPr>
              <w:spacing w:after="0" w:line="250"/>
            </w:pPr>
            <w:r>
              <w:rPr>
                <w:b w:val="false"/>
                <w:bCs w:val="false"/>
                <w:sz w:val="20"/>
                <w:szCs w:val="20"/>
              </w:rPr>
              <w:t xml:space="preserve">Review last 14 or 30 days</w:t>
            </w:r>
          </w:p>
        </w:tc>
        <w:tc>
          <w:tcPr>
            <w:tcW w:type="dxa" w:w="1700"/>
            <w:tcMar>
              <w:top w:type="dxa" w:w="60"/>
              <w:left w:type="dxa" w:w="100"/>
              <w:bottom w:type="dxa" w:w="60"/>
              <w:right w:type="dxa" w:w="100"/>
            </w:tcMar>
          </w:tcPr>
          <w:p>
            <w:pPr>
              <w:spacing w:after="0" w:line="250"/>
            </w:pPr>
            <w:r>
              <w:rPr>
                <w:b w:val="false"/>
                <w:bCs w:val="false"/>
                <w:sz w:val="20"/>
                <w:szCs w:val="20"/>
              </w:rPr>
              <w:t xml:space="preserve">1 to 2 times per week</w:t>
            </w:r>
          </w:p>
        </w:tc>
        <w:tc>
          <w:tcPr>
            <w:tcW w:type="dxa" w:w="5060"/>
            <w:tcMar>
              <w:top w:type="dxa" w:w="60"/>
              <w:left w:type="dxa" w:w="100"/>
              <w:bottom w:type="dxa" w:w="60"/>
              <w:right w:type="dxa" w:w="100"/>
            </w:tcMar>
          </w:tcPr>
          <w:p>
            <w:pPr>
              <w:spacing w:after="0" w:line="250"/>
            </w:pPr>
            <w:r>
              <w:rPr>
                <w:b w:val="false"/>
                <w:bCs w:val="false"/>
                <w:sz w:val="20"/>
                <w:szCs w:val="20"/>
              </w:rPr>
              <w:t xml:space="preserve">Time-in-range, average, GMI, CV for self-review.</w:t>
            </w:r>
          </w:p>
        </w:tc>
      </w:tr>
      <w:tr>
        <w:tc>
          <w:tcPr>
            <w:tcW w:type="dxa" w:w="2600"/>
            <w:shd w:fill="F5F8FC" w:color="auto" w:val="clear"/>
            <w:tcMar>
              <w:top w:type="dxa" w:w="60"/>
              <w:left w:type="dxa" w:w="100"/>
              <w:bottom w:type="dxa" w:w="60"/>
              <w:right w:type="dxa" w:w="100"/>
            </w:tcMar>
          </w:tcPr>
          <w:p>
            <w:pPr>
              <w:spacing w:after="0" w:line="250"/>
            </w:pPr>
            <w:r>
              <w:rPr>
                <w:b w:val="false"/>
                <w:bCs w:val="false"/>
                <w:sz w:val="20"/>
                <w:szCs w:val="20"/>
              </w:rPr>
              <w:t xml:space="preserve">Export for endo visit</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Every 3 months</w:t>
            </w:r>
          </w:p>
        </w:tc>
        <w:tc>
          <w:tcPr>
            <w:tcW w:type="dxa" w:w="5060"/>
            <w:shd w:fill="F5F8FC" w:color="auto" w:val="clear"/>
            <w:tcMar>
              <w:top w:type="dxa" w:w="60"/>
              <w:left w:type="dxa" w:w="100"/>
              <w:bottom w:type="dxa" w:w="60"/>
              <w:right w:type="dxa" w:w="100"/>
            </w:tcMar>
          </w:tcPr>
          <w:p>
            <w:pPr>
              <w:spacing w:after="0" w:line="250"/>
            </w:pPr>
            <w:r>
              <w:rPr>
                <w:b w:val="false"/>
                <w:bCs w:val="false"/>
                <w:sz w:val="20"/>
                <w:szCs w:val="20"/>
              </w:rPr>
              <w:t xml:space="preserve">PDF formatted as an AGP-style report, plus flagged patterns.</w:t>
            </w:r>
          </w:p>
        </w:tc>
      </w:tr>
    </w:tbl>
    <w:p>
      <w:pPr>
        <w:pBdr>
          <w:left w:val="single" w:color="BFD3E6" w:sz="12" w:space="8"/>
        </w:pBdr>
        <w:spacing w:after="160" w:line="260"/>
        <w:ind w:left="180"/>
      </w:pPr>
      <w:r>
        <w:rPr>
          <w:b w:val="false"/>
          <w:bCs w:val="false"/>
          <w:i/>
          <w:iCs/>
          <w:color w:val="595959"/>
          <w:sz w:val="20"/>
          <w:szCs w:val="20"/>
        </w:rPr>
        <w:t xml:space="preserve">Changed in v1.2: the top row is new. v1.1 counted 20–50 daily app opens; in practice a glanceable surface absorbs most of those, and the roadmap should reflect where the volume actually is.</w:t>
      </w:r>
    </w:p>
    <w:p>
      <w:pPr>
        <w:pStyle w:val="Heading1"/>
        <w:spacing w:after="160" w:before="360"/>
      </w:pPr>
      <w:r>
        <w:rPr>
          <w:b w:val="false"/>
          <w:bCs w:val="false"/>
        </w:rPr>
        <w:t xml:space="preserve">3. Feature Specification</w:t>
      </w:r>
    </w:p>
    <w:p>
      <w:pPr>
        <w:spacing w:after="120" w:line="276"/>
      </w:pPr>
      <w:r>
        <w:rPr>
          <w:b w:val="false"/>
          <w:bCs w:val="false"/>
        </w:rPr>
        <w:t xml:space="preserve">Features are grouped by release phase. v1 is the minimum useful product. v2 adds the differentiating logging, prediction, and glanceable features. v3 is polish and stretch.</w:t>
      </w:r>
    </w:p>
    <w:p>
      <w:pPr>
        <w:pStyle w:val="Heading2"/>
        <w:spacing w:after="140" w:before="280"/>
      </w:pPr>
      <w:r>
        <w:rPr>
          <w:b w:val="false"/>
          <w:bCs w:val="false"/>
        </w:rPr>
        <w:t xml:space="preserve">3.1 v1 — Minimum Viable App</w:t>
      </w:r>
    </w:p>
    <w:p>
      <w:pPr>
        <w:pStyle w:val="Heading3"/>
        <w:spacing w:after="120" w:before="220"/>
      </w:pPr>
      <w:r>
        <w:rPr>
          <w:b w:val="false"/>
          <w:bCs w:val="false"/>
        </w:rPr>
        <w:t xml:space="preserve">3.1.1 Data Source Integration</w:t>
      </w:r>
    </w:p>
    <w:p>
      <w:pPr>
        <w:spacing w:after="120" w:line="276"/>
      </w:pPr>
      <w:r>
        <w:rPr>
          <w:b w:val="false"/>
          <w:bCs w:val="false"/>
        </w:rPr>
        <w:t xml:space="preserve">Three sources, clearly ranked. Only the first is live.</w:t>
      </w:r>
    </w:p>
    <w:p>
      <w:pPr>
        <w:spacing w:after="100" w:before="180"/>
      </w:pPr>
      <w:r>
        <w:rPr>
          <w:b/>
          <w:bCs/>
          <w:color w:val="1F4D78"/>
        </w:rPr>
        <w:t xml:space="preserve">Source A — Direct Bluetooth (primary, live)</w:t>
      </w:r>
    </w:p>
    <w:p>
      <w:pPr>
        <w:pStyle w:val="ListParagraph"/>
        <w:numPr>
          <w:ilvl w:val="0"/>
          <w:numId w:val="2"/>
        </w:numPr>
        <w:spacing w:after="80" w:line="276"/>
      </w:pPr>
      <w:r>
        <w:rPr>
          <w:b/>
          <w:bCs/>
        </w:rPr>
        <w:t xml:space="preserve">Role:</w:t>
      </w:r>
      <w:r>
        <w:rPr>
          <w:b w:val="false"/>
          <w:bCs w:val="false"/>
        </w:rPr>
        <w:t xml:space="preserve"> the live source. GlucoNoir connects to the G7 sensor over BLE and receives each reading within seconds of the sensor computing it.</w:t>
      </w:r>
    </w:p>
    <w:p>
      <w:pPr>
        <w:pStyle w:val="ListParagraph"/>
        <w:numPr>
          <w:ilvl w:val="0"/>
          <w:numId w:val="2"/>
        </w:numPr>
        <w:spacing w:after="80" w:line="276"/>
      </w:pPr>
      <w:r>
        <w:rPr>
          <w:b/>
          <w:bCs/>
        </w:rPr>
        <w:t xml:space="preserve">Library:</w:t>
      </w:r>
      <w:r>
        <w:rPr>
          <w:b w:val="false"/>
          <w:bCs w:val="false"/>
        </w:rPr>
        <w:t xml:space="preserve"> </w:t>
      </w:r>
      <w:r>
        <w:rPr>
          <w:rFonts w:ascii="Consolas" w:cs="Consolas" w:eastAsia="Consolas" w:hAnsi="Consolas"/>
          <w:b w:val="false"/>
          <w:bCs w:val="false"/>
          <w:sz w:val="19"/>
          <w:szCs w:val="19"/>
        </w:rPr>
        <w:t xml:space="preserve">G7SensorKit</w:t>
      </w:r>
      <w:r>
        <w:rPr>
          <w:b w:val="false"/>
          <w:bCs w:val="false"/>
        </w:rPr>
        <w:t xml:space="preserve"> (LoopKit, MIT licence). It is the G7 CGM manager used by Loop, is actively maintained, and its message parser, sensor-state enum, and glucose limits are all directly reusable. Vendor it as a Swift package dependency rather than reimplementing the protocol.</w:t>
      </w:r>
    </w:p>
    <w:p>
      <w:pPr>
        <w:pStyle w:val="ListParagraph"/>
        <w:numPr>
          <w:ilvl w:val="0"/>
          <w:numId w:val="2"/>
        </w:numPr>
        <w:spacing w:after="80" w:line="276"/>
      </w:pPr>
      <w:r>
        <w:rPr>
          <w:b/>
          <w:bCs/>
        </w:rPr>
        <w:t xml:space="preserve">Requires the official Dexcom G7 app on the same phone.</w:t>
      </w:r>
      <w:r>
        <w:rPr>
          <w:b w:val="false"/>
          <w:bCs w:val="false"/>
        </w:rPr>
        <w:t xml:space="preserve"> G7SensorKit states this outright. The official app performs sensor pairing and session management; GlucoNoir attaches to the already-paired sensor. This is a feature, not a limitation — it guarantees the FDA-cleared alarms remain installed and running (§1.3).</w:t>
      </w:r>
    </w:p>
    <w:p>
      <w:pPr>
        <w:pStyle w:val="ListParagraph"/>
        <w:numPr>
          <w:ilvl w:val="0"/>
          <w:numId w:val="2"/>
        </w:numPr>
        <w:spacing w:after="80" w:line="276"/>
      </w:pPr>
      <w:r>
        <w:rPr>
          <w:b/>
          <w:bCs/>
        </w:rPr>
        <w:t xml:space="preserve">No internet required.</w:t>
      </w:r>
      <w:r>
        <w:rPr>
          <w:b w:val="false"/>
          <w:bCs w:val="false"/>
        </w:rPr>
        <w:t xml:space="preserve"> This is the decisive property for overnight use. Share depends on the phone having connectivity, the official app successfully uploading, and Dexcom’s cloud being healthy; BLE depends on the sensor being on the user’s arm.</w:t>
      </w:r>
    </w:p>
    <w:p>
      <w:pPr>
        <w:pStyle w:val="ListParagraph"/>
        <w:numPr>
          <w:ilvl w:val="0"/>
          <w:numId w:val="2"/>
        </w:numPr>
        <w:spacing w:after="80" w:line="276"/>
      </w:pPr>
      <w:r>
        <w:rPr>
          <w:b/>
          <w:bCs/>
        </w:rPr>
        <w:t xml:space="preserve">Data available per reading:</w:t>
      </w:r>
      <w:r>
        <w:rPr>
          <w:b w:val="false"/>
          <w:bCs w:val="false"/>
        </w:rPr>
        <w:t xml:space="preserve"> glucose in mg/dL; the sensor’s own forward </w:t>
      </w:r>
      <w:r>
        <w:rPr>
          <w:rFonts w:ascii="Consolas" w:cs="Consolas" w:eastAsia="Consolas" w:hAnsi="Consolas"/>
          <w:b w:val="false"/>
          <w:bCs w:val="false"/>
          <w:sz w:val="19"/>
          <w:szCs w:val="19"/>
        </w:rPr>
        <w:t xml:space="preserve">predicted</w:t>
      </w:r>
      <w:r>
        <w:rPr>
          <w:b w:val="false"/>
          <w:bCs w:val="false"/>
        </w:rPr>
        <w:t xml:space="preserve"> value; </w:t>
      </w:r>
      <w:r>
        <w:rPr>
          <w:rFonts w:ascii="Consolas" w:cs="Consolas" w:eastAsia="Consolas" w:hAnsi="Consolas"/>
          <w:b w:val="false"/>
          <w:bCs w:val="false"/>
          <w:sz w:val="19"/>
          <w:szCs w:val="19"/>
        </w:rPr>
        <w:t xml:space="preserve">trend</w:t>
      </w:r>
      <w:r>
        <w:rPr>
          <w:b w:val="false"/>
          <w:bCs w:val="false"/>
        </w:rPr>
        <w:t xml:space="preserve"> as a signed rate of change; </w:t>
      </w:r>
      <w:r>
        <w:rPr>
          <w:rFonts w:ascii="Consolas" w:cs="Consolas" w:eastAsia="Consolas" w:hAnsi="Consolas"/>
          <w:b w:val="false"/>
          <w:bCs w:val="false"/>
          <w:sz w:val="19"/>
          <w:szCs w:val="19"/>
        </w:rPr>
        <w:t xml:space="preserve">algorithmState</w:t>
      </w:r>
      <w:r>
        <w:rPr>
          <w:b w:val="false"/>
          <w:bCs w:val="false"/>
        </w:rPr>
        <w:t xml:space="preserve"> (§3.1.3); </w:t>
      </w:r>
      <w:r>
        <w:rPr>
          <w:rFonts w:ascii="Consolas" w:cs="Consolas" w:eastAsia="Consolas" w:hAnsi="Consolas"/>
          <w:b w:val="false"/>
          <w:bCs w:val="false"/>
          <w:sz w:val="19"/>
          <w:szCs w:val="19"/>
        </w:rPr>
        <w:t xml:space="preserve">age</w:t>
      </w:r>
      <w:r>
        <w:rPr>
          <w:b w:val="false"/>
          <w:bCs w:val="false"/>
        </w:rPr>
        <w:t xml:space="preserve"> in seconds from measurement to transmission; and a monotonic </w:t>
      </w:r>
      <w:r>
        <w:rPr>
          <w:rFonts w:ascii="Consolas" w:cs="Consolas" w:eastAsia="Consolas" w:hAnsi="Consolas"/>
          <w:b w:val="false"/>
          <w:bCs w:val="false"/>
          <w:sz w:val="19"/>
          <w:szCs w:val="19"/>
        </w:rPr>
        <w:t xml:space="preserve">sequence</w:t>
      </w:r>
      <w:r>
        <w:rPr>
          <w:b w:val="false"/>
          <w:bCs w:val="false"/>
        </w:rPr>
        <w:t xml:space="preserve"> number useful for gap detection and deduplication.</w:t>
      </w:r>
    </w:p>
    <w:p>
      <w:pPr>
        <w:pStyle w:val="ListParagraph"/>
        <w:numPr>
          <w:ilvl w:val="0"/>
          <w:numId w:val="2"/>
        </w:numPr>
        <w:spacing w:after="80" w:line="276"/>
      </w:pPr>
      <w:r>
        <w:rPr>
          <w:b/>
          <w:bCs/>
        </w:rPr>
        <w:t xml:space="preserve">Backfill over BLE:</w:t>
      </w:r>
      <w:r>
        <w:rPr>
          <w:b w:val="false"/>
          <w:bCs w:val="false"/>
        </w:rPr>
        <w:t xml:space="preserve"> the sensor retains recent readings and can replay them (</w:t>
      </w:r>
      <w:r>
        <w:rPr>
          <w:rFonts w:ascii="Consolas" w:cs="Consolas" w:eastAsia="Consolas" w:hAnsi="Consolas"/>
          <w:b w:val="false"/>
          <w:bCs w:val="false"/>
          <w:sz w:val="19"/>
          <w:szCs w:val="19"/>
        </w:rPr>
        <w:t xml:space="preserve">G7BackfillMessage</w:t>
      </w:r>
      <w:r>
        <w:rPr>
          <w:b w:val="false"/>
          <w:bCs w:val="false"/>
        </w:rPr>
        <w:t xml:space="preserve">), closing short gaps caused by the app being killed or out of range, without waiting on any other source.</w:t>
      </w:r>
    </w:p>
    <w:p>
      <w:pPr>
        <w:pStyle w:val="ListParagraph"/>
        <w:numPr>
          <w:ilvl w:val="0"/>
          <w:numId w:val="2"/>
        </w:numPr>
        <w:spacing w:after="80" w:line="276"/>
      </w:pPr>
      <w:r>
        <w:rPr>
          <w:b/>
          <w:bCs/>
        </w:rPr>
        <w:t xml:space="preserve">Background operation:</w:t>
      </w:r>
      <w:r>
        <w:rPr>
          <w:b w:val="false"/>
          <w:bCs w:val="false"/>
        </w:rPr>
        <w:t xml:space="preserve"> CoreBluetooth state preservation and restoration, with the </w:t>
      </w:r>
      <w:r>
        <w:rPr>
          <w:rFonts w:ascii="Consolas" w:cs="Consolas" w:eastAsia="Consolas" w:hAnsi="Consolas"/>
          <w:b w:val="false"/>
          <w:bCs w:val="false"/>
          <w:sz w:val="19"/>
          <w:szCs w:val="19"/>
        </w:rPr>
        <w:t xml:space="preserve">bluetooth-central</w:t>
      </w:r>
      <w:r>
        <w:rPr>
          <w:b w:val="false"/>
          <w:bCs w:val="false"/>
        </w:rPr>
        <w:t xml:space="preserve"> background mode. iOS relaunches the app into the background on sensor connection events. This replaces v1.2’s HealthKit background-delivery scheme entirely (§4.2.1).</w:t>
      </w:r>
    </w:p>
    <w:p>
      <w:pPr>
        <w:spacing w:after="100" w:before="180"/>
      </w:pPr>
      <w:r>
        <w:rPr>
          <w:b/>
          <w:bCs/>
          <w:color w:val="1F4D78"/>
        </w:rPr>
        <w:t xml:space="preserve">Bluetooth channel budget</w:t>
      </w:r>
    </w:p>
    <w:p>
      <w:pPr>
        <w:spacing w:after="120" w:line="276"/>
      </w:pPr>
      <w:r>
        <w:rPr>
          <w:b w:val="false"/>
          <w:bCs w:val="false"/>
        </w:rPr>
        <w:t xml:space="preserve">The G7 exposes </w:t>
      </w:r>
      <w:r>
        <w:rPr>
          <w:b/>
          <w:bCs/>
        </w:rPr>
        <w:t xml:space="preserve">three</w:t>
      </w:r>
      <w:r>
        <w:rPr>
          <w:b w:val="false"/>
          <w:bCs w:val="false"/>
        </w:rPr>
        <w:t xml:space="preserve"> connection channels: smartphone, smartwatch, and receiver-or-AID. They must be allocated deliberately, because exhausting them has consequences for a device the user depends on.</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2100"/>
        <w:gridCol w:w="3400"/>
        <w:gridCol w:w="3860"/>
      </w:tblGrid>
      <w:tr>
        <w:trPr>
          <w:tblHeader/>
        </w:trPr>
        <w:tc>
          <w:tcPr>
            <w:tcW w:type="dxa" w:w="2100"/>
            <w:shd w:fill="DEEAF6" w:color="auto" w:val="clear"/>
            <w:tcMar>
              <w:top w:type="dxa" w:w="60"/>
              <w:left w:type="dxa" w:w="100"/>
              <w:bottom w:type="dxa" w:w="60"/>
              <w:right w:type="dxa" w:w="100"/>
            </w:tcMar>
          </w:tcPr>
          <w:p>
            <w:pPr>
              <w:spacing w:after="0" w:line="250"/>
            </w:pPr>
            <w:r>
              <w:rPr>
                <w:b/>
                <w:bCs/>
                <w:sz w:val="20"/>
                <w:szCs w:val="20"/>
              </w:rPr>
              <w:t xml:space="preserve">Channel</w:t>
            </w:r>
          </w:p>
        </w:tc>
        <w:tc>
          <w:tcPr>
            <w:tcW w:type="dxa" w:w="3400"/>
            <w:shd w:fill="DEEAF6" w:color="auto" w:val="clear"/>
            <w:tcMar>
              <w:top w:type="dxa" w:w="60"/>
              <w:left w:type="dxa" w:w="100"/>
              <w:bottom w:type="dxa" w:w="60"/>
              <w:right w:type="dxa" w:w="100"/>
            </w:tcMar>
          </w:tcPr>
          <w:p>
            <w:pPr>
              <w:spacing w:after="0" w:line="250"/>
            </w:pPr>
            <w:r>
              <w:rPr>
                <w:b/>
                <w:bCs/>
                <w:sz w:val="20"/>
                <w:szCs w:val="20"/>
              </w:rPr>
              <w:t xml:space="preserve">Occupant</w:t>
            </w:r>
          </w:p>
        </w:tc>
        <w:tc>
          <w:tcPr>
            <w:tcW w:type="dxa" w:w="3860"/>
            <w:shd w:fill="DEEAF6" w:color="auto" w:val="clear"/>
            <w:tcMar>
              <w:top w:type="dxa" w:w="60"/>
              <w:left w:type="dxa" w:w="100"/>
              <w:bottom w:type="dxa" w:w="60"/>
              <w:right w:type="dxa" w:w="100"/>
            </w:tcMar>
          </w:tcPr>
          <w:p>
            <w:pPr>
              <w:spacing w:after="0" w:line="250"/>
            </w:pPr>
            <w:r>
              <w:rPr>
                <w:b/>
                <w:bCs/>
                <w:sz w:val="20"/>
                <w:szCs w:val="20"/>
              </w:rPr>
              <w:t xml:space="preserve">Status</w:t>
            </w:r>
          </w:p>
        </w:tc>
      </w:tr>
      <w:tr>
        <w:tc>
          <w:tcPr>
            <w:tcW w:type="dxa" w:w="2100"/>
            <w:tcMar>
              <w:top w:type="dxa" w:w="60"/>
              <w:left w:type="dxa" w:w="100"/>
              <w:bottom w:type="dxa" w:w="60"/>
              <w:right w:type="dxa" w:w="100"/>
            </w:tcMar>
          </w:tcPr>
          <w:p>
            <w:pPr>
              <w:spacing w:after="0" w:line="250"/>
            </w:pPr>
            <w:r>
              <w:rPr>
                <w:b w:val="false"/>
                <w:bCs w:val="false"/>
                <w:sz w:val="20"/>
                <w:szCs w:val="20"/>
              </w:rPr>
              <w:t xml:space="preserve">Smartphone</w:t>
            </w:r>
          </w:p>
        </w:tc>
        <w:tc>
          <w:tcPr>
            <w:tcW w:type="dxa" w:w="3400"/>
            <w:tcMar>
              <w:top w:type="dxa" w:w="60"/>
              <w:left w:type="dxa" w:w="100"/>
              <w:bottom w:type="dxa" w:w="60"/>
              <w:right w:type="dxa" w:w="100"/>
            </w:tcMar>
          </w:tcPr>
          <w:p>
            <w:pPr>
              <w:spacing w:after="0" w:line="250"/>
            </w:pPr>
            <w:r>
              <w:rPr>
                <w:b w:val="false"/>
                <w:bCs w:val="false"/>
                <w:sz w:val="20"/>
                <w:szCs w:val="20"/>
              </w:rPr>
              <w:t xml:space="preserve">Official Dexcom G7 app</w:t>
            </w:r>
          </w:p>
        </w:tc>
        <w:tc>
          <w:tcPr>
            <w:tcW w:type="dxa" w:w="3860"/>
            <w:tcMar>
              <w:top w:type="dxa" w:w="60"/>
              <w:left w:type="dxa" w:w="100"/>
              <w:bottom w:type="dxa" w:w="60"/>
              <w:right w:type="dxa" w:w="100"/>
            </w:tcMar>
          </w:tcPr>
          <w:p>
            <w:pPr>
              <w:spacing w:after="0" w:line="250"/>
            </w:pPr>
            <w:r>
              <w:rPr>
                <w:b w:val="false"/>
                <w:bCs w:val="false"/>
                <w:sz w:val="20"/>
                <w:szCs w:val="20"/>
              </w:rPr>
              <w:t xml:space="preserve">Required. Owns pairing, session management, and alarms.</w:t>
            </w:r>
          </w:p>
        </w:tc>
      </w:tr>
      <w:tr>
        <w:tc>
          <w:tcPr>
            <w:tcW w:type="dxa" w:w="2100"/>
            <w:shd w:fill="F5F8FC" w:color="auto" w:val="clear"/>
            <w:tcMar>
              <w:top w:type="dxa" w:w="60"/>
              <w:left w:type="dxa" w:w="100"/>
              <w:bottom w:type="dxa" w:w="60"/>
              <w:right w:type="dxa" w:w="100"/>
            </w:tcMar>
          </w:tcPr>
          <w:p>
            <w:pPr>
              <w:spacing w:after="0" w:line="250"/>
            </w:pPr>
            <w:r>
              <w:rPr>
                <w:b w:val="false"/>
                <w:bCs w:val="false"/>
                <w:sz w:val="20"/>
                <w:szCs w:val="20"/>
              </w:rPr>
              <w:t xml:space="preserve">Smartwatch</w:t>
            </w:r>
          </w:p>
        </w:tc>
        <w:tc>
          <w:tcPr>
            <w:tcW w:type="dxa" w:w="3400"/>
            <w:shd w:fill="F5F8FC" w:color="auto" w:val="clear"/>
            <w:tcMar>
              <w:top w:type="dxa" w:w="60"/>
              <w:left w:type="dxa" w:w="100"/>
              <w:bottom w:type="dxa" w:w="60"/>
              <w:right w:type="dxa" w:w="100"/>
            </w:tcMar>
          </w:tcPr>
          <w:p>
            <w:pPr>
              <w:spacing w:after="0" w:line="250"/>
            </w:pPr>
            <w:r>
              <w:rPr>
                <w:b w:val="false"/>
                <w:bCs w:val="false"/>
                <w:sz w:val="20"/>
                <w:szCs w:val="20"/>
              </w:rPr>
              <w:t xml:space="preserve">Apple Watch, via Dexcom Direct to Watch</w:t>
            </w:r>
          </w:p>
        </w:tc>
        <w:tc>
          <w:tcPr>
            <w:tcW w:type="dxa" w:w="3860"/>
            <w:shd w:fill="F5F8FC" w:color="auto" w:val="clear"/>
            <w:tcMar>
              <w:top w:type="dxa" w:w="60"/>
              <w:left w:type="dxa" w:w="100"/>
              <w:bottom w:type="dxa" w:w="60"/>
              <w:right w:type="dxa" w:w="100"/>
            </w:tcMar>
          </w:tcPr>
          <w:p>
            <w:pPr>
              <w:spacing w:after="0" w:line="250"/>
            </w:pPr>
            <w:r>
              <w:rPr>
                <w:b w:val="false"/>
                <w:bCs w:val="false"/>
                <w:sz w:val="20"/>
                <w:szCs w:val="20"/>
              </w:rPr>
              <w:t xml:space="preserve">In use by this user.</w:t>
            </w:r>
          </w:p>
        </w:tc>
      </w:tr>
      <w:tr>
        <w:tc>
          <w:tcPr>
            <w:tcW w:type="dxa" w:w="2100"/>
            <w:tcMar>
              <w:top w:type="dxa" w:w="60"/>
              <w:left w:type="dxa" w:w="100"/>
              <w:bottom w:type="dxa" w:w="60"/>
              <w:right w:type="dxa" w:w="100"/>
            </w:tcMar>
          </w:tcPr>
          <w:p>
            <w:pPr>
              <w:spacing w:after="0" w:line="250"/>
            </w:pPr>
            <w:r>
              <w:rPr>
                <w:b w:val="false"/>
                <w:bCs w:val="false"/>
                <w:sz w:val="20"/>
                <w:szCs w:val="20"/>
              </w:rPr>
              <w:t xml:space="preserve">Receiver / AID</w:t>
            </w:r>
          </w:p>
        </w:tc>
        <w:tc>
          <w:tcPr>
            <w:tcW w:type="dxa" w:w="3400"/>
            <w:tcMar>
              <w:top w:type="dxa" w:w="60"/>
              <w:left w:type="dxa" w:w="100"/>
              <w:bottom w:type="dxa" w:w="60"/>
              <w:right w:type="dxa" w:w="100"/>
            </w:tcMar>
          </w:tcPr>
          <w:p>
            <w:pPr>
              <w:spacing w:after="0" w:line="250"/>
            </w:pPr>
            <w:r>
              <w:rPr>
                <w:b/>
                <w:bCs/>
                <w:sz w:val="20"/>
                <w:szCs w:val="20"/>
              </w:rPr>
              <w:t xml:space="preserve">GlucoNoir</w:t>
            </w:r>
          </w:p>
        </w:tc>
        <w:tc>
          <w:tcPr>
            <w:tcW w:type="dxa" w:w="3860"/>
            <w:tcMar>
              <w:top w:type="dxa" w:w="60"/>
              <w:left w:type="dxa" w:w="100"/>
              <w:bottom w:type="dxa" w:w="60"/>
              <w:right w:type="dxa" w:w="100"/>
            </w:tcMar>
          </w:tcPr>
          <w:p>
            <w:pPr>
              <w:spacing w:after="0" w:line="250"/>
            </w:pPr>
            <w:r>
              <w:rPr>
                <w:b w:val="false"/>
                <w:bCs w:val="false"/>
                <w:sz w:val="20"/>
                <w:szCs w:val="20"/>
              </w:rPr>
              <w:t xml:space="preserve">Available. This user owns no receiver and runs no AID system.</w:t>
            </w:r>
          </w:p>
        </w:tc>
      </w:tr>
    </w:tbl>
    <w:p>
      <w:pPr>
        <w:spacing w:after="100"/>
      </w:pPr>
    </w:p>
    <w:p>
      <w:pPr>
        <w:pBdr>
          <w:left w:val="single" w:color="BFD3E6" w:sz="12" w:space="8"/>
        </w:pBdr>
        <w:spacing w:after="160" w:line="260"/>
        <w:ind w:left="180"/>
      </w:pPr>
      <w:r>
        <w:rPr>
          <w:b w:val="false"/>
          <w:bCs w:val="false"/>
          <w:i/>
          <w:iCs/>
          <w:color w:val="595959"/>
          <w:sz w:val="20"/>
          <w:szCs w:val="20"/>
        </w:rPr>
        <w:t xml:space="preserve">All three channels are consumed under this allocation. The user cannot add a Dexcom receiver or an automated insulin delivery system without displacing GlucoNoir. That is an acceptable trade for this user today and an explicitly reversible one — GlucoNoir is a display app, and removing it costs nothing but the display.</w:t>
      </w:r>
    </w:p>
    <w:p>
      <w:pPr>
        <w:spacing w:after="120" w:line="276"/>
      </w:pPr>
      <w:r>
        <w:rPr>
          <w:b/>
          <w:bCs/>
        </w:rPr>
        <w:t xml:space="preserve">This allocation is unverified until tested on the user’s own sensor and phone.</w:t>
      </w:r>
      <w:r>
        <w:rPr>
          <w:b w:val="false"/>
          <w:bCs w:val="false"/>
        </w:rPr>
        <w:t xml:space="preserve"> The risk that matters is not that GlucoNoir fails to connect — it is that a third client destabilises the official app’s connection and degrades the alarms the safety model depends on. Phase 1 exists solely to answer this, before anything is built on top of it (§7).</w:t>
      </w:r>
    </w:p>
    <w:p>
      <w:pPr>
        <w:spacing w:after="100" w:before="180"/>
      </w:pPr>
      <w:r>
        <w:rPr>
          <w:b/>
          <w:bCs/>
          <w:color w:val="1F4D78"/>
        </w:rPr>
        <w:t xml:space="preserve">Source B — Apple HealthKit (historical backfill only)</w:t>
      </w:r>
    </w:p>
    <w:p>
      <w:pPr>
        <w:pStyle w:val="ListParagraph"/>
        <w:numPr>
          <w:ilvl w:val="0"/>
          <w:numId w:val="2"/>
        </w:numPr>
        <w:spacing w:after="80" w:line="276"/>
      </w:pPr>
      <w:r>
        <w:rPr>
          <w:b/>
          <w:bCs/>
        </w:rPr>
        <w:t xml:space="preserve">Dexcom writes to Apple Health on a documented three-hour delay.</w:t>
      </w:r>
      <w:r>
        <w:rPr>
          <w:b w:val="false"/>
          <w:bCs w:val="false"/>
        </w:rPr>
        <w:t xml:space="preserve"> It is therefore never used for a displayed current value, and never drives the trend arrow or the forecast.</w:t>
      </w:r>
    </w:p>
    <w:p>
      <w:pPr>
        <w:pStyle w:val="ListParagraph"/>
        <w:numPr>
          <w:ilvl w:val="0"/>
          <w:numId w:val="2"/>
        </w:numPr>
        <w:spacing w:after="80" w:line="276"/>
      </w:pPr>
      <w:r>
        <w:rPr>
          <w:b/>
          <w:bCs/>
        </w:rPr>
        <w:t xml:space="preserve">Role:</w:t>
      </w:r>
      <w:r>
        <w:rPr>
          <w:b w:val="false"/>
          <w:bCs w:val="false"/>
        </w:rPr>
        <w:t xml:space="preserve"> populate the historical store with up to 90 days on first launch, so the app is immediately useful rather than accumulating history from zero.</w:t>
      </w:r>
    </w:p>
    <w:p>
      <w:pPr>
        <w:pStyle w:val="ListParagraph"/>
        <w:numPr>
          <w:ilvl w:val="0"/>
          <w:numId w:val="2"/>
        </w:numPr>
        <w:spacing w:after="80" w:line="276"/>
      </w:pPr>
      <w:r>
        <w:rPr>
          <w:b/>
          <w:bCs/>
        </w:rPr>
        <w:t xml:space="preserve">Implementation:</w:t>
      </w:r>
      <w:r>
        <w:rPr>
          <w:b w:val="false"/>
          <w:bCs w:val="false"/>
        </w:rPr>
        <w:t xml:space="preserve"> </w:t>
      </w:r>
      <w:r>
        <w:rPr>
          <w:rFonts w:ascii="Consolas" w:cs="Consolas" w:eastAsia="Consolas" w:hAnsi="Consolas"/>
          <w:b w:val="false"/>
          <w:bCs w:val="false"/>
          <w:sz w:val="19"/>
          <w:szCs w:val="19"/>
        </w:rPr>
        <w:t xml:space="preserve">HKAnchoredObjectQuery</w:t>
      </w:r>
      <w:r>
        <w:rPr>
          <w:b w:val="false"/>
          <w:bCs w:val="false"/>
        </w:rPr>
        <w:t xml:space="preserve"> for the backfill window, plus a daily top-up. No observer query and no background delivery are needed, because HealthKit is not a live path in this design.</w:t>
      </w:r>
    </w:p>
    <w:p>
      <w:pPr>
        <w:pStyle w:val="ListParagraph"/>
        <w:numPr>
          <w:ilvl w:val="0"/>
          <w:numId w:val="2"/>
        </w:numPr>
        <w:spacing w:after="80" w:line="276"/>
      </w:pPr>
      <w:r>
        <w:rPr>
          <w:b/>
          <w:bCs/>
        </w:rPr>
        <w:t xml:space="preserve">Filter to Dexcom’s bundle identifier</w:t>
      </w:r>
      <w:r>
        <w:rPr>
          <w:b w:val="false"/>
          <w:bCs w:val="false"/>
        </w:rPr>
        <w:t xml:space="preserve"> so manual fingerstick entries and other apps’ writes are not mistaken for CGM data. Handle deletions returned by the anchored query.</w:t>
      </w:r>
    </w:p>
    <w:p>
      <w:pPr>
        <w:pStyle w:val="ListParagraph"/>
        <w:numPr>
          <w:ilvl w:val="0"/>
          <w:numId w:val="2"/>
        </w:numPr>
        <w:spacing w:after="80" w:line="276"/>
      </w:pPr>
      <w:r>
        <w:rPr>
          <w:b/>
          <w:bCs/>
        </w:rPr>
        <w:t xml:space="preserve">Optional context reads</w:t>
      </w:r>
      <w:r>
        <w:rPr>
          <w:b w:val="false"/>
          <w:bCs w:val="false"/>
        </w:rPr>
        <w:t xml:space="preserve">, all degrading gracefully if denied: </w:t>
      </w:r>
      <w:r>
        <w:rPr>
          <w:rFonts w:ascii="Consolas" w:cs="Consolas" w:eastAsia="Consolas" w:hAnsi="Consolas"/>
          <w:b w:val="false"/>
          <w:bCs w:val="false"/>
          <w:sz w:val="19"/>
          <w:szCs w:val="19"/>
        </w:rPr>
        <w:t xml:space="preserve">sleepAnalysis</w:t>
      </w:r>
      <w:r>
        <w:rPr>
          <w:b w:val="false"/>
          <w:bCs w:val="false"/>
        </w:rPr>
        <w:t xml:space="preserve"> to segment overnight statistics; </w:t>
      </w:r>
      <w:r>
        <w:rPr>
          <w:rFonts w:ascii="Consolas" w:cs="Consolas" w:eastAsia="Consolas" w:hAnsi="Consolas"/>
          <w:b w:val="false"/>
          <w:bCs w:val="false"/>
          <w:sz w:val="19"/>
          <w:szCs w:val="19"/>
        </w:rPr>
        <w:t xml:space="preserve">workoutType</w:t>
      </w:r>
      <w:r>
        <w:rPr>
          <w:b w:val="false"/>
          <w:bCs w:val="false"/>
        </w:rPr>
        <w:t xml:space="preserve"> and </w:t>
      </w:r>
      <w:r>
        <w:rPr>
          <w:rFonts w:ascii="Consolas" w:cs="Consolas" w:eastAsia="Consolas" w:hAnsi="Consolas"/>
          <w:b w:val="false"/>
          <w:bCs w:val="false"/>
          <w:sz w:val="19"/>
          <w:szCs w:val="19"/>
        </w:rPr>
        <w:t xml:space="preserve">stepCount</w:t>
      </w:r>
      <w:r>
        <w:rPr>
          <w:b w:val="false"/>
          <w:bCs w:val="false"/>
        </w:rPr>
        <w:t xml:space="preserve"> to auto-suggest exercise entries; </w:t>
      </w:r>
      <w:r>
        <w:rPr>
          <w:rFonts w:ascii="Consolas" w:cs="Consolas" w:eastAsia="Consolas" w:hAnsi="Consolas"/>
          <w:b w:val="false"/>
          <w:bCs w:val="false"/>
          <w:sz w:val="19"/>
          <w:szCs w:val="19"/>
        </w:rPr>
        <w:t xml:space="preserve">dietaryCarbohydrates</w:t>
      </w:r>
      <w:r>
        <w:rPr>
          <w:b w:val="false"/>
          <w:bCs w:val="false"/>
        </w:rPr>
        <w:t xml:space="preserve"> and </w:t>
      </w:r>
      <w:r>
        <w:rPr>
          <w:rFonts w:ascii="Consolas" w:cs="Consolas" w:eastAsia="Consolas" w:hAnsi="Consolas"/>
          <w:b w:val="false"/>
          <w:bCs w:val="false"/>
          <w:sz w:val="19"/>
          <w:szCs w:val="19"/>
        </w:rPr>
        <w:t xml:space="preserve">insulinDelivery</w:t>
      </w:r>
      <w:r>
        <w:rPr>
          <w:b w:val="false"/>
          <w:bCs w:val="false"/>
        </w:rPr>
        <w:t xml:space="preserve"> to import events logged elsewhere.</w:t>
      </w:r>
    </w:p>
    <w:p>
      <w:pPr>
        <w:spacing w:after="100" w:before="180"/>
      </w:pPr>
      <w:r>
        <w:rPr>
          <w:b/>
          <w:bCs/>
          <w:color w:val="1F4D78"/>
        </w:rPr>
        <w:t xml:space="preserve">Source C — Dexcom Share (optional fallback, deferred to v2)</w:t>
      </w:r>
    </w:p>
    <w:p>
      <w:pPr>
        <w:spacing w:after="120" w:line="276"/>
      </w:pPr>
      <w:r>
        <w:rPr>
          <w:b w:val="false"/>
          <w:bCs w:val="false"/>
        </w:rPr>
        <w:t xml:space="preserve">Specified in §4.2.4 but </w:t>
      </w:r>
      <w:r>
        <w:rPr>
          <w:b/>
          <w:bCs/>
        </w:rPr>
        <w:t xml:space="preserve">not built in v1</w:t>
      </w:r>
      <w:r>
        <w:rPr>
          <w:b w:val="false"/>
          <w:bCs w:val="false"/>
        </w:rPr>
        <w:t xml:space="preserve">. With BLE primary, Share buys redundancy at the cost of stored credentials, a network dependency, an undocumented API that breaks without notice, and terms-of-service ambiguity. Build it only if BLE proves unreliable in practice, or in v2 as belt-and-braces.</w:t>
      </w:r>
    </w:p>
    <w:p>
      <w:pPr>
        <w:spacing w:after="100" w:before="180"/>
      </w:pPr>
      <w:r>
        <w:rPr>
          <w:b/>
          <w:bCs/>
          <w:color w:val="1F4D78"/>
        </w:rPr>
        <w:t xml:space="preserve">Source coordinator</w:t>
      </w:r>
    </w:p>
    <w:p>
      <w:pPr>
        <w:pStyle w:val="ListParagraph"/>
        <w:numPr>
          <w:ilvl w:val="0"/>
          <w:numId w:val="2"/>
        </w:numPr>
        <w:spacing w:after="80" w:line="276"/>
      </w:pPr>
      <w:r>
        <w:rPr>
          <w:b w:val="false"/>
          <w:bCs w:val="false"/>
        </w:rPr>
        <w:t xml:space="preserve">A single </w:t>
      </w:r>
      <w:r>
        <w:rPr>
          <w:rFonts w:ascii="Consolas" w:cs="Consolas" w:eastAsia="Consolas" w:hAnsi="Consolas"/>
          <w:b w:val="false"/>
          <w:bCs w:val="false"/>
          <w:sz w:val="19"/>
          <w:szCs w:val="19"/>
        </w:rPr>
        <w:t xml:space="preserve">GlucoseSourceCoordinator</w:t>
      </w:r>
      <w:r>
        <w:rPr>
          <w:b w:val="false"/>
          <w:bCs w:val="false"/>
        </w:rPr>
        <w:t xml:space="preserve"> actor receives readings from whichever sources are active and emits a unified stream.</w:t>
      </w:r>
    </w:p>
    <w:p>
      <w:pPr>
        <w:pStyle w:val="ListParagraph"/>
        <w:numPr>
          <w:ilvl w:val="0"/>
          <w:numId w:val="2"/>
        </w:numPr>
        <w:spacing w:after="80" w:line="276"/>
      </w:pPr>
      <w:r>
        <w:rPr>
          <w:b/>
          <w:bCs/>
        </w:rPr>
        <w:t xml:space="preserve">Deduplication:</w:t>
      </w:r>
      <w:r>
        <w:rPr>
          <w:b w:val="false"/>
          <w:bCs w:val="false"/>
        </w:rPr>
        <w:t xml:space="preserve"> BLE readings carry a </w:t>
      </w:r>
      <w:r>
        <w:rPr>
          <w:rFonts w:ascii="Consolas" w:cs="Consolas" w:eastAsia="Consolas" w:hAnsi="Consolas"/>
          <w:b w:val="false"/>
          <w:bCs w:val="false"/>
          <w:sz w:val="19"/>
          <w:szCs w:val="19"/>
        </w:rPr>
        <w:t xml:space="preserve">sequence</w:t>
      </w:r>
      <w:r>
        <w:rPr>
          <w:b w:val="false"/>
          <w:bCs w:val="false"/>
        </w:rPr>
        <w:t xml:space="preserve"> number — use it as the primary dedup key, which is exact. Cross-source dedup (BLE against HealthKit backfill) falls back to a ±2.5 minute timestamp window, merging rather than discarding so no field is lost.</w:t>
      </w:r>
    </w:p>
    <w:p>
      <w:pPr>
        <w:pStyle w:val="ListParagraph"/>
        <w:numPr>
          <w:ilvl w:val="0"/>
          <w:numId w:val="2"/>
        </w:numPr>
        <w:spacing w:after="80" w:line="276"/>
      </w:pPr>
      <w:r>
        <w:rPr>
          <w:b/>
          <w:bCs/>
        </w:rPr>
        <w:t xml:space="preserve">Revision handling:</w:t>
      </w:r>
      <w:r>
        <w:rPr>
          <w:b w:val="false"/>
          <w:bCs w:val="false"/>
        </w:rPr>
        <w:t xml:space="preserve"> persistence is upsert-by-sample-time, never insert-only. HealthKit backfill will frequently re-deliver readings BLE already captured.</w:t>
      </w:r>
    </w:p>
    <w:p>
      <w:pPr>
        <w:pStyle w:val="ListParagraph"/>
        <w:numPr>
          <w:ilvl w:val="0"/>
          <w:numId w:val="2"/>
        </w:numPr>
        <w:spacing w:after="80" w:line="276"/>
      </w:pPr>
      <w:r>
        <w:rPr>
          <w:b/>
          <w:bCs/>
        </w:rPr>
        <w:t xml:space="preserve">Freshness display:</w:t>
      </w:r>
      <w:r>
        <w:rPr>
          <w:b w:val="false"/>
          <w:bCs w:val="false"/>
        </w:rPr>
        <w:t xml:space="preserve"> the UI always shows the age of the displayed reading, computed from the BLE </w:t>
      </w:r>
      <w:r>
        <w:rPr>
          <w:rFonts w:ascii="Consolas" w:cs="Consolas" w:eastAsia="Consolas" w:hAnsi="Consolas"/>
          <w:b w:val="false"/>
          <w:bCs w:val="false"/>
          <w:sz w:val="19"/>
          <w:szCs w:val="19"/>
        </w:rPr>
        <w:t xml:space="preserve">age</w:t>
      </w:r>
      <w:r>
        <w:rPr>
          <w:b w:val="false"/>
          <w:bCs w:val="false"/>
        </w:rPr>
        <w:t xml:space="preserve"> field rather than inferred from arrival time.</w:t>
      </w:r>
    </w:p>
    <w:p>
      <w:pPr>
        <w:pStyle w:val="ListParagraph"/>
        <w:numPr>
          <w:ilvl w:val="0"/>
          <w:numId w:val="2"/>
        </w:numPr>
        <w:spacing w:after="80" w:line="276"/>
      </w:pPr>
      <w:r>
        <w:rPr>
          <w:b/>
          <w:bCs/>
        </w:rPr>
        <w:t xml:space="preserve">Units:</w:t>
      </w:r>
      <w:r>
        <w:rPr>
          <w:b w:val="false"/>
          <w:bCs w:val="false"/>
        </w:rPr>
        <w:t xml:space="preserve"> display in mg/dL or mmol/L, user-selectable. Stored canonically as integer mg/dL; conversion at display time only, so switching units is lossless.</w:t>
      </w:r>
    </w:p>
    <w:p>
      <w:pPr>
        <w:pBdr>
          <w:left w:val="single" w:color="BFD3E6" w:sz="12" w:space="8"/>
        </w:pBdr>
        <w:spacing w:after="160" w:line="260"/>
        <w:ind w:left="180"/>
      </w:pPr>
      <w:r>
        <w:rPr>
          <w:b w:val="false"/>
          <w:bCs w:val="false"/>
          <w:i/>
          <w:iCs/>
          <w:color w:val="595959"/>
          <w:sz w:val="20"/>
          <w:szCs w:val="20"/>
        </w:rPr>
        <w:t xml:space="preserve">Changed in v1.3: source hierarchy rebuilt around direct BLE; HealthKit demoted to backfill; Share deferred; sequence-number deduplication and the channel budget are new.</w:t>
      </w:r>
    </w:p>
    <w:p>
      <w:pPr>
        <w:pStyle w:val="Heading3"/>
        <w:spacing w:after="120" w:before="220"/>
      </w:pPr>
      <w:r>
        <w:rPr>
          <w:b w:val="false"/>
          <w:bCs w:val="false"/>
        </w:rPr>
        <w:t xml:space="preserve">3.1.2 Current Reading Screen</w:t>
      </w:r>
    </w:p>
    <w:p>
      <w:pPr>
        <w:pStyle w:val="ListParagraph"/>
        <w:numPr>
          <w:ilvl w:val="0"/>
          <w:numId w:val="2"/>
        </w:numPr>
        <w:spacing w:after="80" w:line="276"/>
      </w:pPr>
      <w:r>
        <w:rPr>
          <w:b/>
          <w:bCs/>
        </w:rPr>
        <w:t xml:space="preserve">Hero number:</w:t>
      </w:r>
      <w:r>
        <w:rPr>
          <w:b w:val="false"/>
          <w:bCs w:val="false"/>
        </w:rPr>
        <w:t xml:space="preserve"> large, high-contrast glucose value, colour-coded by range (in-range, low, high, urgent).</w:t>
      </w:r>
    </w:p>
    <w:p>
      <w:pPr>
        <w:pStyle w:val="ListParagraph"/>
        <w:numPr>
          <w:ilvl w:val="0"/>
          <w:numId w:val="2"/>
        </w:numPr>
        <w:spacing w:after="80" w:line="276"/>
      </w:pPr>
      <w:r>
        <w:rPr>
          <w:b/>
          <w:bCs/>
        </w:rPr>
        <w:t xml:space="preserve">Out-of-range values:</w:t>
      </w:r>
      <w:r>
        <w:rPr>
          <w:b w:val="false"/>
          <w:bCs w:val="false"/>
        </w:rPr>
        <w:t xml:space="preserve"> the G7 reports only 40–400 mg/dL, confirmed against G7SensorKit's </w:t>
      </w:r>
      <w:r>
        <w:rPr>
          <w:rFonts w:ascii="Consolas" w:cs="Consolas" w:eastAsia="Consolas" w:hAnsi="Consolas"/>
          <w:b w:val="false"/>
          <w:bCs w:val="false"/>
          <w:sz w:val="19"/>
          <w:szCs w:val="19"/>
        </w:rPr>
        <w:t xml:space="preserve">GlucoseLimits</w:t>
      </w:r>
      <w:r>
        <w:rPr>
          <w:b w:val="false"/>
          <w:bCs w:val="false"/>
        </w:rPr>
        <w:t xml:space="preserve">. Values at the rails render as </w:t>
      </w:r>
      <w:r>
        <w:rPr>
          <w:b/>
          <w:bCs/>
        </w:rPr>
        <w:t xml:space="preserve">LOW</w:t>
      </w:r>
      <w:r>
        <w:rPr>
          <w:b w:val="false"/>
          <w:bCs w:val="false"/>
        </w:rPr>
        <w:t xml:space="preserve"> and </w:t>
      </w:r>
      <w:r>
        <w:rPr>
          <w:b/>
          <w:bCs/>
        </w:rPr>
        <w:t xml:space="preserve">HIGH</w:t>
      </w:r>
      <w:r>
        <w:rPr>
          <w:b w:val="false"/>
          <w:bCs w:val="false"/>
        </w:rPr>
        <w:t xml:space="preserve">, never as the numbers 40 and 400, which would present an unknown value as a measured one.</w:t>
      </w:r>
    </w:p>
    <w:p>
      <w:pPr>
        <w:pStyle w:val="ListParagraph"/>
        <w:numPr>
          <w:ilvl w:val="0"/>
          <w:numId w:val="2"/>
        </w:numPr>
        <w:spacing w:after="80" w:line="276"/>
      </w:pPr>
      <w:r>
        <w:rPr>
          <w:b/>
          <w:bCs/>
        </w:rPr>
        <w:t xml:space="preserve">Trend arrow:</w:t>
      </w:r>
      <w:r>
        <w:rPr>
          <w:b w:val="false"/>
          <w:bCs w:val="false"/>
        </w:rPr>
        <w:t xml:space="preserve"> taken directly from the sensor's reported rate of change (§4.2.7). When the sensor reports no trend, no arrow is drawn — a flat arrow is not the same statement as “unknown”.</w:t>
      </w:r>
    </w:p>
    <w:p>
      <w:pPr>
        <w:pStyle w:val="ListParagraph"/>
        <w:numPr>
          <w:ilvl w:val="0"/>
          <w:numId w:val="2"/>
        </w:numPr>
        <w:spacing w:after="80" w:line="276"/>
      </w:pPr>
      <w:r>
        <w:rPr>
          <w:b/>
          <w:bCs/>
        </w:rPr>
        <w:t xml:space="preserve">Freshness:</w:t>
      </w:r>
      <w:r>
        <w:rPr>
          <w:b w:val="false"/>
          <w:bCs w:val="false"/>
        </w:rPr>
        <w:t xml:space="preserve"> rendered from the reading's measured </w:t>
      </w:r>
      <w:r>
        <w:rPr>
          <w:rFonts w:ascii="Consolas" w:cs="Consolas" w:eastAsia="Consolas" w:hAnsi="Consolas"/>
          <w:b w:val="false"/>
          <w:bCs w:val="false"/>
          <w:sz w:val="19"/>
          <w:szCs w:val="19"/>
        </w:rPr>
        <w:t xml:space="preserve">age</w:t>
      </w:r>
      <w:r>
        <w:rPr>
          <w:b w:val="false"/>
          <w:bCs w:val="false"/>
        </w:rPr>
        <w:t xml:space="preserve">, not from arrival time. Amber at &gt;7 min, red at &gt;20 min (§3.1.3).</w:t>
      </w:r>
    </w:p>
    <w:p>
      <w:pPr>
        <w:pStyle w:val="ListParagraph"/>
        <w:numPr>
          <w:ilvl w:val="0"/>
          <w:numId w:val="2"/>
        </w:numPr>
        <w:spacing w:after="80" w:line="276"/>
      </w:pPr>
      <w:r>
        <w:rPr>
          <w:b/>
          <w:bCs/>
        </w:rPr>
        <w:t xml:space="preserve">Connection state:</w:t>
      </w:r>
      <w:r>
        <w:rPr>
          <w:b w:val="false"/>
          <w:bCs w:val="false"/>
        </w:rPr>
        <w:t xml:space="preserve"> a small, low-contrast indicator for the BLE link — connected, reconnecting, or unavailable. Deliberately quiet: reconnection is routine and must not read as an emergency.</w:t>
      </w:r>
    </w:p>
    <w:p>
      <w:pPr>
        <w:pStyle w:val="ListParagraph"/>
        <w:numPr>
          <w:ilvl w:val="0"/>
          <w:numId w:val="2"/>
        </w:numPr>
        <w:spacing w:after="80" w:line="276"/>
      </w:pPr>
      <w:r>
        <w:rPr>
          <w:b/>
          <w:bCs/>
        </w:rPr>
        <w:t xml:space="preserve">Sensor state banner:</w:t>
      </w:r>
      <w:r>
        <w:rPr>
          <w:b w:val="false"/>
          <w:bCs w:val="false"/>
        </w:rPr>
        <w:t xml:space="preserve"> surfaces warmup, temporary issue, failure, and session end as distinct states (§3.1.3), so a routine 30-minute warmup does not present as a broken app.</w:t>
      </w:r>
    </w:p>
    <w:p>
      <w:pPr>
        <w:pStyle w:val="ListParagraph"/>
        <w:numPr>
          <w:ilvl w:val="0"/>
          <w:numId w:val="2"/>
        </w:numPr>
        <w:spacing w:after="80" w:line="276"/>
      </w:pPr>
      <w:r>
        <w:rPr>
          <w:b/>
          <w:bCs/>
        </w:rPr>
        <w:t xml:space="preserve">Delta:</w:t>
      </w:r>
      <w:r>
        <w:rPr>
          <w:b w:val="false"/>
          <w:bCs w:val="false"/>
        </w:rPr>
        <w:t xml:space="preserve"> change from the previous reading and from 15 minutes ago. Suppressed when the intervening data has gaps.</w:t>
      </w:r>
    </w:p>
    <w:p>
      <w:pPr>
        <w:pStyle w:val="ListParagraph"/>
        <w:numPr>
          <w:ilvl w:val="0"/>
          <w:numId w:val="2"/>
        </w:numPr>
        <w:spacing w:after="80" w:line="276"/>
      </w:pPr>
      <w:r>
        <w:rPr>
          <w:b/>
          <w:bCs/>
        </w:rPr>
        <w:t xml:space="preserve">3h chart:</w:t>
      </w:r>
      <w:r>
        <w:rPr>
          <w:b w:val="false"/>
          <w:bCs w:val="false"/>
        </w:rPr>
        <w:t xml:space="preserve"> compact line chart of the last 3 hours with the target range band.</w:t>
      </w:r>
    </w:p>
    <w:p>
      <w:pPr>
        <w:pStyle w:val="Heading3"/>
        <w:spacing w:after="120" w:before="220"/>
      </w:pPr>
      <w:r>
        <w:rPr>
          <w:b w:val="false"/>
          <w:bCs w:val="false"/>
        </w:rPr>
        <w:t xml:space="preserve">3.1.3 Sensor Lifecycle &amp; Data States</w:t>
      </w:r>
    </w:p>
    <w:p>
      <w:pPr>
        <w:pBdr>
          <w:left w:val="single" w:color="BFD3E6" w:sz="12" w:space="8"/>
        </w:pBdr>
        <w:spacing w:after="160" w:line="260"/>
        <w:ind w:left="180"/>
      </w:pPr>
      <w:r>
        <w:rPr>
          <w:b w:val="false"/>
          <w:bCs w:val="false"/>
          <w:i/>
          <w:iCs/>
          <w:color w:val="595959"/>
          <w:sz w:val="20"/>
          <w:szCs w:val="20"/>
        </w:rPr>
        <w:t xml:space="preserve">Rewritten in v1.3. v1.2 invented six states from first principles. The sensor reports its own state directly, and the real enum is both richer and authoritative.</w:t>
      </w:r>
    </w:p>
    <w:p>
      <w:pPr>
        <w:spacing w:after="120" w:line="276"/>
      </w:pPr>
      <w:r>
        <w:rPr>
          <w:b w:val="false"/>
          <w:bCs w:val="false"/>
        </w:rPr>
        <w:t xml:space="preserve">Every BLE reading carries an </w:t>
      </w:r>
      <w:r>
        <w:rPr>
          <w:rFonts w:ascii="Consolas" w:cs="Consolas" w:eastAsia="Consolas" w:hAnsi="Consolas"/>
          <w:b w:val="false"/>
          <w:bCs w:val="false"/>
          <w:sz w:val="19"/>
          <w:szCs w:val="19"/>
        </w:rPr>
        <w:t xml:space="preserve">algorithmState</w:t>
      </w:r>
      <w:r>
        <w:rPr>
          <w:b w:val="false"/>
          <w:bCs w:val="false"/>
        </w:rPr>
        <w:t xml:space="preserve"> byte. </w:t>
      </w:r>
      <w:r>
        <w:rPr>
          <w:rFonts w:ascii="Consolas" w:cs="Consolas" w:eastAsia="Consolas" w:hAnsi="Consolas"/>
          <w:b w:val="false"/>
          <w:bCs w:val="false"/>
          <w:sz w:val="19"/>
          <w:szCs w:val="19"/>
        </w:rPr>
        <w:t xml:space="preserve">G7SensorKit</w:t>
      </w:r>
      <w:r>
        <w:rPr>
          <w:b w:val="false"/>
          <w:bCs w:val="false"/>
        </w:rPr>
        <w:t xml:space="preserve"> decodes it into 26 known states; the app groups them into the display states below rather than surfacing all 26 to the user.</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700"/>
        <w:gridCol w:w="3900"/>
        <w:gridCol w:w="3760"/>
      </w:tblGrid>
      <w:tr>
        <w:trPr>
          <w:tblHeader/>
        </w:trPr>
        <w:tc>
          <w:tcPr>
            <w:tcW w:type="dxa" w:w="1700"/>
            <w:shd w:fill="DEEAF6" w:color="auto" w:val="clear"/>
            <w:tcMar>
              <w:top w:type="dxa" w:w="60"/>
              <w:left w:type="dxa" w:w="100"/>
              <w:bottom w:type="dxa" w:w="60"/>
              <w:right w:type="dxa" w:w="100"/>
            </w:tcMar>
          </w:tcPr>
          <w:p>
            <w:pPr>
              <w:spacing w:after="0" w:line="250"/>
            </w:pPr>
            <w:r>
              <w:rPr>
                <w:b/>
                <w:bCs/>
                <w:sz w:val="20"/>
                <w:szCs w:val="20"/>
              </w:rPr>
              <w:t xml:space="preserve">Display state</w:t>
            </w:r>
          </w:p>
        </w:tc>
        <w:tc>
          <w:tcPr>
            <w:tcW w:type="dxa" w:w="3900"/>
            <w:shd w:fill="DEEAF6" w:color="auto" w:val="clear"/>
            <w:tcMar>
              <w:top w:type="dxa" w:w="60"/>
              <w:left w:type="dxa" w:w="100"/>
              <w:bottom w:type="dxa" w:w="60"/>
              <w:right w:type="dxa" w:w="100"/>
            </w:tcMar>
          </w:tcPr>
          <w:p>
            <w:pPr>
              <w:spacing w:after="0" w:line="250"/>
            </w:pPr>
            <w:r>
              <w:rPr>
                <w:b/>
                <w:bCs/>
                <w:sz w:val="20"/>
                <w:szCs w:val="20"/>
              </w:rPr>
              <w:t xml:space="preserve">Underlying sensor states</w:t>
            </w:r>
          </w:p>
        </w:tc>
        <w:tc>
          <w:tcPr>
            <w:tcW w:type="dxa" w:w="3760"/>
            <w:shd w:fill="DEEAF6" w:color="auto" w:val="clear"/>
            <w:tcMar>
              <w:top w:type="dxa" w:w="60"/>
              <w:left w:type="dxa" w:w="100"/>
              <w:bottom w:type="dxa" w:w="60"/>
              <w:right w:type="dxa" w:w="100"/>
            </w:tcMar>
          </w:tcPr>
          <w:p>
            <w:pPr>
              <w:spacing w:after="0" w:line="250"/>
            </w:pPr>
            <w:r>
              <w:rPr>
                <w:b/>
                <w:bCs/>
                <w:sz w:val="20"/>
                <w:szCs w:val="20"/>
              </w:rPr>
              <w:t xml:space="preserve">Treatment</w:t>
            </w:r>
          </w:p>
        </w:tc>
      </w:tr>
      <w:tr>
        <w:tc>
          <w:tcPr>
            <w:tcW w:type="dxa" w:w="1700"/>
            <w:tcMar>
              <w:top w:type="dxa" w:w="60"/>
              <w:left w:type="dxa" w:w="100"/>
              <w:bottom w:type="dxa" w:w="60"/>
              <w:right w:type="dxa" w:w="100"/>
            </w:tcMar>
          </w:tcPr>
          <w:p>
            <w:pPr>
              <w:spacing w:after="0" w:line="250"/>
            </w:pPr>
            <w:r>
              <w:rPr>
                <w:b w:val="false"/>
                <w:bCs w:val="false"/>
                <w:sz w:val="20"/>
                <w:szCs w:val="20"/>
              </w:rPr>
              <w:t xml:space="preserve">Normal</w:t>
            </w:r>
          </w:p>
        </w:tc>
        <w:tc>
          <w:tcPr>
            <w:tcW w:type="dxa" w:w="3900"/>
            <w:tcMar>
              <w:top w:type="dxa" w:w="60"/>
              <w:left w:type="dxa" w:w="100"/>
              <w:bottom w:type="dxa" w:w="60"/>
              <w:right w:type="dxa" w:w="100"/>
            </w:tcMar>
          </w:tcPr>
          <w:p>
            <w:pPr>
              <w:spacing w:after="0" w:line="250"/>
            </w:pPr>
            <w:r>
              <w:rPr>
                <w:b w:val="false"/>
                <w:bCs w:val="false"/>
                <w:sz w:val="20"/>
                <w:szCs w:val="20"/>
              </w:rPr>
              <w:t xml:space="preserve">ok</w:t>
            </w:r>
          </w:p>
        </w:tc>
        <w:tc>
          <w:tcPr>
            <w:tcW w:type="dxa" w:w="3760"/>
            <w:tcMar>
              <w:top w:type="dxa" w:w="60"/>
              <w:left w:type="dxa" w:w="100"/>
              <w:bottom w:type="dxa" w:w="60"/>
              <w:right w:type="dxa" w:w="100"/>
            </w:tcMar>
          </w:tcPr>
          <w:p>
            <w:pPr>
              <w:spacing w:after="0" w:line="250"/>
            </w:pPr>
            <w:r>
              <w:rPr>
                <w:b w:val="false"/>
                <w:bCs w:val="false"/>
                <w:sz w:val="20"/>
                <w:szCs w:val="20"/>
              </w:rPr>
              <w:t xml:space="preserve">Full display: value, trend, forecast.</w:t>
            </w:r>
          </w:p>
        </w:tc>
      </w:tr>
      <w:tr>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Warming up</w:t>
            </w:r>
          </w:p>
        </w:tc>
        <w:tc>
          <w:tcPr>
            <w:tcW w:type="dxa" w:w="3900"/>
            <w:shd w:fill="F5F8FC" w:color="auto" w:val="clear"/>
            <w:tcMar>
              <w:top w:type="dxa" w:w="60"/>
              <w:left w:type="dxa" w:w="100"/>
              <w:bottom w:type="dxa" w:w="60"/>
              <w:right w:type="dxa" w:w="100"/>
            </w:tcMar>
          </w:tcPr>
          <w:p>
            <w:pPr>
              <w:spacing w:after="0" w:line="250"/>
            </w:pPr>
            <w:r>
              <w:rPr>
                <w:b w:val="false"/>
                <w:bCs w:val="false"/>
                <w:sz w:val="20"/>
                <w:szCs w:val="20"/>
              </w:rPr>
              <w:t xml:space="preserve">warmup</w:t>
            </w:r>
          </w:p>
        </w:tc>
        <w:tc>
          <w:tcPr>
            <w:tcW w:type="dxa" w:w="3760"/>
            <w:shd w:fill="F5F8FC" w:color="auto" w:val="clear"/>
            <w:tcMar>
              <w:top w:type="dxa" w:w="60"/>
              <w:left w:type="dxa" w:w="100"/>
              <w:bottom w:type="dxa" w:w="60"/>
              <w:right w:type="dxa" w:w="100"/>
            </w:tcMar>
          </w:tcPr>
          <w:p>
            <w:pPr>
              <w:spacing w:after="0" w:line="250"/>
            </w:pPr>
            <w:r>
              <w:rPr>
                <w:b w:val="false"/>
                <w:bCs w:val="false"/>
                <w:sz w:val="20"/>
                <w:szCs w:val="20"/>
              </w:rPr>
              <w:t xml:space="preserve">Countdown, not a staleness warning. Expected for 30 minutes after every sensor change.</w:t>
            </w:r>
          </w:p>
        </w:tc>
      </w:tr>
      <w:tr>
        <w:tc>
          <w:tcPr>
            <w:tcW w:type="dxa" w:w="1700"/>
            <w:tcMar>
              <w:top w:type="dxa" w:w="60"/>
              <w:left w:type="dxa" w:w="100"/>
              <w:bottom w:type="dxa" w:w="60"/>
              <w:right w:type="dxa" w:w="100"/>
            </w:tcMar>
          </w:tcPr>
          <w:p>
            <w:pPr>
              <w:spacing w:after="0" w:line="250"/>
            </w:pPr>
            <w:r>
              <w:rPr>
                <w:b w:val="false"/>
                <w:bCs w:val="false"/>
                <w:sz w:val="20"/>
                <w:szCs w:val="20"/>
              </w:rPr>
              <w:t xml:space="preserve">Temporary issue</w:t>
            </w:r>
          </w:p>
        </w:tc>
        <w:tc>
          <w:tcPr>
            <w:tcW w:type="dxa" w:w="3900"/>
            <w:tcMar>
              <w:top w:type="dxa" w:w="60"/>
              <w:left w:type="dxa" w:w="100"/>
              <w:bottom w:type="dxa" w:w="60"/>
              <w:right w:type="dxa" w:w="100"/>
            </w:tcMar>
          </w:tcPr>
          <w:p>
            <w:pPr>
              <w:spacing w:after="0" w:line="250"/>
            </w:pPr>
            <w:r>
              <w:rPr>
                <w:b w:val="false"/>
                <w:bCs w:val="false"/>
                <w:sz w:val="20"/>
                <w:szCs w:val="20"/>
              </w:rPr>
              <w:t xml:space="preserve">excessNoise, temporarySensorIssue, outOfCalibrationDueToOutlier</w:t>
            </w:r>
          </w:p>
        </w:tc>
        <w:tc>
          <w:tcPr>
            <w:tcW w:type="dxa" w:w="3760"/>
            <w:tcMar>
              <w:top w:type="dxa" w:w="60"/>
              <w:left w:type="dxa" w:w="100"/>
              <w:bottom w:type="dxa" w:w="60"/>
              <w:right w:type="dxa" w:w="100"/>
            </w:tcMar>
          </w:tcPr>
          <w:p>
            <w:pPr>
              <w:spacing w:after="0" w:line="250"/>
            </w:pPr>
            <w:r>
              <w:rPr>
                <w:b w:val="false"/>
                <w:bCs w:val="false"/>
                <w:sz w:val="20"/>
                <w:szCs w:val="20"/>
              </w:rPr>
              <w:t xml:space="preserve">Value shown but visibly de-emphasised; forecast suppressed. Usually self-resolving.</w:t>
            </w:r>
          </w:p>
        </w:tc>
      </w:tr>
      <w:tr>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Sensor failed</w:t>
            </w:r>
          </w:p>
        </w:tc>
        <w:tc>
          <w:tcPr>
            <w:tcW w:type="dxa" w:w="3900"/>
            <w:shd w:fill="F5F8FC" w:color="auto" w:val="clear"/>
            <w:tcMar>
              <w:top w:type="dxa" w:w="60"/>
              <w:left w:type="dxa" w:w="100"/>
              <w:bottom w:type="dxa" w:w="60"/>
              <w:right w:type="dxa" w:w="100"/>
            </w:tcMar>
          </w:tcPr>
          <w:p>
            <w:pPr>
              <w:spacing w:after="0" w:line="250"/>
            </w:pPr>
            <w:r>
              <w:rPr>
                <w:b w:val="false"/>
                <w:bCs w:val="false"/>
                <w:sz w:val="20"/>
                <w:szCs w:val="20"/>
              </w:rPr>
              <w:t xml:space="preserve">sensorFailed and the eight specific failure states</w:t>
            </w:r>
          </w:p>
        </w:tc>
        <w:tc>
          <w:tcPr>
            <w:tcW w:type="dxa" w:w="3760"/>
            <w:shd w:fill="F5F8FC" w:color="auto" w:val="clear"/>
            <w:tcMar>
              <w:top w:type="dxa" w:w="60"/>
              <w:left w:type="dxa" w:w="100"/>
              <w:bottom w:type="dxa" w:w="60"/>
              <w:right w:type="dxa" w:w="100"/>
            </w:tcMar>
          </w:tcPr>
          <w:p>
            <w:pPr>
              <w:spacing w:after="0" w:line="250"/>
            </w:pPr>
            <w:r>
              <w:rPr>
                <w:b w:val="false"/>
                <w:bCs w:val="false"/>
                <w:sz w:val="20"/>
                <w:szCs w:val="20"/>
              </w:rPr>
              <w:t xml:space="preserve">No value. Prompt to replace the sensor and open the official app.</w:t>
            </w:r>
          </w:p>
        </w:tc>
      </w:tr>
      <w:tr>
        <w:tc>
          <w:tcPr>
            <w:tcW w:type="dxa" w:w="1700"/>
            <w:tcMar>
              <w:top w:type="dxa" w:w="60"/>
              <w:left w:type="dxa" w:w="100"/>
              <w:bottom w:type="dxa" w:w="60"/>
              <w:right w:type="dxa" w:w="100"/>
            </w:tcMar>
          </w:tcPr>
          <w:p>
            <w:pPr>
              <w:spacing w:after="0" w:line="250"/>
            </w:pPr>
            <w:r>
              <w:rPr>
                <w:b w:val="false"/>
                <w:bCs w:val="false"/>
                <w:sz w:val="20"/>
                <w:szCs w:val="20"/>
              </w:rPr>
              <w:t xml:space="preserve">Session ended</w:t>
            </w:r>
          </w:p>
        </w:tc>
        <w:tc>
          <w:tcPr>
            <w:tcW w:type="dxa" w:w="3900"/>
            <w:tcMar>
              <w:top w:type="dxa" w:w="60"/>
              <w:left w:type="dxa" w:w="100"/>
              <w:bottom w:type="dxa" w:w="60"/>
              <w:right w:type="dxa" w:w="100"/>
            </w:tcMar>
          </w:tcPr>
          <w:p>
            <w:pPr>
              <w:spacing w:after="0" w:line="250"/>
            </w:pPr>
            <w:r>
              <w:rPr>
                <w:b w:val="false"/>
                <w:bCs w:val="false"/>
                <w:sz w:val="20"/>
                <w:szCs w:val="20"/>
              </w:rPr>
              <w:t xml:space="preserve">expired, sessionExpired, sessionEnded, stopped</w:t>
            </w:r>
          </w:p>
        </w:tc>
        <w:tc>
          <w:tcPr>
            <w:tcW w:type="dxa" w:w="3760"/>
            <w:tcMar>
              <w:top w:type="dxa" w:w="60"/>
              <w:left w:type="dxa" w:w="100"/>
              <w:bottom w:type="dxa" w:w="60"/>
              <w:right w:type="dxa" w:w="100"/>
            </w:tcMar>
          </w:tcPr>
          <w:p>
            <w:pPr>
              <w:spacing w:after="0" w:line="250"/>
            </w:pPr>
            <w:r>
              <w:rPr>
                <w:b w:val="false"/>
                <w:bCs w:val="false"/>
                <w:sz w:val="20"/>
                <w:szCs w:val="20"/>
              </w:rPr>
              <w:t xml:space="preserve">No value. Prompt to start a new sensor.</w:t>
            </w:r>
          </w:p>
        </w:tc>
      </w:tr>
      <w:tr>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Signal loss</w:t>
            </w:r>
          </w:p>
        </w:tc>
        <w:tc>
          <w:tcPr>
            <w:tcW w:type="dxa" w:w="3900"/>
            <w:shd w:fill="F5F8FC" w:color="auto" w:val="clear"/>
            <w:tcMar>
              <w:top w:type="dxa" w:w="60"/>
              <w:left w:type="dxa" w:w="100"/>
              <w:bottom w:type="dxa" w:w="60"/>
              <w:right w:type="dxa" w:w="100"/>
            </w:tcMar>
          </w:tcPr>
          <w:p>
            <w:pPr>
              <w:spacing w:after="0" w:line="250"/>
            </w:pPr>
            <w:r>
              <w:rPr>
                <w:b w:val="false"/>
                <w:bCs w:val="false"/>
                <w:sz w:val="20"/>
                <w:szCs w:val="20"/>
              </w:rPr>
              <w:t xml:space="preserve">(not a sensor state — no BLE reading received)</w:t>
            </w:r>
          </w:p>
        </w:tc>
        <w:tc>
          <w:tcPr>
            <w:tcW w:type="dxa" w:w="3760"/>
            <w:shd w:fill="F5F8FC" w:color="auto" w:val="clear"/>
            <w:tcMar>
              <w:top w:type="dxa" w:w="60"/>
              <w:left w:type="dxa" w:w="100"/>
              <w:bottom w:type="dxa" w:w="60"/>
              <w:right w:type="dxa" w:w="100"/>
            </w:tcMar>
          </w:tcPr>
          <w:p>
            <w:pPr>
              <w:spacing w:after="0" w:line="250"/>
            </w:pPr>
            <w:r>
              <w:rPr>
                <w:b w:val="false"/>
                <w:bCs w:val="false"/>
                <w:sz w:val="20"/>
                <w:szCs w:val="20"/>
              </w:rPr>
              <w:t xml:space="preserve">Distinct from all of the above. Maps to the staleness treatment below.</w:t>
            </w:r>
          </w:p>
        </w:tc>
      </w:tr>
      <w:tr>
        <w:tc>
          <w:tcPr>
            <w:tcW w:type="dxa" w:w="1700"/>
            <w:tcMar>
              <w:top w:type="dxa" w:w="60"/>
              <w:left w:type="dxa" w:w="100"/>
              <w:bottom w:type="dxa" w:w="60"/>
              <w:right w:type="dxa" w:w="100"/>
            </w:tcMar>
          </w:tcPr>
          <w:p>
            <w:pPr>
              <w:spacing w:after="0" w:line="250"/>
            </w:pPr>
            <w:r>
              <w:rPr>
                <w:b w:val="false"/>
                <w:bCs w:val="false"/>
                <w:sz w:val="20"/>
                <w:szCs w:val="20"/>
              </w:rPr>
              <w:t xml:space="preserve">Unknown</w:t>
            </w:r>
          </w:p>
        </w:tc>
        <w:tc>
          <w:tcPr>
            <w:tcW w:type="dxa" w:w="3900"/>
            <w:tcMar>
              <w:top w:type="dxa" w:w="60"/>
              <w:left w:type="dxa" w:w="100"/>
              <w:bottom w:type="dxa" w:w="60"/>
              <w:right w:type="dxa" w:w="100"/>
            </w:tcMar>
          </w:tcPr>
          <w:p>
            <w:pPr>
              <w:spacing w:after="0" w:line="250"/>
            </w:pPr>
            <w:r>
              <w:rPr>
                <w:b w:val="false"/>
                <w:bCs w:val="false"/>
                <w:sz w:val="20"/>
                <w:szCs w:val="20"/>
              </w:rPr>
              <w:t xml:space="preserve">any unrecognised raw value</w:t>
            </w:r>
          </w:p>
        </w:tc>
        <w:tc>
          <w:tcPr>
            <w:tcW w:type="dxa" w:w="3760"/>
            <w:tcMar>
              <w:top w:type="dxa" w:w="60"/>
              <w:left w:type="dxa" w:w="100"/>
              <w:bottom w:type="dxa" w:w="60"/>
              <w:right w:type="dxa" w:w="100"/>
            </w:tcMar>
          </w:tcPr>
          <w:p>
            <w:pPr>
              <w:spacing w:after="0" w:line="250"/>
            </w:pPr>
            <w:r>
              <w:rPr>
                <w:b w:val="false"/>
                <w:bCs w:val="false"/>
                <w:sz w:val="20"/>
                <w:szCs w:val="20"/>
              </w:rPr>
              <w:t xml:space="preserve">Display the raw value in diagnostics and treat as a temporary issue. Do not crash and do not silently show stale data.</w:t>
            </w:r>
          </w:p>
        </w:tc>
      </w:tr>
    </w:tbl>
    <w:p>
      <w:pPr>
        <w:spacing w:after="100"/>
      </w:pPr>
    </w:p>
    <w:p>
      <w:pPr>
        <w:spacing w:after="120" w:line="276"/>
      </w:pPr>
      <w:r>
        <w:rPr>
          <w:rFonts w:ascii="Consolas" w:cs="Consolas" w:eastAsia="Consolas" w:hAnsi="Consolas"/>
          <w:b w:val="false"/>
          <w:bCs w:val="false"/>
          <w:sz w:val="19"/>
          <w:szCs w:val="19"/>
        </w:rPr>
        <w:t xml:space="preserve">hasReliableGlucose</w:t>
      </w:r>
      <w:r>
        <w:rPr>
          <w:b w:val="false"/>
          <w:bCs w:val="false"/>
        </w:rPr>
        <w:t xml:space="preserve"> is true only in the </w:t>
      </w:r>
      <w:r>
        <w:rPr>
          <w:rFonts w:ascii="Consolas" w:cs="Consolas" w:eastAsia="Consolas" w:hAnsi="Consolas"/>
          <w:b w:val="false"/>
          <w:bCs w:val="false"/>
          <w:sz w:val="19"/>
          <w:szCs w:val="19"/>
        </w:rPr>
        <w:t xml:space="preserve">ok</w:t>
      </w:r>
      <w:r>
        <w:rPr>
          <w:b w:val="false"/>
          <w:bCs w:val="false"/>
        </w:rPr>
        <w:t xml:space="preserve"> state. The forecast, the trend arrow, and every derived statistic gate on it — showing a prediction built from readings the sensor itself considers unreliable would be worse than showing nothing.</w:t>
      </w:r>
    </w:p>
    <w:p>
      <w:pPr>
        <w:spacing w:after="100" w:before="180"/>
      </w:pPr>
      <w:r>
        <w:rPr>
          <w:b/>
          <w:bCs/>
          <w:color w:val="1F4D78"/>
        </w:rPr>
        <w:t xml:space="preserve">Staleness</w:t>
      </w:r>
    </w:p>
    <w:p>
      <w:pPr>
        <w:spacing w:after="120" w:line="276"/>
      </w:pPr>
      <w:r>
        <w:rPr>
          <w:b w:val="false"/>
          <w:bCs w:val="false"/>
        </w:rPr>
        <w:t xml:space="preserve">Signal loss is the only case where the app must estimate rather than read. Because BLE readings arrive within seconds, an absent reading is a genuine gap rather than latency:</w:t>
      </w:r>
    </w:p>
    <w:p>
      <w:pPr>
        <w:pStyle w:val="ListParagraph"/>
        <w:numPr>
          <w:ilvl w:val="0"/>
          <w:numId w:val="2"/>
        </w:numPr>
        <w:spacing w:after="80" w:line="276"/>
      </w:pPr>
      <w:r>
        <w:rPr>
          <w:b/>
          <w:bCs/>
        </w:rPr>
        <w:t xml:space="preserve">Fresh:</w:t>
      </w:r>
      <w:r>
        <w:rPr>
          <w:b w:val="false"/>
          <w:bCs w:val="false"/>
        </w:rPr>
        <w:t xml:space="preserve"> newest reading under 7 minutes old (one missed 5-minute transmission plus margin).</w:t>
      </w:r>
    </w:p>
    <w:p>
      <w:pPr>
        <w:pStyle w:val="ListParagraph"/>
        <w:numPr>
          <w:ilvl w:val="0"/>
          <w:numId w:val="2"/>
        </w:numPr>
        <w:spacing w:after="80" w:line="276"/>
      </w:pPr>
      <w:r>
        <w:rPr>
          <w:b/>
          <w:bCs/>
        </w:rPr>
        <w:t xml:space="preserve">Stale (amber):</w:t>
      </w:r>
      <w:r>
        <w:rPr>
          <w:b w:val="false"/>
          <w:bCs w:val="false"/>
        </w:rPr>
        <w:t xml:space="preserve"> 7 to 20 minutes. Freshness label turns amber; the hero number desaturates.</w:t>
      </w:r>
    </w:p>
    <w:p>
      <w:pPr>
        <w:pStyle w:val="ListParagraph"/>
        <w:numPr>
          <w:ilvl w:val="0"/>
          <w:numId w:val="2"/>
        </w:numPr>
        <w:spacing w:after="80" w:line="276"/>
      </w:pPr>
      <w:r>
        <w:rPr>
          <w:b/>
          <w:bCs/>
        </w:rPr>
        <w:t xml:space="preserve">Critically stale (red):</w:t>
      </w:r>
      <w:r>
        <w:rPr>
          <w:b w:val="false"/>
          <w:bCs w:val="false"/>
        </w:rPr>
        <w:t xml:space="preserve"> over 20 minutes. Last value shown in a muted treatment with an explicit prompt to open the official Dexcom app. </w:t>
      </w:r>
      <w:r>
        <w:rPr>
          <w:b/>
          <w:bCs/>
        </w:rPr>
        <w:t xml:space="preserve">The trend arrow and forecast are both hidden</w:t>
      </w:r>
      <w:r>
        <w:rPr>
          <w:b w:val="false"/>
          <w:bCs w:val="false"/>
        </w:rPr>
        <w:t xml:space="preserve">, because both are meaningless on stale data.</w:t>
      </w:r>
    </w:p>
    <w:p>
      <w:pPr>
        <w:pBdr>
          <w:left w:val="single" w:color="BFD3E6" w:sz="12" w:space="8"/>
        </w:pBdr>
        <w:spacing w:after="160" w:line="260"/>
        <w:ind w:left="180"/>
      </w:pPr>
      <w:r>
        <w:rPr>
          <w:b w:val="false"/>
          <w:bCs w:val="false"/>
          <w:i/>
          <w:iCs/>
          <w:color w:val="595959"/>
          <w:sz w:val="20"/>
          <w:szCs w:val="20"/>
        </w:rPr>
        <w:t xml:space="preserve">Changed in v1.3: thresholds tightened from 12/30 minutes to 7/20. v1.2’s wider thresholds existed to absorb Share’s cloud latency; direct BLE has none, so a gap is a real gap and can be surfaced sooner without crying wolf.</w:t>
      </w:r>
    </w:p>
    <w:p>
      <w:pPr>
        <w:spacing w:after="100" w:before="180"/>
      </w:pPr>
      <w:r>
        <w:rPr>
          <w:b/>
          <w:bCs/>
          <w:color w:val="1F4D78"/>
        </w:rPr>
        <w:t xml:space="preserve">Sensor session dashboard</w:t>
      </w:r>
    </w:p>
    <w:p>
      <w:pPr>
        <w:spacing w:after="120" w:line="276"/>
      </w:pPr>
      <w:r>
        <w:rPr>
          <w:b w:val="false"/>
          <w:bCs w:val="false"/>
        </w:rPr>
        <w:t xml:space="preserve">Session day and hours remaining, warmup countdown, and a change reminder. In v1.2 session start had to be inferred from a gap heuristic; over BLE the sensor reports its own message timestamp as seconds since pairing, so session age is read directly and the heuristic is discarded.</w:t>
      </w:r>
    </w:p>
    <w:p>
      <w:pPr>
        <w:pStyle w:val="Heading3"/>
        <w:spacing w:after="120" w:before="220"/>
      </w:pPr>
      <w:r>
        <w:rPr>
          <w:b w:val="false"/>
          <w:bCs w:val="false"/>
        </w:rPr>
        <w:t xml:space="preserve">3.1.4 Adaptive Theme System</w:t>
      </w:r>
    </w:p>
    <w:p>
      <w:pPr>
        <w:pStyle w:val="ListParagraph"/>
        <w:numPr>
          <w:ilvl w:val="0"/>
          <w:numId w:val="2"/>
        </w:numPr>
        <w:spacing w:after="80" w:line="276"/>
      </w:pPr>
      <w:r>
        <w:rPr>
          <w:b/>
          <w:bCs/>
        </w:rPr>
        <w:t xml:space="preserve">Three themes:</w:t>
      </w:r>
      <w:r>
        <w:rPr>
          <w:b w:val="false"/>
          <w:bCs w:val="false"/>
        </w:rPr>
        <w:t xml:space="preserve"> True Black (OLED, pure #000000 background), Soft Dark (#1C1C1E, iOS-standard), Light (high-contrast white for outdoor visibility).</w:t>
      </w:r>
    </w:p>
    <w:p>
      <w:pPr>
        <w:pStyle w:val="ListParagraph"/>
        <w:numPr>
          <w:ilvl w:val="0"/>
          <w:numId w:val="2"/>
        </w:numPr>
        <w:spacing w:after="80" w:line="276"/>
      </w:pPr>
      <w:r>
        <w:rPr>
          <w:b/>
          <w:bCs/>
        </w:rPr>
        <w:t xml:space="preserve">System sync:</w:t>
      </w:r>
      <w:r>
        <w:rPr>
          <w:b w:val="false"/>
          <w:bCs w:val="false"/>
        </w:rPr>
        <w:t xml:space="preserve"> honour the iOS appearance setting by default; the user can override.</w:t>
      </w:r>
    </w:p>
    <w:p>
      <w:pPr>
        <w:pStyle w:val="ListParagraph"/>
        <w:numPr>
          <w:ilvl w:val="0"/>
          <w:numId w:val="2"/>
        </w:numPr>
        <w:spacing w:after="80" w:line="276"/>
      </w:pPr>
      <w:r>
        <w:rPr>
          <w:b/>
          <w:bCs/>
        </w:rPr>
        <w:t xml:space="preserve">Bedside Mode:</w:t>
      </w:r>
      <w:r>
        <w:rPr>
          <w:b w:val="false"/>
          <w:bCs w:val="false"/>
        </w:rPr>
        <w:t xml:space="preserve"> a separate toggle — dimmed, red-shifted palette for nighttime checks without disrupting dark adaptation. Activates manually or on a schedule (default 10pm to 7am), with the ambient light sensor used only as a modifier, never as the sole trigger (§8).</w:t>
      </w:r>
    </w:p>
    <w:p>
      <w:pPr>
        <w:pStyle w:val="ListParagraph"/>
        <w:numPr>
          <w:ilvl w:val="0"/>
          <w:numId w:val="2"/>
        </w:numPr>
        <w:spacing w:after="80" w:line="276"/>
      </w:pPr>
      <w:r>
        <w:rPr>
          <w:b/>
          <w:bCs/>
        </w:rPr>
        <w:t xml:space="preserve">Colour-blind safety:</w:t>
      </w:r>
      <w:r>
        <w:rPr>
          <w:b w:val="false"/>
          <w:bCs w:val="false"/>
        </w:rPr>
        <w:t xml:space="preserve"> range state is encoded in colour </w:t>
      </w:r>
      <w:r>
        <w:rPr>
          <w:b/>
          <w:bCs/>
        </w:rPr>
        <w:t xml:space="preserve">and</w:t>
      </w:r>
      <w:r>
        <w:rPr>
          <w:b w:val="false"/>
          <w:bCs w:val="false"/>
        </w:rPr>
        <w:t xml:space="preserve"> shape (a distinct glyph per range), because in-range green and low red are precisely the deuteranopia-confusable pair. The glyph is load-bearing, not decorative, and must be legible at complication size.</w:t>
      </w:r>
    </w:p>
    <w:p>
      <w:pPr>
        <w:spacing w:after="120" w:line="276"/>
      </w:pPr>
      <w:r>
        <w:rPr>
          <w:b w:val="false"/>
          <w:bCs w:val="false"/>
        </w:rPr>
        <w:t xml:space="preserve">Implementation details, including the corrected dimming approach, are in §5.3.</w:t>
      </w:r>
    </w:p>
    <w:p>
      <w:pPr>
        <w:pStyle w:val="Heading3"/>
        <w:spacing w:after="120" w:before="220"/>
      </w:pPr>
      <w:r>
        <w:rPr>
          <w:b w:val="false"/>
          <w:bCs w:val="false"/>
        </w:rPr>
        <w:t xml:space="preserve">3.1.5 Historical View</w:t>
      </w:r>
    </w:p>
    <w:p>
      <w:pPr>
        <w:pStyle w:val="ListParagraph"/>
        <w:numPr>
          <w:ilvl w:val="0"/>
          <w:numId w:val="2"/>
        </w:numPr>
        <w:spacing w:after="80" w:line="276"/>
      </w:pPr>
      <w:r>
        <w:rPr>
          <w:b/>
          <w:bCs/>
        </w:rPr>
        <w:t xml:space="preserve">Time windows:</w:t>
      </w:r>
      <w:r>
        <w:rPr>
          <w:b w:val="false"/>
          <w:bCs w:val="false"/>
        </w:rPr>
        <w:t xml:space="preserve"> 3h, 6h, 12h, 24h, 7d, 14d, 30d, 90d.</w:t>
      </w:r>
    </w:p>
    <w:p>
      <w:pPr>
        <w:spacing w:after="100" w:before="180"/>
      </w:pPr>
      <w:r>
        <w:rPr>
          <w:b/>
          <w:bCs/>
          <w:color w:val="1F4D78"/>
        </w:rPr>
        <w:t xml:space="preserve">Statistics</w:t>
      </w:r>
    </w:p>
    <w:p>
      <w:pPr>
        <w:spacing w:after="120" w:line="276"/>
      </w:pPr>
      <w:r>
        <w:rPr>
          <w:b w:val="false"/>
          <w:bCs w:val="false"/>
        </w:rPr>
        <w:t xml:space="preserve">Reported per window, using the international consensus (ATTD/ADA) definitions rather than a simplified three-band split:</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2000"/>
        <w:gridCol w:w="2100"/>
        <w:gridCol w:w="2200"/>
        <w:gridCol w:w="3060"/>
      </w:tblGrid>
      <w:tr>
        <w:trPr>
          <w:tblHeader/>
        </w:trPr>
        <w:tc>
          <w:tcPr>
            <w:tcW w:type="dxa" w:w="2000"/>
            <w:shd w:fill="DEEAF6" w:color="auto" w:val="clear"/>
            <w:tcMar>
              <w:top w:type="dxa" w:w="60"/>
              <w:left w:type="dxa" w:w="100"/>
              <w:bottom w:type="dxa" w:w="60"/>
              <w:right w:type="dxa" w:w="100"/>
            </w:tcMar>
          </w:tcPr>
          <w:p>
            <w:pPr>
              <w:spacing w:after="0" w:line="250"/>
            </w:pPr>
            <w:r>
              <w:rPr>
                <w:b/>
                <w:bCs/>
                <w:sz w:val="20"/>
                <w:szCs w:val="20"/>
              </w:rPr>
              <w:t xml:space="preserve">Band</w:t>
            </w:r>
          </w:p>
        </w:tc>
        <w:tc>
          <w:tcPr>
            <w:tcW w:type="dxa" w:w="2100"/>
            <w:shd w:fill="DEEAF6" w:color="auto" w:val="clear"/>
            <w:tcMar>
              <w:top w:type="dxa" w:w="60"/>
              <w:left w:type="dxa" w:w="100"/>
              <w:bottom w:type="dxa" w:w="60"/>
              <w:right w:type="dxa" w:w="100"/>
            </w:tcMar>
          </w:tcPr>
          <w:p>
            <w:pPr>
              <w:spacing w:after="0" w:line="250"/>
            </w:pPr>
            <w:r>
              <w:rPr>
                <w:b/>
                <w:bCs/>
                <w:sz w:val="20"/>
                <w:szCs w:val="20"/>
              </w:rPr>
              <w:t xml:space="preserve">mg/dL</w:t>
            </w:r>
          </w:p>
        </w:tc>
        <w:tc>
          <w:tcPr>
            <w:tcW w:type="dxa" w:w="2200"/>
            <w:shd w:fill="DEEAF6" w:color="auto" w:val="clear"/>
            <w:tcMar>
              <w:top w:type="dxa" w:w="60"/>
              <w:left w:type="dxa" w:w="100"/>
              <w:bottom w:type="dxa" w:w="60"/>
              <w:right w:type="dxa" w:w="100"/>
            </w:tcMar>
          </w:tcPr>
          <w:p>
            <w:pPr>
              <w:spacing w:after="0" w:line="250"/>
            </w:pPr>
            <w:r>
              <w:rPr>
                <w:b/>
                <w:bCs/>
                <w:sz w:val="20"/>
                <w:szCs w:val="20"/>
              </w:rPr>
              <w:t xml:space="preserve">mmol/L</w:t>
            </w:r>
          </w:p>
        </w:tc>
        <w:tc>
          <w:tcPr>
            <w:tcW w:type="dxa" w:w="3060"/>
            <w:shd w:fill="DEEAF6" w:color="auto" w:val="clear"/>
            <w:tcMar>
              <w:top w:type="dxa" w:w="60"/>
              <w:left w:type="dxa" w:w="100"/>
              <w:bottom w:type="dxa" w:w="60"/>
              <w:right w:type="dxa" w:w="100"/>
            </w:tcMar>
          </w:tcPr>
          <w:p>
            <w:pPr>
              <w:spacing w:after="0" w:line="250"/>
            </w:pPr>
            <w:r>
              <w:rPr>
                <w:b/>
                <w:bCs/>
                <w:sz w:val="20"/>
                <w:szCs w:val="20"/>
              </w:rPr>
              <w:t xml:space="preserve">Consensus target</w:t>
            </w:r>
          </w:p>
        </w:tc>
      </w:tr>
      <w:tr>
        <w:tc>
          <w:tcPr>
            <w:tcW w:type="dxa" w:w="2000"/>
            <w:tcMar>
              <w:top w:type="dxa" w:w="60"/>
              <w:left w:type="dxa" w:w="100"/>
              <w:bottom w:type="dxa" w:w="60"/>
              <w:right w:type="dxa" w:w="100"/>
            </w:tcMar>
          </w:tcPr>
          <w:p>
            <w:pPr>
              <w:spacing w:after="0" w:line="250"/>
            </w:pPr>
            <w:r>
              <w:rPr>
                <w:b w:val="false"/>
                <w:bCs w:val="false"/>
                <w:sz w:val="20"/>
                <w:szCs w:val="20"/>
              </w:rPr>
              <w:t xml:space="preserve">Very Low</w:t>
            </w:r>
          </w:p>
        </w:tc>
        <w:tc>
          <w:tcPr>
            <w:tcW w:type="dxa" w:w="2100"/>
            <w:tcMar>
              <w:top w:type="dxa" w:w="60"/>
              <w:left w:type="dxa" w:w="100"/>
              <w:bottom w:type="dxa" w:w="60"/>
              <w:right w:type="dxa" w:w="100"/>
            </w:tcMar>
          </w:tcPr>
          <w:p>
            <w:pPr>
              <w:spacing w:after="0" w:line="250"/>
            </w:pPr>
            <w:r>
              <w:rPr>
                <w:b w:val="false"/>
                <w:bCs w:val="false"/>
                <w:sz w:val="20"/>
                <w:szCs w:val="20"/>
              </w:rPr>
              <w:t xml:space="preserve">&lt; 54</w:t>
            </w:r>
          </w:p>
        </w:tc>
        <w:tc>
          <w:tcPr>
            <w:tcW w:type="dxa" w:w="2200"/>
            <w:tcMar>
              <w:top w:type="dxa" w:w="60"/>
              <w:left w:type="dxa" w:w="100"/>
              <w:bottom w:type="dxa" w:w="60"/>
              <w:right w:type="dxa" w:w="100"/>
            </w:tcMar>
          </w:tcPr>
          <w:p>
            <w:pPr>
              <w:spacing w:after="0" w:line="250"/>
            </w:pPr>
            <w:r>
              <w:rPr>
                <w:b w:val="false"/>
                <w:bCs w:val="false"/>
                <w:sz w:val="20"/>
                <w:szCs w:val="20"/>
              </w:rPr>
              <w:t xml:space="preserve">&lt; 3.0</w:t>
            </w:r>
          </w:p>
        </w:tc>
        <w:tc>
          <w:tcPr>
            <w:tcW w:type="dxa" w:w="3060"/>
            <w:tcMar>
              <w:top w:type="dxa" w:w="60"/>
              <w:left w:type="dxa" w:w="100"/>
              <w:bottom w:type="dxa" w:w="60"/>
              <w:right w:type="dxa" w:w="100"/>
            </w:tcMar>
          </w:tcPr>
          <w:p>
            <w:pPr>
              <w:spacing w:after="0" w:line="250"/>
            </w:pPr>
            <w:r>
              <w:rPr>
                <w:b w:val="false"/>
                <w:bCs w:val="false"/>
                <w:sz w:val="20"/>
                <w:szCs w:val="20"/>
              </w:rPr>
              <w:t xml:space="preserve">&lt; 1% of readings</w:t>
            </w:r>
          </w:p>
        </w:tc>
      </w:tr>
      <w:tr>
        <w:tc>
          <w:tcPr>
            <w:tcW w:type="dxa" w:w="2000"/>
            <w:shd w:fill="F5F8FC" w:color="auto" w:val="clear"/>
            <w:tcMar>
              <w:top w:type="dxa" w:w="60"/>
              <w:left w:type="dxa" w:w="100"/>
              <w:bottom w:type="dxa" w:w="60"/>
              <w:right w:type="dxa" w:w="100"/>
            </w:tcMar>
          </w:tcPr>
          <w:p>
            <w:pPr>
              <w:spacing w:after="0" w:line="250"/>
            </w:pPr>
            <w:r>
              <w:rPr>
                <w:b w:val="false"/>
                <w:bCs w:val="false"/>
                <w:sz w:val="20"/>
                <w:szCs w:val="20"/>
              </w:rPr>
              <w:t xml:space="preserve">Low</w:t>
            </w:r>
          </w:p>
        </w:tc>
        <w:tc>
          <w:tcPr>
            <w:tcW w:type="dxa" w:w="2100"/>
            <w:shd w:fill="F5F8FC" w:color="auto" w:val="clear"/>
            <w:tcMar>
              <w:top w:type="dxa" w:w="60"/>
              <w:left w:type="dxa" w:w="100"/>
              <w:bottom w:type="dxa" w:w="60"/>
              <w:right w:type="dxa" w:w="100"/>
            </w:tcMar>
          </w:tcPr>
          <w:p>
            <w:pPr>
              <w:spacing w:after="0" w:line="250"/>
            </w:pPr>
            <w:r>
              <w:rPr>
                <w:b w:val="false"/>
                <w:bCs w:val="false"/>
                <w:sz w:val="20"/>
                <w:szCs w:val="20"/>
              </w:rPr>
              <w:t xml:space="preserve">54 – 69</w:t>
            </w:r>
          </w:p>
        </w:tc>
        <w:tc>
          <w:tcPr>
            <w:tcW w:type="dxa" w:w="2200"/>
            <w:shd w:fill="F5F8FC" w:color="auto" w:val="clear"/>
            <w:tcMar>
              <w:top w:type="dxa" w:w="60"/>
              <w:left w:type="dxa" w:w="100"/>
              <w:bottom w:type="dxa" w:w="60"/>
              <w:right w:type="dxa" w:w="100"/>
            </w:tcMar>
          </w:tcPr>
          <w:p>
            <w:pPr>
              <w:spacing w:after="0" w:line="250"/>
            </w:pPr>
            <w:r>
              <w:rPr>
                <w:b w:val="false"/>
                <w:bCs w:val="false"/>
                <w:sz w:val="20"/>
                <w:szCs w:val="20"/>
              </w:rPr>
              <w:t xml:space="preserve">3.0 – 3.8</w:t>
            </w:r>
          </w:p>
        </w:tc>
        <w:tc>
          <w:tcPr>
            <w:tcW w:type="dxa" w:w="3060"/>
            <w:shd w:fill="F5F8FC" w:color="auto" w:val="clear"/>
            <w:tcMar>
              <w:top w:type="dxa" w:w="60"/>
              <w:left w:type="dxa" w:w="100"/>
              <w:bottom w:type="dxa" w:w="60"/>
              <w:right w:type="dxa" w:w="100"/>
            </w:tcMar>
          </w:tcPr>
          <w:p>
            <w:pPr>
              <w:spacing w:after="0" w:line="250"/>
            </w:pPr>
            <w:r>
              <w:rPr>
                <w:b w:val="false"/>
                <w:bCs w:val="false"/>
                <w:sz w:val="20"/>
                <w:szCs w:val="20"/>
              </w:rPr>
              <w:t xml:space="preserve">&lt; 4% (Low + Very Low combined)</w:t>
            </w:r>
          </w:p>
        </w:tc>
      </w:tr>
      <w:tr>
        <w:tc>
          <w:tcPr>
            <w:tcW w:type="dxa" w:w="2000"/>
            <w:tcMar>
              <w:top w:type="dxa" w:w="60"/>
              <w:left w:type="dxa" w:w="100"/>
              <w:bottom w:type="dxa" w:w="60"/>
              <w:right w:type="dxa" w:w="100"/>
            </w:tcMar>
          </w:tcPr>
          <w:p>
            <w:pPr>
              <w:spacing w:after="0" w:line="250"/>
            </w:pPr>
            <w:r>
              <w:rPr>
                <w:b w:val="false"/>
                <w:bCs w:val="false"/>
                <w:sz w:val="20"/>
                <w:szCs w:val="20"/>
              </w:rPr>
              <w:t xml:space="preserve">Target</w:t>
            </w:r>
          </w:p>
        </w:tc>
        <w:tc>
          <w:tcPr>
            <w:tcW w:type="dxa" w:w="2100"/>
            <w:tcMar>
              <w:top w:type="dxa" w:w="60"/>
              <w:left w:type="dxa" w:w="100"/>
              <w:bottom w:type="dxa" w:w="60"/>
              <w:right w:type="dxa" w:w="100"/>
            </w:tcMar>
          </w:tcPr>
          <w:p>
            <w:pPr>
              <w:spacing w:after="0" w:line="250"/>
            </w:pPr>
            <w:r>
              <w:rPr>
                <w:b w:val="false"/>
                <w:bCs w:val="false"/>
                <w:sz w:val="20"/>
                <w:szCs w:val="20"/>
              </w:rPr>
              <w:t xml:space="preserve">70 – 180</w:t>
            </w:r>
          </w:p>
        </w:tc>
        <w:tc>
          <w:tcPr>
            <w:tcW w:type="dxa" w:w="2200"/>
            <w:tcMar>
              <w:top w:type="dxa" w:w="60"/>
              <w:left w:type="dxa" w:w="100"/>
              <w:bottom w:type="dxa" w:w="60"/>
              <w:right w:type="dxa" w:w="100"/>
            </w:tcMar>
          </w:tcPr>
          <w:p>
            <w:pPr>
              <w:spacing w:after="0" w:line="250"/>
            </w:pPr>
            <w:r>
              <w:rPr>
                <w:b w:val="false"/>
                <w:bCs w:val="false"/>
                <w:sz w:val="20"/>
                <w:szCs w:val="20"/>
              </w:rPr>
              <w:t xml:space="preserve">3.9 – 10.0</w:t>
            </w:r>
          </w:p>
        </w:tc>
        <w:tc>
          <w:tcPr>
            <w:tcW w:type="dxa" w:w="3060"/>
            <w:tcMar>
              <w:top w:type="dxa" w:w="60"/>
              <w:left w:type="dxa" w:w="100"/>
              <w:bottom w:type="dxa" w:w="60"/>
              <w:right w:type="dxa" w:w="100"/>
            </w:tcMar>
          </w:tcPr>
          <w:p>
            <w:pPr>
              <w:spacing w:after="0" w:line="250"/>
            </w:pPr>
            <w:r>
              <w:rPr>
                <w:b w:val="false"/>
                <w:bCs w:val="false"/>
                <w:sz w:val="20"/>
                <w:szCs w:val="20"/>
              </w:rPr>
              <w:t xml:space="preserve">&gt; 70%</w:t>
            </w:r>
          </w:p>
        </w:tc>
      </w:tr>
      <w:tr>
        <w:tc>
          <w:tcPr>
            <w:tcW w:type="dxa" w:w="2000"/>
            <w:shd w:fill="F5F8FC" w:color="auto" w:val="clear"/>
            <w:tcMar>
              <w:top w:type="dxa" w:w="60"/>
              <w:left w:type="dxa" w:w="100"/>
              <w:bottom w:type="dxa" w:w="60"/>
              <w:right w:type="dxa" w:w="100"/>
            </w:tcMar>
          </w:tcPr>
          <w:p>
            <w:pPr>
              <w:spacing w:after="0" w:line="250"/>
            </w:pPr>
            <w:r>
              <w:rPr>
                <w:b w:val="false"/>
                <w:bCs w:val="false"/>
                <w:sz w:val="20"/>
                <w:szCs w:val="20"/>
              </w:rPr>
              <w:t xml:space="preserve">High</w:t>
            </w:r>
          </w:p>
        </w:tc>
        <w:tc>
          <w:tcPr>
            <w:tcW w:type="dxa" w:w="2100"/>
            <w:shd w:fill="F5F8FC" w:color="auto" w:val="clear"/>
            <w:tcMar>
              <w:top w:type="dxa" w:w="60"/>
              <w:left w:type="dxa" w:w="100"/>
              <w:bottom w:type="dxa" w:w="60"/>
              <w:right w:type="dxa" w:w="100"/>
            </w:tcMar>
          </w:tcPr>
          <w:p>
            <w:pPr>
              <w:spacing w:after="0" w:line="250"/>
            </w:pPr>
            <w:r>
              <w:rPr>
                <w:b w:val="false"/>
                <w:bCs w:val="false"/>
                <w:sz w:val="20"/>
                <w:szCs w:val="20"/>
              </w:rPr>
              <w:t xml:space="preserve">181 – 250</w:t>
            </w:r>
          </w:p>
        </w:tc>
        <w:tc>
          <w:tcPr>
            <w:tcW w:type="dxa" w:w="2200"/>
            <w:shd w:fill="F5F8FC" w:color="auto" w:val="clear"/>
            <w:tcMar>
              <w:top w:type="dxa" w:w="60"/>
              <w:left w:type="dxa" w:w="100"/>
              <w:bottom w:type="dxa" w:w="60"/>
              <w:right w:type="dxa" w:w="100"/>
            </w:tcMar>
          </w:tcPr>
          <w:p>
            <w:pPr>
              <w:spacing w:after="0" w:line="250"/>
            </w:pPr>
            <w:r>
              <w:rPr>
                <w:b w:val="false"/>
                <w:bCs w:val="false"/>
                <w:sz w:val="20"/>
                <w:szCs w:val="20"/>
              </w:rPr>
              <w:t xml:space="preserve">10.1 – 13.9</w:t>
            </w:r>
          </w:p>
        </w:tc>
        <w:tc>
          <w:tcPr>
            <w:tcW w:type="dxa" w:w="3060"/>
            <w:shd w:fill="F5F8FC" w:color="auto" w:val="clear"/>
            <w:tcMar>
              <w:top w:type="dxa" w:w="60"/>
              <w:left w:type="dxa" w:w="100"/>
              <w:bottom w:type="dxa" w:w="60"/>
              <w:right w:type="dxa" w:w="100"/>
            </w:tcMar>
          </w:tcPr>
          <w:p>
            <w:pPr>
              <w:spacing w:after="0" w:line="250"/>
            </w:pPr>
            <w:r>
              <w:rPr>
                <w:b w:val="false"/>
                <w:bCs w:val="false"/>
                <w:sz w:val="20"/>
                <w:szCs w:val="20"/>
              </w:rPr>
              <w:t xml:space="preserve">&lt; 25% (High + Very High combined)</w:t>
            </w:r>
          </w:p>
        </w:tc>
      </w:tr>
      <w:tr>
        <w:tc>
          <w:tcPr>
            <w:tcW w:type="dxa" w:w="2000"/>
            <w:tcMar>
              <w:top w:type="dxa" w:w="60"/>
              <w:left w:type="dxa" w:w="100"/>
              <w:bottom w:type="dxa" w:w="60"/>
              <w:right w:type="dxa" w:w="100"/>
            </w:tcMar>
          </w:tcPr>
          <w:p>
            <w:pPr>
              <w:spacing w:after="0" w:line="250"/>
            </w:pPr>
            <w:r>
              <w:rPr>
                <w:b w:val="false"/>
                <w:bCs w:val="false"/>
                <w:sz w:val="20"/>
                <w:szCs w:val="20"/>
              </w:rPr>
              <w:t xml:space="preserve">Very High</w:t>
            </w:r>
          </w:p>
        </w:tc>
        <w:tc>
          <w:tcPr>
            <w:tcW w:type="dxa" w:w="2100"/>
            <w:tcMar>
              <w:top w:type="dxa" w:w="60"/>
              <w:left w:type="dxa" w:w="100"/>
              <w:bottom w:type="dxa" w:w="60"/>
              <w:right w:type="dxa" w:w="100"/>
            </w:tcMar>
          </w:tcPr>
          <w:p>
            <w:pPr>
              <w:spacing w:after="0" w:line="250"/>
            </w:pPr>
            <w:r>
              <w:rPr>
                <w:b w:val="false"/>
                <w:bCs w:val="false"/>
                <w:sz w:val="20"/>
                <w:szCs w:val="20"/>
              </w:rPr>
              <w:t xml:space="preserve">&gt; 250</w:t>
            </w:r>
          </w:p>
        </w:tc>
        <w:tc>
          <w:tcPr>
            <w:tcW w:type="dxa" w:w="2200"/>
            <w:tcMar>
              <w:top w:type="dxa" w:w="60"/>
              <w:left w:type="dxa" w:w="100"/>
              <w:bottom w:type="dxa" w:w="60"/>
              <w:right w:type="dxa" w:w="100"/>
            </w:tcMar>
          </w:tcPr>
          <w:p>
            <w:pPr>
              <w:spacing w:after="0" w:line="250"/>
            </w:pPr>
            <w:r>
              <w:rPr>
                <w:b w:val="false"/>
                <w:bCs w:val="false"/>
                <w:sz w:val="20"/>
                <w:szCs w:val="20"/>
              </w:rPr>
              <w:t xml:space="preserve">&gt; 13.9</w:t>
            </w:r>
          </w:p>
        </w:tc>
        <w:tc>
          <w:tcPr>
            <w:tcW w:type="dxa" w:w="3060"/>
            <w:tcMar>
              <w:top w:type="dxa" w:w="60"/>
              <w:left w:type="dxa" w:w="100"/>
              <w:bottom w:type="dxa" w:w="60"/>
              <w:right w:type="dxa" w:w="100"/>
            </w:tcMar>
          </w:tcPr>
          <w:p>
            <w:pPr>
              <w:spacing w:after="0" w:line="250"/>
            </w:pPr>
            <w:r>
              <w:rPr>
                <w:b w:val="false"/>
                <w:bCs w:val="false"/>
                <w:sz w:val="20"/>
                <w:szCs w:val="20"/>
              </w:rPr>
              <w:t xml:space="preserve">&lt; 5%</w:t>
            </w:r>
          </w:p>
        </w:tc>
      </w:tr>
    </w:tbl>
    <w:p>
      <w:pPr>
        <w:spacing w:after="100"/>
      </w:pPr>
    </w:p>
    <w:p>
      <w:pPr>
        <w:pStyle w:val="ListParagraph"/>
        <w:numPr>
          <w:ilvl w:val="0"/>
          <w:numId w:val="2"/>
        </w:numPr>
        <w:spacing w:after="80" w:line="276"/>
      </w:pPr>
      <w:r>
        <w:rPr>
          <w:b/>
          <w:bCs/>
        </w:rPr>
        <w:t xml:space="preserve">Average</w:t>
      </w:r>
      <w:r>
        <w:rPr>
          <w:b w:val="false"/>
          <w:bCs w:val="false"/>
        </w:rPr>
        <w:t xml:space="preserve"> glucose over the window.</w:t>
      </w:r>
    </w:p>
    <w:p>
      <w:pPr>
        <w:pStyle w:val="ListParagraph"/>
        <w:numPr>
          <w:ilvl w:val="0"/>
          <w:numId w:val="2"/>
        </w:numPr>
        <w:spacing w:after="80" w:line="276"/>
      </w:pPr>
      <w:r>
        <w:rPr>
          <w:b/>
          <w:bCs/>
        </w:rPr>
        <w:t xml:space="preserve">Coefficient of variation (CV%)</w:t>
      </w:r>
      <w:r>
        <w:rPr>
          <w:b w:val="false"/>
          <w:bCs w:val="false"/>
        </w:rPr>
        <w:t xml:space="preserve"> = SD / mean × 100. Target &lt; 36%. This is the standard glycaemic-variability metric and is more interpretable than raw SD, which is reported alongside it but de-emphasised.</w:t>
      </w:r>
    </w:p>
    <w:p>
      <w:pPr>
        <w:pStyle w:val="ListParagraph"/>
        <w:numPr>
          <w:ilvl w:val="0"/>
          <w:numId w:val="2"/>
        </w:numPr>
        <w:spacing w:after="80" w:line="276"/>
      </w:pPr>
      <w:r>
        <w:rPr>
          <w:b/>
          <w:bCs/>
        </w:rPr>
        <w:t xml:space="preserve">Standard deviation</w:t>
      </w:r>
      <w:r>
        <w:rPr>
          <w:b w:val="false"/>
          <w:bCs w:val="false"/>
        </w:rPr>
        <w:t xml:space="preserve">, retained for continuity.</w:t>
      </w:r>
    </w:p>
    <w:p>
      <w:pPr>
        <w:pStyle w:val="ListParagraph"/>
        <w:numPr>
          <w:ilvl w:val="0"/>
          <w:numId w:val="2"/>
        </w:numPr>
        <w:spacing w:after="80" w:line="276"/>
      </w:pPr>
      <w:r>
        <w:rPr>
          <w:b/>
          <w:bCs/>
        </w:rPr>
        <w:t xml:space="preserve">GMI</w:t>
      </w:r>
      <w:r>
        <w:rPr>
          <w:b w:val="false"/>
          <w:bCs w:val="false"/>
        </w:rPr>
        <w:t xml:space="preserve">, computed as </w:t>
      </w:r>
      <w:r>
        <w:rPr>
          <w:rFonts w:ascii="Consolas" w:cs="Consolas" w:eastAsia="Consolas" w:hAnsi="Consolas"/>
          <w:b w:val="false"/>
          <w:bCs w:val="false"/>
          <w:sz w:val="19"/>
          <w:szCs w:val="19"/>
        </w:rPr>
        <w:t xml:space="preserve">GMI(%) = 3.31 + 0.02392 × mean mg/dL</w:t>
      </w:r>
      <w:r>
        <w:rPr>
          <w:b w:val="false"/>
          <w:bCs w:val="false"/>
        </w:rPr>
        <w:t xml:space="preserve"> (equivalently </w:t>
      </w:r>
      <w:r>
        <w:rPr>
          <w:rFonts w:ascii="Consolas" w:cs="Consolas" w:eastAsia="Consolas" w:hAnsi="Consolas"/>
          <w:b w:val="false"/>
          <w:bCs w:val="false"/>
          <w:sz w:val="19"/>
          <w:szCs w:val="19"/>
        </w:rPr>
        <w:t xml:space="preserve">12.71 + 4.70587 × mean mmol/L</w:t>
      </w:r>
      <w:r>
        <w:rPr>
          <w:b w:val="false"/>
          <w:bCs w:val="false"/>
        </w:rPr>
        <w:t xml:space="preserve">). </w:t>
      </w:r>
      <w:r>
        <w:rPr>
          <w:b/>
          <w:bCs/>
        </w:rPr>
        <w:t xml:space="preserve">GMI is displayed only for windows of 14 days or longer with at least 70% data capture.</w:t>
      </w:r>
      <w:r>
        <w:rPr>
          <w:b w:val="false"/>
          <w:bCs w:val="false"/>
        </w:rPr>
        <w:t xml:space="preserve"> Below that threshold it is statistically meaningless and is hidden rather than shown with a caveat. v1.1 would have rendered a GMI for a 3-hour window.</w:t>
      </w:r>
    </w:p>
    <w:p>
      <w:pPr>
        <w:pStyle w:val="ListParagraph"/>
        <w:numPr>
          <w:ilvl w:val="0"/>
          <w:numId w:val="2"/>
        </w:numPr>
        <w:spacing w:after="80" w:line="276"/>
      </w:pPr>
      <w:r>
        <w:rPr>
          <w:b/>
          <w:bCs/>
        </w:rPr>
        <w:t xml:space="preserve">Data capture %</w:t>
      </w:r>
      <w:r>
        <w:rPr>
          <w:b w:val="false"/>
          <w:bCs w:val="false"/>
        </w:rPr>
        <w:t xml:space="preserve"> — the proportion of expected 5-minute samples actually present. Every other statistic in this list is unreliable below ~70% capture, so it is shown next to them, not buried.</w:t>
      </w:r>
    </w:p>
    <w:p>
      <w:pPr>
        <w:spacing w:after="100" w:before="180"/>
      </w:pPr>
      <w:r>
        <w:rPr>
          <w:b/>
          <w:bCs/>
          <w:color w:val="1F4D78"/>
        </w:rPr>
        <w:t xml:space="preserve">Ambulatory Glucose Profile</w:t>
      </w:r>
    </w:p>
    <w:p>
      <w:pPr>
        <w:spacing w:after="120" w:line="276"/>
      </w:pPr>
      <w:r>
        <w:rPr>
          <w:b w:val="false"/>
          <w:bCs w:val="false"/>
        </w:rPr>
        <w:t xml:space="preserve">A true AGP is not an overlay of raw daily curves. Readings are binned by time of day (30-minute bins) across the selected window, and the chart renders </w:t>
      </w:r>
      <w:r>
        <w:rPr>
          <w:b/>
          <w:bCs/>
        </w:rPr>
        <w:t xml:space="preserve">percentile bands</w:t>
      </w:r>
      <w:r>
        <w:rPr>
          <w:b w:val="false"/>
          <w:bCs w:val="false"/>
        </w:rPr>
        <w:t xml:space="preserve"> — 5th, 25th, 50th (median), 75th, and 95th — as nested shaded regions with the median as a solid line.</w:t>
      </w:r>
    </w:p>
    <w:p>
      <w:pPr>
        <w:spacing w:after="120" w:line="276"/>
      </w:pPr>
      <w:r>
        <w:rPr>
          <w:b w:val="false"/>
          <w:bCs w:val="false"/>
        </w:rPr>
        <w:t xml:space="preserve">v1.1 described stacking 14 days of raw curves, which is a spaghetti plot, and then promised a v3 “PDF export styled like the AGP report.” Building the percentile computation in v1 makes the v3 export a rendering exercise rather than a new feature.</w:t>
      </w:r>
    </w:p>
    <w:p>
      <w:pPr>
        <w:pBdr>
          <w:left w:val="single" w:color="BFD3E6" w:sz="12" w:space="8"/>
        </w:pBdr>
        <w:spacing w:after="160" w:line="260"/>
        <w:ind w:left="180"/>
      </w:pPr>
      <w:r>
        <w:rPr>
          <w:b w:val="false"/>
          <w:bCs w:val="false"/>
          <w:i/>
          <w:iCs/>
          <w:color w:val="595959"/>
          <w:sz w:val="20"/>
          <w:szCs w:val="20"/>
        </w:rPr>
        <w:t xml:space="preserve">Changed in v1.2: five-band TIR, CV%, GMI validity gating, data-capture reporting, and percentile-band AGP are all new or corrected.</w:t>
      </w:r>
    </w:p>
    <w:p>
      <w:pPr>
        <w:pStyle w:val="Heading3"/>
        <w:spacing w:after="120" w:before="220"/>
      </w:pPr>
      <w:r>
        <w:rPr>
          <w:b w:val="false"/>
          <w:bCs w:val="false"/>
        </w:rPr>
        <w:t xml:space="preserve">3.1.6 Settings</w:t>
      </w:r>
    </w:p>
    <w:p>
      <w:pPr>
        <w:pStyle w:val="ListParagraph"/>
        <w:numPr>
          <w:ilvl w:val="0"/>
          <w:numId w:val="2"/>
        </w:numPr>
        <w:spacing w:after="80" w:line="276"/>
      </w:pPr>
      <w:r>
        <w:rPr>
          <w:b/>
          <w:bCs/>
        </w:rPr>
        <w:t xml:space="preserve">Dexcom Share</w:t>
      </w:r>
      <w:r>
        <w:rPr>
          <w:b w:val="false"/>
          <w:bCs w:val="false"/>
        </w:rPr>
        <w:t xml:space="preserve"> credentials and region (optional; the app is fully functional in HealthKit-only mode).</w:t>
      </w:r>
    </w:p>
    <w:p>
      <w:pPr>
        <w:pStyle w:val="ListParagraph"/>
        <w:numPr>
          <w:ilvl w:val="0"/>
          <w:numId w:val="2"/>
        </w:numPr>
        <w:spacing w:after="80" w:line="276"/>
      </w:pPr>
      <w:r>
        <w:rPr>
          <w:b/>
          <w:bCs/>
        </w:rPr>
        <w:t xml:space="preserve">HealthKit permission status</w:t>
      </w:r>
      <w:r>
        <w:rPr>
          <w:b w:val="false"/>
          <w:bCs w:val="false"/>
        </w:rPr>
        <w:t xml:space="preserve"> with a shortcut to Settings.app if denied, listed per data type.</w:t>
      </w:r>
    </w:p>
    <w:p>
      <w:pPr>
        <w:pStyle w:val="ListParagraph"/>
        <w:numPr>
          <w:ilvl w:val="0"/>
          <w:numId w:val="2"/>
        </w:numPr>
        <w:spacing w:after="80" w:line="276"/>
      </w:pPr>
      <w:r>
        <w:rPr>
          <w:b/>
          <w:bCs/>
        </w:rPr>
        <w:t xml:space="preserve">Active source indicator</w:t>
      </w:r>
      <w:r>
        <w:rPr>
          <w:b w:val="false"/>
          <w:bCs w:val="false"/>
        </w:rPr>
        <w:t xml:space="preserve"> showing which source provided the most recent reading.</w:t>
      </w:r>
    </w:p>
    <w:p>
      <w:pPr>
        <w:pStyle w:val="ListParagraph"/>
        <w:numPr>
          <w:ilvl w:val="0"/>
          <w:numId w:val="2"/>
        </w:numPr>
        <w:spacing w:after="80" w:line="276"/>
      </w:pPr>
      <w:r>
        <w:rPr>
          <w:b/>
          <w:bCs/>
        </w:rPr>
        <w:t xml:space="preserve">Units</w:t>
      </w:r>
      <w:r>
        <w:rPr>
          <w:b w:val="false"/>
          <w:bCs w:val="false"/>
        </w:rPr>
        <w:t xml:space="preserve"> (mg/dL or mmol/L).</w:t>
      </w:r>
    </w:p>
    <w:p>
      <w:pPr>
        <w:pStyle w:val="ListParagraph"/>
        <w:numPr>
          <w:ilvl w:val="0"/>
          <w:numId w:val="2"/>
        </w:numPr>
        <w:spacing w:after="80" w:line="276"/>
      </w:pPr>
      <w:r>
        <w:rPr>
          <w:b/>
          <w:bCs/>
        </w:rPr>
        <w:t xml:space="preserve">Target range</w:t>
      </w:r>
      <w:r>
        <w:rPr>
          <w:b w:val="false"/>
          <w:bCs w:val="false"/>
        </w:rPr>
        <w:t xml:space="preserve"> (default 70–180 mg/dL, fully editable). Band thresholds for Very Low/Very High are fixed at the consensus values and are not user-editable, because editing them would silently invalidate comparison against clinical targets.</w:t>
      </w:r>
    </w:p>
    <w:p>
      <w:pPr>
        <w:pStyle w:val="ListParagraph"/>
        <w:numPr>
          <w:ilvl w:val="0"/>
          <w:numId w:val="2"/>
        </w:numPr>
        <w:spacing w:after="80" w:line="276"/>
      </w:pPr>
      <w:r>
        <w:rPr>
          <w:b/>
          <w:bCs/>
        </w:rPr>
        <w:t xml:space="preserve">Insulin sensitivity factor (ISF)</w:t>
      </w:r>
      <w:r>
        <w:rPr>
          <w:b w:val="false"/>
          <w:bCs w:val="false"/>
        </w:rPr>
        <w:t xml:space="preserve"> — mg/dL drop per unit. Required by the prediction engine (§4.4). No default is guessed; the field is empty until the user enters a value, and the meal-response forecast is disabled until then.</w:t>
      </w:r>
    </w:p>
    <w:p>
      <w:pPr>
        <w:pStyle w:val="ListParagraph"/>
        <w:numPr>
          <w:ilvl w:val="0"/>
          <w:numId w:val="2"/>
        </w:numPr>
        <w:spacing w:after="80" w:line="276"/>
      </w:pPr>
      <w:r>
        <w:rPr>
          <w:b/>
          <w:bCs/>
        </w:rPr>
        <w:t xml:space="preserve">Insulin-to-carb ratio (ICR)</w:t>
      </w:r>
      <w:r>
        <w:rPr>
          <w:b w:val="false"/>
          <w:bCs w:val="false"/>
        </w:rPr>
        <w:t xml:space="preserve"> — grams covered per unit. Same treatment as ISF.</w:t>
      </w:r>
    </w:p>
    <w:p>
      <w:pPr>
        <w:pStyle w:val="ListParagraph"/>
        <w:numPr>
          <w:ilvl w:val="0"/>
          <w:numId w:val="2"/>
        </w:numPr>
        <w:spacing w:after="80" w:line="276"/>
      </w:pPr>
      <w:r>
        <w:rPr>
          <w:b/>
          <w:bCs/>
        </w:rPr>
        <w:t xml:space="preserve">Insulin action curve</w:t>
      </w:r>
      <w:r>
        <w:rPr>
          <w:b w:val="false"/>
          <w:bCs w:val="false"/>
        </w:rPr>
        <w:t xml:space="preserve"> — peak time and duration of action per insulin type (§4.4), pre-filled with the defaults in that section and editable.</w:t>
      </w:r>
    </w:p>
    <w:p>
      <w:pPr>
        <w:pStyle w:val="ListParagraph"/>
        <w:numPr>
          <w:ilvl w:val="0"/>
          <w:numId w:val="2"/>
        </w:numPr>
        <w:spacing w:after="80" w:line="276"/>
      </w:pPr>
      <w:r>
        <w:rPr>
          <w:b/>
          <w:bCs/>
        </w:rPr>
        <w:t xml:space="preserve">Carb absorption time</w:t>
      </w:r>
      <w:r>
        <w:rPr>
          <w:b w:val="false"/>
          <w:bCs w:val="false"/>
        </w:rPr>
        <w:t xml:space="preserve"> — default 180 minutes, with faster and slower presets.</w:t>
      </w:r>
    </w:p>
    <w:p>
      <w:pPr>
        <w:pStyle w:val="ListParagraph"/>
        <w:numPr>
          <w:ilvl w:val="0"/>
          <w:numId w:val="2"/>
        </w:numPr>
        <w:spacing w:after="80" w:line="276"/>
      </w:pPr>
      <w:r>
        <w:rPr>
          <w:b/>
          <w:bCs/>
        </w:rPr>
        <w:t xml:space="preserve">Theme and Bedside Mode schedule.</w:t>
      </w:r>
    </w:p>
    <w:p>
      <w:pPr>
        <w:pStyle w:val="ListParagraph"/>
        <w:numPr>
          <w:ilvl w:val="0"/>
          <w:numId w:val="2"/>
        </w:numPr>
        <w:spacing w:after="80" w:line="276"/>
      </w:pPr>
      <w:r>
        <w:rPr>
          <w:b/>
          <w:bCs/>
        </w:rPr>
        <w:t xml:space="preserve">Export and backup</w:t>
      </w:r>
      <w:r>
        <w:rPr>
          <w:b w:val="false"/>
          <w:bCs w:val="false"/>
        </w:rPr>
        <w:t xml:space="preserve"> (§3.1.7).</w:t>
      </w:r>
    </w:p>
    <w:p>
      <w:pPr>
        <w:pStyle w:val="ListParagraph"/>
        <w:numPr>
          <w:ilvl w:val="0"/>
          <w:numId w:val="2"/>
        </w:numPr>
        <w:spacing w:after="80" w:line="276"/>
      </w:pPr>
      <w:r>
        <w:rPr>
          <w:b/>
          <w:bCs/>
        </w:rPr>
        <w:t xml:space="preserve">Diagnostics</w:t>
      </w:r>
      <w:r>
        <w:rPr>
          <w:b w:val="false"/>
          <w:bCs w:val="false"/>
        </w:rPr>
        <w:t xml:space="preserve"> — local-only log of source errors, parse failures, and background wake events, with a copy-to-clipboard action. For an app talking to an undocumented API, this is what makes a 2am failure debuggable.</w:t>
      </w:r>
    </w:p>
    <w:p>
      <w:pPr>
        <w:pStyle w:val="ListParagraph"/>
        <w:numPr>
          <w:ilvl w:val="0"/>
          <w:numId w:val="2"/>
        </w:numPr>
        <w:spacing w:after="80" w:line="276"/>
      </w:pPr>
      <w:r>
        <w:rPr>
          <w:b/>
          <w:bCs/>
        </w:rPr>
        <w:t xml:space="preserve">Always-visible safety disclaimer.</w:t>
      </w:r>
    </w:p>
    <w:p>
      <w:pPr>
        <w:pStyle w:val="ListParagraph"/>
        <w:numPr>
          <w:ilvl w:val="0"/>
          <w:numId w:val="2"/>
        </w:numPr>
        <w:spacing w:after="80" w:line="276"/>
      </w:pPr>
      <w:r>
        <w:rPr>
          <w:b/>
          <w:bCs/>
        </w:rPr>
        <w:t xml:space="preserve">Sign out and clear local data</w:t>
      </w:r>
      <w:r>
        <w:rPr>
          <w:b w:val="false"/>
          <w:bCs w:val="false"/>
        </w:rPr>
        <w:t xml:space="preserve">, with an explicit confirmation naming how many readings and events will be destroyed.</w:t>
      </w:r>
    </w:p>
    <w:p>
      <w:pPr>
        <w:pBdr>
          <w:left w:val="single" w:color="BFD3E6" w:sz="12" w:space="8"/>
        </w:pBdr>
        <w:spacing w:after="160" w:line="260"/>
        <w:ind w:left="180"/>
      </w:pPr>
      <w:r>
        <w:rPr>
          <w:b w:val="false"/>
          <w:bCs w:val="false"/>
          <w:i/>
          <w:iCs/>
          <w:color w:val="595959"/>
          <w:sz w:val="20"/>
          <w:szCs w:val="20"/>
        </w:rPr>
        <w:t xml:space="preserve">Changed in v1.2: ISF, ICR, insulin action curve, carb absorption, and export/backup are new. ISF and ICR were mathematically required by v1.1's §4.4 but appeared in neither its settings nor its data model.</w:t>
      </w:r>
    </w:p>
    <w:p>
      <w:pPr>
        <w:pStyle w:val="Heading3"/>
        <w:spacing w:after="120" w:before="220"/>
      </w:pPr>
      <w:r>
        <w:rPr>
          <w:b w:val="false"/>
          <w:bCs w:val="false"/>
        </w:rPr>
        <w:t xml:space="preserve">3.1.7 Export &amp; Backup</w:t>
      </w:r>
    </w:p>
    <w:p>
      <w:pPr>
        <w:pBdr>
          <w:left w:val="single" w:color="BFD3E6" w:sz="12" w:space="8"/>
        </w:pBdr>
        <w:spacing w:after="160" w:line="260"/>
        <w:ind w:left="180"/>
      </w:pPr>
      <w:r>
        <w:rPr>
          <w:b w:val="false"/>
          <w:bCs w:val="false"/>
          <w:i/>
          <w:iCs/>
          <w:color w:val="595959"/>
          <w:sz w:val="20"/>
          <w:szCs w:val="20"/>
        </w:rPr>
        <w:t xml:space="preserve">New in v1.2. v1.1 had no path for getting data out of the app before v3's iCloud sync — an unacceptable single point of failure for years of personal medical history.</w:t>
      </w:r>
    </w:p>
    <w:p>
      <w:pPr>
        <w:pStyle w:val="ListParagraph"/>
        <w:numPr>
          <w:ilvl w:val="0"/>
          <w:numId w:val="2"/>
        </w:numPr>
        <w:spacing w:after="80" w:line="276"/>
      </w:pPr>
      <w:r>
        <w:rPr>
          <w:b/>
          <w:bCs/>
        </w:rPr>
        <w:t xml:space="preserve">Full export:</w:t>
      </w:r>
      <w:r>
        <w:rPr>
          <w:b w:val="false"/>
          <w:bCs w:val="false"/>
        </w:rPr>
        <w:t xml:space="preserve"> all readings and events as CSV and JSON, via the standard share sheet.</w:t>
      </w:r>
    </w:p>
    <w:p>
      <w:pPr>
        <w:pStyle w:val="ListParagraph"/>
        <w:numPr>
          <w:ilvl w:val="0"/>
          <w:numId w:val="2"/>
        </w:numPr>
        <w:spacing w:after="80" w:line="276"/>
      </w:pPr>
      <w:r>
        <w:rPr>
          <w:b/>
          <w:bCs/>
        </w:rPr>
        <w:t xml:space="preserve">Database backup:</w:t>
      </w:r>
      <w:r>
        <w:rPr>
          <w:b w:val="false"/>
          <w:bCs w:val="false"/>
        </w:rPr>
        <w:t xml:space="preserve"> a single-file export of the SwiftData store, restorable on a fresh install. Manual, plus an automatic weekly write to the user's iCloud Drive folder if enabled.</w:t>
      </w:r>
    </w:p>
    <w:p>
      <w:pPr>
        <w:pStyle w:val="ListParagraph"/>
        <w:numPr>
          <w:ilvl w:val="0"/>
          <w:numId w:val="2"/>
        </w:numPr>
        <w:spacing w:after="80" w:line="276"/>
      </w:pPr>
      <w:r>
        <w:rPr>
          <w:b/>
          <w:bCs/>
        </w:rPr>
        <w:t xml:space="preserve">Nightscout-compatible JSON</w:t>
      </w:r>
      <w:r>
        <w:rPr>
          <w:b w:val="false"/>
          <w:bCs w:val="false"/>
        </w:rPr>
        <w:t xml:space="preserve"> for entries and treatments, so the data is portable into the wider T1D tooling ecosystem rather than trapped in this app.</w:t>
      </w:r>
    </w:p>
    <w:p>
      <w:pPr>
        <w:spacing w:after="120" w:line="276"/>
      </w:pPr>
      <w:r>
        <w:rPr>
          <w:b w:val="false"/>
          <w:bCs w:val="false"/>
        </w:rPr>
        <w:t xml:space="preserve">This ships in v1, not v3. Everything else in the app can be rebuilt; the readings cannot.</w:t>
      </w:r>
    </w:p>
    <w:p>
      <w:pPr>
        <w:pStyle w:val="Heading2"/>
        <w:spacing w:after="140" w:before="280"/>
      </w:pPr>
      <w:r>
        <w:rPr>
          <w:b w:val="false"/>
          <w:bCs w:val="false"/>
        </w:rPr>
        <w:t xml:space="preserve">3.2 v2 — Logging, Prediction &amp; Glanceable Surfaces</w:t>
      </w:r>
    </w:p>
    <w:p>
      <w:pPr>
        <w:pStyle w:val="Heading3"/>
        <w:spacing w:after="120" w:before="220"/>
      </w:pPr>
      <w:r>
        <w:rPr>
          <w:b w:val="false"/>
          <w:bCs w:val="false"/>
        </w:rPr>
        <w:t xml:space="preserve">3.2.1 Event Logging</w:t>
      </w:r>
    </w:p>
    <w:p>
      <w:pPr>
        <w:pStyle w:val="ListParagraph"/>
        <w:numPr>
          <w:ilvl w:val="0"/>
          <w:numId w:val="2"/>
        </w:numPr>
        <w:spacing w:after="80" w:line="276"/>
      </w:pPr>
      <w:r>
        <w:rPr>
          <w:b/>
          <w:bCs/>
        </w:rPr>
        <w:t xml:space="preserve">Meal log:</w:t>
      </w:r>
      <w:r>
        <w:rPr>
          <w:b w:val="false"/>
          <w:bCs w:val="false"/>
        </w:rPr>
        <w:t xml:space="preserve"> photo, carb count in grams, optional notes, optional meal tag (breakfast/lunch/dinner/snack), and an optional name that links it to the food memory (§3.2.5). Carbs are entered in grams only — a second “S/M/L” unit system would have to be reconciled with ICR arithmetic for no real speed gain (§8). A quick-pick row of the user's own recent and frequent entries provides the speed instead.</w:t>
      </w:r>
    </w:p>
    <w:p>
      <w:pPr>
        <w:pStyle w:val="ListParagraph"/>
        <w:numPr>
          <w:ilvl w:val="0"/>
          <w:numId w:val="2"/>
        </w:numPr>
        <w:spacing w:after="80" w:line="276"/>
      </w:pPr>
      <w:r>
        <w:rPr>
          <w:b/>
          <w:bCs/>
        </w:rPr>
        <w:t xml:space="preserve">Insulin log:</w:t>
      </w:r>
      <w:r>
        <w:rPr>
          <w:b w:val="false"/>
          <w:bCs w:val="false"/>
        </w:rPr>
        <w:t xml:space="preserve"> units, type, optional injection site. Type carries the action curve parameters used by the IOB calculation, so what matters is the curve, not the brand name — a short pre-seeded list is offered with free-text entry allowed, and every entry maps to an editable peak/duration pair (§8).</w:t>
      </w:r>
    </w:p>
    <w:p>
      <w:pPr>
        <w:pStyle w:val="ListParagraph"/>
        <w:numPr>
          <w:ilvl w:val="0"/>
          <w:numId w:val="2"/>
        </w:numPr>
        <w:spacing w:after="80" w:line="276"/>
      </w:pPr>
      <w:r>
        <w:rPr>
          <w:b/>
          <w:bCs/>
        </w:rPr>
        <w:t xml:space="preserve">Basal insulin is logged but excluded from IOB.</w:t>
      </w:r>
      <w:r>
        <w:rPr>
          <w:b w:val="false"/>
          <w:bCs w:val="false"/>
        </w:rPr>
        <w:t xml:space="preserve"> Long-acting insulin has a fundamentally different action profile and adding it to bolus IOB makes the number meaningless. It appears on the timeline and in its own display, never in the IOB figure used by the forecast.</w:t>
      </w:r>
    </w:p>
    <w:p>
      <w:pPr>
        <w:pStyle w:val="ListParagraph"/>
        <w:numPr>
          <w:ilvl w:val="0"/>
          <w:numId w:val="2"/>
        </w:numPr>
        <w:spacing w:after="80" w:line="276"/>
      </w:pPr>
      <w:r>
        <w:rPr>
          <w:b/>
          <w:bCs/>
        </w:rPr>
        <w:t xml:space="preserve">Exercise log:</w:t>
      </w:r>
      <w:r>
        <w:rPr>
          <w:b w:val="false"/>
          <w:bCs w:val="false"/>
        </w:rPr>
        <w:t xml:space="preserve"> type (cardio/strength/walk/other), duration, perceived intensity (1–5). Auto-suggested from HealthKit workouts so most entries are a confirmation tap rather than a form.</w:t>
      </w:r>
    </w:p>
    <w:p>
      <w:pPr>
        <w:pStyle w:val="ListParagraph"/>
        <w:numPr>
          <w:ilvl w:val="0"/>
          <w:numId w:val="2"/>
        </w:numPr>
        <w:spacing w:after="80" w:line="276"/>
      </w:pPr>
      <w:r>
        <w:rPr>
          <w:b/>
          <w:bCs/>
        </w:rPr>
        <w:t xml:space="preserve">Quick-add</w:t>
      </w:r>
      <w:r>
        <w:rPr>
          <w:b w:val="false"/>
          <w:bCs w:val="false"/>
        </w:rPr>
        <w:t xml:space="preserve"> via App Intents (§3.2.4).</w:t>
      </w:r>
    </w:p>
    <w:p>
      <w:pPr>
        <w:pStyle w:val="ListParagraph"/>
        <w:numPr>
          <w:ilvl w:val="0"/>
          <w:numId w:val="2"/>
        </w:numPr>
        <w:spacing w:after="80" w:line="276"/>
      </w:pPr>
      <w:r>
        <w:rPr>
          <w:b/>
          <w:bCs/>
        </w:rPr>
        <w:t xml:space="preserve">Edit and delete:</w:t>
      </w:r>
      <w:r>
        <w:rPr>
          <w:b w:val="false"/>
          <w:bCs w:val="false"/>
        </w:rPr>
        <w:t xml:space="preserve"> all logged events are editable with an audit trail (created/edited timestamps).</w:t>
      </w:r>
    </w:p>
    <w:p>
      <w:pPr>
        <w:pStyle w:val="Heading3"/>
        <w:spacing w:after="120" w:before="220"/>
      </w:pPr>
      <w:r>
        <w:rPr>
          <w:b w:val="false"/>
          <w:bCs w:val="false"/>
        </w:rPr>
        <w:t xml:space="preserve">3.2.2 Unified Timeline</w:t>
      </w:r>
    </w:p>
    <w:p>
      <w:pPr>
        <w:pStyle w:val="ListParagraph"/>
        <w:numPr>
          <w:ilvl w:val="0"/>
          <w:numId w:val="2"/>
        </w:numPr>
        <w:spacing w:after="80" w:line="276"/>
      </w:pPr>
      <w:r>
        <w:rPr>
          <w:b w:val="false"/>
          <w:bCs w:val="false"/>
        </w:rPr>
        <w:t xml:space="preserve">Glucose curve with overlaid event markers (meal, insulin, exercise glyphs).</w:t>
      </w:r>
    </w:p>
    <w:p>
      <w:pPr>
        <w:pStyle w:val="ListParagraph"/>
        <w:numPr>
          <w:ilvl w:val="0"/>
          <w:numId w:val="2"/>
        </w:numPr>
        <w:spacing w:after="80" w:line="276"/>
      </w:pPr>
      <w:r>
        <w:rPr>
          <w:b w:val="false"/>
          <w:bCs w:val="false"/>
        </w:rPr>
        <w:t xml:space="preserve">Tap an event to see details and the glucose response over the following 1, 2, and 3 hours.</w:t>
      </w:r>
    </w:p>
    <w:p>
      <w:pPr>
        <w:pStyle w:val="ListParagraph"/>
        <w:numPr>
          <w:ilvl w:val="0"/>
          <w:numId w:val="2"/>
        </w:numPr>
        <w:spacing w:after="80" w:line="276"/>
      </w:pPr>
      <w:r>
        <w:rPr>
          <w:b w:val="false"/>
          <w:bCs w:val="false"/>
        </w:rPr>
        <w:t xml:space="preserve">Filter by event type.</w:t>
      </w:r>
    </w:p>
    <w:p>
      <w:pPr>
        <w:pStyle w:val="ListParagraph"/>
        <w:numPr>
          <w:ilvl w:val="0"/>
          <w:numId w:val="2"/>
        </w:numPr>
        <w:spacing w:after="80" w:line="276"/>
      </w:pPr>
      <w:r>
        <w:rPr>
          <w:b w:val="false"/>
          <w:bCs w:val="false"/>
        </w:rPr>
        <w:t xml:space="preserve">Long-press an event to compare it against the median response to the same tagged meal (§3.2.5).</w:t>
      </w:r>
    </w:p>
    <w:p>
      <w:pPr>
        <w:pStyle w:val="Heading3"/>
        <w:spacing w:after="120" w:before="220"/>
      </w:pPr>
      <w:r>
        <w:rPr>
          <w:b w:val="false"/>
          <w:bCs w:val="false"/>
        </w:rPr>
        <w:t xml:space="preserve">3.2.3 Prediction Engine</w:t>
      </w:r>
    </w:p>
    <w:p>
      <w:pPr>
        <w:spacing w:after="120" w:line="276"/>
      </w:pPr>
      <w:r>
        <w:rPr>
          <w:b w:val="false"/>
          <w:bCs w:val="false"/>
        </w:rPr>
        <w:t xml:space="preserve">All prediction is transparent statistics — no machine learning, no black boxes. Every prediction surface carries a “How is this calculated?” link that shows the actual formula and the actual input values used. Full mathematics is in §4.4.</w:t>
      </w:r>
    </w:p>
    <w:p>
      <w:pPr>
        <w:pStyle w:val="ListParagraph"/>
        <w:numPr>
          <w:ilvl w:val="0"/>
          <w:numId w:val="2"/>
        </w:numPr>
        <w:spacing w:after="80" w:line="276"/>
      </w:pPr>
      <w:r>
        <w:rPr>
          <w:b/>
          <w:bCs/>
        </w:rPr>
        <w:t xml:space="preserve">Short-term forecast (15 to 30 min):</w:t>
      </w:r>
      <w:r>
        <w:rPr>
          <w:b w:val="false"/>
          <w:bCs w:val="false"/>
        </w:rPr>
        <w:t xml:space="preserve"> ordinary least-squares regression on the last 30 minutes of readings, projected forward with </w:t>
      </w:r>
      <w:r>
        <w:rPr>
          <w:b/>
          <w:bCs/>
        </w:rPr>
        <w:t xml:space="preserve">exponential damping</w:t>
      </w:r>
      <w:r>
        <w:rPr>
          <w:b w:val="false"/>
          <w:bCs w:val="false"/>
        </w:rPr>
        <w:t xml:space="preserve"> so the projection flattens toward the horizon rather than continuing linearly. Undamped extrapolation overshoots badly at exactly the moments the user cares about — the post-meal peak and the post-correction nadir. The slope is additionally clamped to ±4 mg/dL/min, outside which glucose does not physiologically move.</w:t>
      </w:r>
    </w:p>
    <w:p>
      <w:pPr>
        <w:pStyle w:val="ListParagraph"/>
        <w:numPr>
          <w:ilvl w:val="0"/>
          <w:numId w:val="2"/>
        </w:numPr>
        <w:spacing w:after="80" w:line="276"/>
      </w:pPr>
      <w:r>
        <w:rPr>
          <w:b/>
          <w:bCs/>
        </w:rPr>
        <w:t xml:space="preserve">Confidence band:</w:t>
      </w:r>
      <w:r>
        <w:rPr>
          <w:b w:val="false"/>
          <w:bCs w:val="false"/>
        </w:rPr>
        <w:t xml:space="preserve"> empirical quantiles (10th/90th) of the app's own historical forecast errors at the same horizon, computed by backtesting against the user's own stored data. Not ±1 SD — that assumes residuals are stationary and normally distributed, and glucose residuals are neither (§8).</w:t>
      </w:r>
    </w:p>
    <w:p>
      <w:pPr>
        <w:pStyle w:val="ListParagraph"/>
        <w:numPr>
          <w:ilvl w:val="0"/>
          <w:numId w:val="2"/>
        </w:numPr>
        <w:spacing w:after="80" w:line="276"/>
      </w:pPr>
      <w:r>
        <w:rPr>
          <w:b/>
          <w:bCs/>
        </w:rPr>
        <w:t xml:space="preserve">Post-meal forecast:</w:t>
      </w:r>
      <w:r>
        <w:rPr>
          <w:b w:val="false"/>
          <w:bCs w:val="false"/>
        </w:rPr>
        <w:t xml:space="preserve"> carb absorption and insulin activity combined into an expected curve using the user's ISF and ICR, compared against actual readings as they arrive. The gap between expected and actual is the useful output — it surfaces dosing accuracy.</w:t>
      </w:r>
    </w:p>
    <w:p>
      <w:pPr>
        <w:pStyle w:val="ListParagraph"/>
        <w:numPr>
          <w:ilvl w:val="0"/>
          <w:numId w:val="2"/>
        </w:numPr>
        <w:spacing w:after="80" w:line="276"/>
      </w:pPr>
      <w:r>
        <w:rPr>
          <w:b/>
          <w:bCs/>
        </w:rPr>
        <w:t xml:space="preserve">IOB:</w:t>
      </w:r>
      <w:r>
        <w:rPr>
          <w:b w:val="false"/>
          <w:bCs w:val="false"/>
        </w:rPr>
        <w:t xml:space="preserve"> continuously calculated from logged bolus doses using the bi-exponential model (§4.4), visible as a numeric badge. </w:t>
      </w:r>
      <w:r>
        <w:rPr>
          <w:b/>
          <w:bCs/>
        </w:rPr>
        <w:t xml:space="preserve">COB</w:t>
      </w:r>
      <w:r>
        <w:rPr>
          <w:b w:val="false"/>
          <w:bCs w:val="false"/>
        </w:rPr>
        <w:t xml:space="preserve"> is displayed alongside it.</w:t>
      </w:r>
    </w:p>
    <w:p>
      <w:pPr>
        <w:pStyle w:val="ListParagraph"/>
        <w:numPr>
          <w:ilvl w:val="0"/>
          <w:numId w:val="2"/>
        </w:numPr>
        <w:spacing w:after="80" w:line="276"/>
      </w:pPr>
      <w:r>
        <w:rPr>
          <w:b/>
          <w:bCs/>
        </w:rPr>
        <w:t xml:space="preserve">Exercise adjustment:</w:t>
      </w:r>
      <w:r>
        <w:rPr>
          <w:b w:val="false"/>
          <w:bCs w:val="false"/>
        </w:rPr>
        <w:t xml:space="preserve"> an active or recent exercise event applies a documented multiplier to insulin sensitivity in the forecast. v1.1 logged exercise and then never used it anywhere, despite it being one of the largest drivers of glucose response.</w:t>
      </w:r>
    </w:p>
    <w:p>
      <w:pPr>
        <w:spacing w:after="100" w:before="180"/>
      </w:pPr>
      <w:r>
        <w:rPr>
          <w:b/>
          <w:bCs/>
          <w:color w:val="1F4D78"/>
        </w:rPr>
        <w:t xml:space="preserve">Predicted-low heads-up</w:t>
      </w:r>
    </w:p>
    <w:p>
      <w:pPr>
        <w:spacing w:after="120" w:line="276"/>
      </w:pPr>
      <w:r>
        <w:rPr>
          <w:b w:val="false"/>
          <w:bCs w:val="false"/>
        </w:rPr>
        <w:t xml:space="preserve">When the forecast crosses the low threshold within the horizon, the app surfaces it prominently in-app, on the Live Activity, and on the Watch complication. It does </w:t>
      </w:r>
      <w:r>
        <w:rPr>
          <w:b/>
          <w:bCs/>
        </w:rPr>
        <w:t xml:space="preserve">not</w:t>
      </w:r>
      <w:r>
        <w:rPr>
          <w:b w:val="false"/>
          <w:bCs w:val="false"/>
        </w:rPr>
        <w:t xml:space="preserve"> send a notification (§1.3). This is deliberately a pull, not a push: the official app keeps the alarm, GlucoNoir keeps the foresight.</w:t>
      </w:r>
    </w:p>
    <w:p>
      <w:pPr>
        <w:spacing w:after="120" w:line="276"/>
      </w:pPr>
      <w:r>
        <w:rPr>
          <w:b w:val="false"/>
          <w:bCs w:val="false"/>
        </w:rPr>
        <w:t xml:space="preserve">The heads-up is visually distinct from anything actionable. A prediction curve sitting next to a dose entry field is dose guidance in practice regardless of how it is labelled, so the two never share a screen region.</w:t>
      </w:r>
    </w:p>
    <w:p>
      <w:pPr>
        <w:pStyle w:val="Heading3"/>
        <w:spacing w:after="120" w:before="220"/>
      </w:pPr>
      <w:r>
        <w:rPr>
          <w:b w:val="false"/>
          <w:bCs w:val="false"/>
        </w:rPr>
        <w:t xml:space="preserve">3.2.4 Glanceable Surfaces</w:t>
      </w:r>
    </w:p>
    <w:p>
      <w:pPr>
        <w:pBdr>
          <w:left w:val="single" w:color="BFD3E6" w:sz="12" w:space="8"/>
        </w:pBdr>
        <w:spacing w:after="160" w:line="260"/>
        <w:ind w:left="180"/>
      </w:pPr>
      <w:r>
        <w:rPr>
          <w:b w:val="false"/>
          <w:bCs w:val="false"/>
          <w:i/>
          <w:iCs/>
          <w:color w:val="595959"/>
          <w:sz w:val="20"/>
          <w:szCs w:val="20"/>
        </w:rPr>
        <w:t xml:space="preserve">New in v1.2 as a consolidated section. v1.1 placed the widget and Watch complication in v2 (§3.2.1) while simultaneously listing them in v3 (§3.3, §4.5). They are consolidated here, in v2, because §2.2's dominant use case is a glance that should not require opening an app.</w:t>
      </w:r>
    </w:p>
    <w:p>
      <w:pPr>
        <w:spacing w:after="100" w:before="180"/>
      </w:pPr>
      <w:r>
        <w:rPr>
          <w:b/>
          <w:bCs/>
          <w:color w:val="1F4D78"/>
        </w:rPr>
        <w:t xml:space="preserve">Live Activity &amp; Dynamic Island</w:t>
      </w:r>
    </w:p>
    <w:p>
      <w:pPr>
        <w:pStyle w:val="ListParagraph"/>
        <w:numPr>
          <w:ilvl w:val="0"/>
          <w:numId w:val="2"/>
        </w:numPr>
        <w:spacing w:after="80" w:line="276"/>
      </w:pPr>
      <w:r>
        <w:rPr>
          <w:b w:val="false"/>
          <w:bCs w:val="false"/>
        </w:rPr>
        <w:t xml:space="preserve">Current value, trend arrow, minutes since reading, and — when relevant — the predicted-low heads-up.</w:t>
      </w:r>
    </w:p>
    <w:p>
      <w:pPr>
        <w:pStyle w:val="ListParagraph"/>
        <w:numPr>
          <w:ilvl w:val="0"/>
          <w:numId w:val="2"/>
        </w:numPr>
        <w:spacing w:after="80" w:line="276"/>
      </w:pPr>
      <w:r>
        <w:rPr>
          <w:b w:val="false"/>
          <w:bCs w:val="false"/>
        </w:rPr>
        <w:t xml:space="preserve">Updated from the same HealthKit background wake that drives everything else (§4.2.1). Add </w:t>
      </w:r>
      <w:r>
        <w:rPr>
          <w:rFonts w:ascii="Consolas" w:cs="Consolas" w:eastAsia="Consolas" w:hAnsi="Consolas"/>
          <w:b w:val="false"/>
          <w:bCs w:val="false"/>
          <w:sz w:val="19"/>
          <w:szCs w:val="19"/>
        </w:rPr>
        <w:t xml:space="preserve">NSSupportsLiveActivitiesFrequentUpdates</w:t>
      </w:r>
      <w:r>
        <w:rPr>
          <w:b w:val="false"/>
          <w:bCs w:val="false"/>
        </w:rPr>
        <w:t xml:space="preserve"> to Info.plist.</w:t>
      </w:r>
    </w:p>
    <w:p>
      <w:pPr>
        <w:pStyle w:val="ListParagraph"/>
        <w:numPr>
          <w:ilvl w:val="0"/>
          <w:numId w:val="2"/>
        </w:numPr>
        <w:spacing w:after="80" w:line="276"/>
      </w:pPr>
      <w:r>
        <w:rPr>
          <w:b w:val="false"/>
          <w:bCs w:val="false"/>
        </w:rPr>
        <w:t xml:space="preserve">Live Activities age out after roughly 8 hours. Plan for it: re-arm on app foreground, and provide an explicit “restart” affordance on the Lock Screen widget rather than pretending the session is indefinite.</w:t>
      </w:r>
    </w:p>
    <w:p>
      <w:pPr>
        <w:pStyle w:val="ListParagraph"/>
        <w:numPr>
          <w:ilvl w:val="0"/>
          <w:numId w:val="2"/>
        </w:numPr>
        <w:spacing w:after="80" w:line="276"/>
      </w:pPr>
      <w:r>
        <w:rPr>
          <w:b w:val="false"/>
          <w:bCs w:val="false"/>
        </w:rPr>
        <w:t xml:space="preserve">The compact and minimal Dynamic Island presentations must remain legible at a glance — value and arrow only, no chart.</w:t>
      </w:r>
    </w:p>
    <w:p>
      <w:pPr>
        <w:spacing w:after="100" w:before="180"/>
      </w:pPr>
      <w:r>
        <w:rPr>
          <w:b/>
          <w:bCs/>
          <w:color w:val="1F4D78"/>
        </w:rPr>
        <w:t xml:space="preserve">Apple Watch complication</w:t>
      </w:r>
    </w:p>
    <w:p>
      <w:pPr>
        <w:pStyle w:val="ListParagraph"/>
        <w:numPr>
          <w:ilvl w:val="0"/>
          <w:numId w:val="2"/>
        </w:numPr>
        <w:spacing w:after="80" w:line="276"/>
      </w:pPr>
      <w:r>
        <w:rPr>
          <w:b w:val="false"/>
          <w:bCs w:val="false"/>
        </w:rPr>
        <w:t xml:space="preserve">Current value, trend arrow, and staleness. The dominant surface for the 20–50 daily glances.</w:t>
      </w:r>
    </w:p>
    <w:p>
      <w:pPr>
        <w:pStyle w:val="ListParagraph"/>
        <w:numPr>
          <w:ilvl w:val="0"/>
          <w:numId w:val="2"/>
        </w:numPr>
        <w:spacing w:after="80" w:line="276"/>
      </w:pPr>
      <w:r>
        <w:rPr>
          <w:b w:val="false"/>
          <w:bCs w:val="false"/>
        </w:rPr>
        <w:t xml:space="preserve">The Watch app reads HealthKit </w:t>
      </w:r>
      <w:r>
        <w:rPr>
          <w:b/>
          <w:bCs/>
        </w:rPr>
        <w:t xml:space="preserve">directly</w:t>
      </w:r>
      <w:r>
        <w:rPr>
          <w:b w:val="false"/>
          <w:bCs w:val="false"/>
        </w:rPr>
        <w:t xml:space="preserve"> rather than depending on WatchConnectivity background transfer, which is unreliable and would make the complication the least fresh surface in the system instead of the most-used one.</w:t>
      </w:r>
    </w:p>
    <w:p>
      <w:pPr>
        <w:spacing w:after="100" w:before="180"/>
      </w:pPr>
      <w:r>
        <w:rPr>
          <w:b/>
          <w:bCs/>
          <w:color w:val="1F4D78"/>
        </w:rPr>
        <w:t xml:space="preserve">App Intents</w:t>
      </w:r>
    </w:p>
    <w:p>
      <w:pPr>
        <w:pStyle w:val="ListParagraph"/>
        <w:numPr>
          <w:ilvl w:val="0"/>
          <w:numId w:val="2"/>
        </w:numPr>
        <w:spacing w:after="80" w:line="276"/>
      </w:pPr>
      <w:r>
        <w:rPr>
          <w:b w:val="false"/>
          <w:bCs w:val="false"/>
        </w:rPr>
        <w:t xml:space="preserve">“Log 4 units”, “Log 30 grams of carbs”, “What's my glucose”. Voice or Lock Screen entry is the fastest logging path available and directly serves §10's sub-30-second target.</w:t>
      </w:r>
    </w:p>
    <w:p>
      <w:pPr>
        <w:pStyle w:val="ListParagraph"/>
        <w:numPr>
          <w:ilvl w:val="0"/>
          <w:numId w:val="2"/>
        </w:numPr>
        <w:spacing w:after="80" w:line="276"/>
      </w:pPr>
      <w:r>
        <w:rPr>
          <w:b w:val="false"/>
          <w:bCs w:val="false"/>
        </w:rPr>
        <w:t xml:space="preserve">One App Intents implementation yields Siri, Shortcuts, Spotlight, and interactive widget buttons together, which is why it belongs in v2 rather than being spread across v3.</w:t>
      </w:r>
    </w:p>
    <w:p>
      <w:pPr>
        <w:pStyle w:val="Heading3"/>
        <w:spacing w:after="120" w:before="220"/>
      </w:pPr>
      <w:r>
        <w:rPr>
          <w:b w:val="false"/>
          <w:bCs w:val="false"/>
        </w:rPr>
        <w:t xml:space="preserve">3.2.5 Meal Fingerprinting</w:t>
      </w:r>
    </w:p>
    <w:p>
      <w:pPr>
        <w:pBdr>
          <w:left w:val="single" w:color="BFD3E6" w:sz="12" w:space="8"/>
        </w:pBdr>
        <w:spacing w:after="160" w:line="260"/>
        <w:ind w:left="180"/>
      </w:pPr>
      <w:r>
        <w:rPr>
          <w:b w:val="false"/>
          <w:bCs w:val="false"/>
          <w:i/>
          <w:iCs/>
          <w:color w:val="595959"/>
          <w:sz w:val="20"/>
          <w:szCs w:val="20"/>
        </w:rPr>
        <w:t xml:space="preserve">Promoted in v1.2 from v1.1's v3 line item “personal food database”, and expanded. This is the feature the official app structurally cannot offer, and it is what justifies the logging discipline the rest of v2 asks for.</w:t>
      </w:r>
    </w:p>
    <w:p>
      <w:pPr>
        <w:pStyle w:val="ListParagraph"/>
        <w:numPr>
          <w:ilvl w:val="0"/>
          <w:numId w:val="2"/>
        </w:numPr>
        <w:spacing w:after="80" w:line="276"/>
      </w:pPr>
      <w:r>
        <w:rPr>
          <w:b w:val="false"/>
          <w:bCs w:val="false"/>
        </w:rPr>
        <w:t xml:space="preserve">Tag a meal with a name. Every subsequent log of the same name links to the same food record.</w:t>
      </w:r>
    </w:p>
    <w:p>
      <w:pPr>
        <w:pStyle w:val="ListParagraph"/>
        <w:numPr>
          <w:ilvl w:val="0"/>
          <w:numId w:val="2"/>
        </w:numPr>
        <w:spacing w:after="80" w:line="276"/>
      </w:pPr>
      <w:r>
        <w:rPr>
          <w:b w:val="false"/>
          <w:bCs w:val="false"/>
        </w:rPr>
        <w:t xml:space="preserve">Opening a tagged meal shows every past glucose response to it overlaid, with a median curve: “the last four times you ate this, you peaked at 210 around 75 minutes.”</w:t>
      </w:r>
    </w:p>
    <w:p>
      <w:pPr>
        <w:pStyle w:val="ListParagraph"/>
        <w:numPr>
          <w:ilvl w:val="0"/>
          <w:numId w:val="2"/>
        </w:numPr>
        <w:spacing w:after="80" w:line="276"/>
      </w:pPr>
      <w:r>
        <w:rPr>
          <w:b w:val="false"/>
          <w:bCs w:val="false"/>
        </w:rPr>
        <w:t xml:space="preserve">Per-meal derived statistics: median peak value, median time-to-peak, median 3-hour delta, and the observed effective carb ratio when a dose was logged with it.</w:t>
      </w:r>
    </w:p>
    <w:p>
      <w:pPr>
        <w:pStyle w:val="ListParagraph"/>
        <w:numPr>
          <w:ilvl w:val="0"/>
          <w:numId w:val="2"/>
        </w:numPr>
        <w:spacing w:after="80" w:line="276"/>
      </w:pPr>
      <w:r>
        <w:rPr>
          <w:b w:val="false"/>
          <w:bCs w:val="false"/>
        </w:rPr>
        <w:t xml:space="preserve">Sorted views: the meals with the highest peaks, the most variable responses, and the flattest curves.</w:t>
      </w:r>
    </w:p>
    <w:p>
      <w:pPr>
        <w:pStyle w:val="Heading3"/>
        <w:spacing w:after="120" w:before="220"/>
      </w:pPr>
      <w:r>
        <w:rPr>
          <w:b w:val="false"/>
          <w:bCs w:val="false"/>
        </w:rPr>
        <w:t xml:space="preserve">3.2.6 Overnight Report Card</w:t>
      </w:r>
    </w:p>
    <w:p>
      <w:pPr>
        <w:pBdr>
          <w:left w:val="single" w:color="BFD3E6" w:sz="12" w:space="8"/>
        </w:pBdr>
        <w:spacing w:after="160" w:line="260"/>
        <w:ind w:left="180"/>
      </w:pPr>
      <w:r>
        <w:rPr>
          <w:b w:val="false"/>
          <w:bCs w:val="false"/>
          <w:i/>
          <w:iCs/>
          <w:color w:val="595959"/>
          <w:sz w:val="20"/>
          <w:szCs w:val="20"/>
        </w:rPr>
        <w:t xml:space="preserve">New in v1.2.</w:t>
      </w:r>
    </w:p>
    <w:p>
      <w:pPr>
        <w:spacing w:after="120" w:line="276"/>
      </w:pPr>
      <w:r>
        <w:rPr>
          <w:b w:val="false"/>
          <w:bCs w:val="false"/>
        </w:rPr>
        <w:t xml:space="preserve">A card presented on first open each morning, covering the sleep window (segmented from HealthKit </w:t>
      </w:r>
      <w:r>
        <w:rPr>
          <w:rFonts w:ascii="Consolas" w:cs="Consolas" w:eastAsia="Consolas" w:hAnsi="Consolas"/>
          <w:b w:val="false"/>
          <w:bCs w:val="false"/>
          <w:sz w:val="19"/>
          <w:szCs w:val="19"/>
        </w:rPr>
        <w:t xml:space="preserve">sleepAnalysis</w:t>
      </w:r>
      <w:r>
        <w:rPr>
          <w:b w:val="false"/>
          <w:bCs w:val="false"/>
        </w:rPr>
        <w:t xml:space="preserve"> where available, otherwise the Bedside Mode schedule):</w:t>
      </w:r>
    </w:p>
    <w:p>
      <w:pPr>
        <w:pStyle w:val="ListParagraph"/>
        <w:numPr>
          <w:ilvl w:val="0"/>
          <w:numId w:val="2"/>
        </w:numPr>
        <w:spacing w:after="80" w:line="276"/>
      </w:pPr>
      <w:r>
        <w:rPr>
          <w:b w:val="false"/>
          <w:bCs w:val="false"/>
        </w:rPr>
        <w:t xml:space="preserve">Overnight low and high with times; time-in-range while asleep; longest flat stretch.</w:t>
      </w:r>
    </w:p>
    <w:p>
      <w:pPr>
        <w:pStyle w:val="ListParagraph"/>
        <w:numPr>
          <w:ilvl w:val="0"/>
          <w:numId w:val="2"/>
        </w:numPr>
        <w:spacing w:after="80" w:line="276"/>
      </w:pPr>
      <w:r>
        <w:rPr>
          <w:b w:val="false"/>
          <w:bCs w:val="false"/>
        </w:rPr>
        <w:t xml:space="preserve">A suspected </w:t>
      </w:r>
      <w:r>
        <w:rPr>
          <w:b/>
          <w:bCs/>
        </w:rPr>
        <w:t xml:space="preserve">compression low</w:t>
      </w:r>
      <w:r>
        <w:rPr>
          <w:b w:val="false"/>
          <w:bCs w:val="false"/>
        </w:rPr>
        <w:t xml:space="preserve"> flag — a sharp drop to a low value with an equally sharp recovery and no corresponding treatment, which is a sensor artifact rather than a physiological event. Flagging these prevents the user from over-correcting a pattern that was never real, and prevents the prediction engine's own error statistics from being polluted by them.</w:t>
      </w:r>
    </w:p>
    <w:p>
      <w:pPr>
        <w:pStyle w:val="ListParagraph"/>
        <w:numPr>
          <w:ilvl w:val="0"/>
          <w:numId w:val="2"/>
        </w:numPr>
        <w:spacing w:after="80" w:line="276"/>
      </w:pPr>
      <w:r>
        <w:rPr>
          <w:b w:val="false"/>
          <w:bCs w:val="false"/>
        </w:rPr>
        <w:t xml:space="preserve">Comparison against the trailing 14-night median.</w:t>
      </w:r>
    </w:p>
    <w:p>
      <w:pPr>
        <w:pStyle w:val="Heading3"/>
        <w:spacing w:after="120" w:before="220"/>
      </w:pPr>
      <w:r>
        <w:rPr>
          <w:b w:val="false"/>
          <w:bCs w:val="false"/>
        </w:rPr>
        <w:t xml:space="preserve">3.2.7 Bolus Outcome Review</w:t>
      </w:r>
    </w:p>
    <w:p>
      <w:pPr>
        <w:pBdr>
          <w:left w:val="single" w:color="BFD3E6" w:sz="12" w:space="8"/>
        </w:pBdr>
        <w:spacing w:after="160" w:line="260"/>
        <w:ind w:left="180"/>
      </w:pPr>
      <w:r>
        <w:rPr>
          <w:b w:val="false"/>
          <w:bCs w:val="false"/>
          <w:i/>
          <w:iCs/>
          <w:color w:val="595959"/>
          <w:sz w:val="20"/>
          <w:szCs w:val="20"/>
        </w:rPr>
        <w:t xml:space="preserve">New in v1.2.</w:t>
      </w:r>
    </w:p>
    <w:p>
      <w:pPr>
        <w:spacing w:after="120" w:line="276"/>
      </w:pPr>
      <w:r>
        <w:rPr>
          <w:b w:val="false"/>
          <w:bCs w:val="false"/>
        </w:rPr>
        <w:t xml:space="preserve">For each logged dose, show predicted versus actual glucose over the following three hours. This reuses the prediction engine with no new math, closes the loop between logging and learning, and directly serves the dosing-accuracy goal — while never recommending a dose. It is retrospective by construction, which is what keeps it on the safe side of §1.2.</w:t>
      </w:r>
    </w:p>
    <w:p>
      <w:pPr>
        <w:pStyle w:val="Heading2"/>
        <w:spacing w:after="140" w:before="280"/>
      </w:pPr>
      <w:r>
        <w:rPr>
          <w:b w:val="false"/>
          <w:bCs w:val="false"/>
        </w:rPr>
        <w:t xml:space="preserve">3.3 v3 — Polish &amp; Stretch</w:t>
      </w:r>
    </w:p>
    <w:p>
      <w:pPr>
        <w:pStyle w:val="ListParagraph"/>
        <w:numPr>
          <w:ilvl w:val="0"/>
          <w:numId w:val="2"/>
        </w:numPr>
        <w:spacing w:after="80" w:line="276"/>
      </w:pPr>
      <w:r>
        <w:rPr>
          <w:b/>
          <w:bCs/>
        </w:rPr>
        <w:t xml:space="preserve">AGP PDF export</w:t>
      </w:r>
      <w:r>
        <w:rPr>
          <w:b w:val="false"/>
          <w:bCs w:val="false"/>
        </w:rPr>
        <w:t xml:space="preserve"> styled like the report endocrinologists use, built on the percentile computation already shipped in §3.1.5.</w:t>
      </w:r>
    </w:p>
    <w:p>
      <w:pPr>
        <w:pStyle w:val="ListParagraph"/>
        <w:numPr>
          <w:ilvl w:val="0"/>
          <w:numId w:val="2"/>
        </w:numPr>
        <w:spacing w:after="80" w:line="276"/>
      </w:pPr>
      <w:r>
        <w:rPr>
          <w:b/>
          <w:bCs/>
        </w:rPr>
        <w:t xml:space="preserve">Auto-generated endo prep</w:t>
      </w:r>
      <w:r>
        <w:rPr>
          <w:b w:val="false"/>
          <w:bCs w:val="false"/>
        </w:rPr>
        <w:t xml:space="preserve"> — the top three patterns detected across 90 days (“Tuesday post-lunch spikes”, “overnight drift low after evening exercise”), attached to the export. More useful in an appointment than the raw AGP page.</w:t>
      </w:r>
    </w:p>
    <w:p>
      <w:pPr>
        <w:pStyle w:val="ListParagraph"/>
        <w:numPr>
          <w:ilvl w:val="0"/>
          <w:numId w:val="2"/>
        </w:numPr>
        <w:spacing w:after="80" w:line="276"/>
      </w:pPr>
      <w:r>
        <w:rPr>
          <w:b/>
          <w:bCs/>
        </w:rPr>
        <w:t xml:space="preserve">Lock Screen and StandBy widgets</w:t>
      </w:r>
      <w:r>
        <w:rPr>
          <w:b w:val="false"/>
          <w:bCs w:val="false"/>
        </w:rPr>
        <w:t xml:space="preserve">, extending §3.2.4's surfaces.</w:t>
      </w:r>
    </w:p>
    <w:p>
      <w:pPr>
        <w:pStyle w:val="ListParagraph"/>
        <w:numPr>
          <w:ilvl w:val="0"/>
          <w:numId w:val="2"/>
        </w:numPr>
        <w:spacing w:after="80" w:line="276"/>
      </w:pPr>
      <w:r>
        <w:rPr>
          <w:b/>
          <w:bCs/>
        </w:rPr>
        <w:t xml:space="preserve">HealthKit write-back</w:t>
      </w:r>
      <w:r>
        <w:rPr>
          <w:b w:val="false"/>
          <w:bCs w:val="false"/>
        </w:rPr>
        <w:t xml:space="preserve"> so logged events are visible to other Apple Health apps.</w:t>
      </w:r>
    </w:p>
    <w:p>
      <w:pPr>
        <w:pStyle w:val="ListParagraph"/>
        <w:numPr>
          <w:ilvl w:val="0"/>
          <w:numId w:val="2"/>
        </w:numPr>
        <w:spacing w:after="80" w:line="276"/>
      </w:pPr>
      <w:r>
        <w:rPr>
          <w:b/>
          <w:bCs/>
        </w:rPr>
        <w:t xml:space="preserve">iCloud sync</w:t>
      </w:r>
      <w:r>
        <w:rPr>
          <w:b w:val="false"/>
          <w:bCs w:val="false"/>
        </w:rPr>
        <w:t xml:space="preserve"> of logged events across the user's own devices, via CloudKit private database (see §4.3 for the schema constraints this imposes from day one).</w:t>
      </w:r>
    </w:p>
    <w:p>
      <w:pPr>
        <w:pStyle w:val="ListParagraph"/>
        <w:numPr>
          <w:ilvl w:val="0"/>
          <w:numId w:val="2"/>
        </w:numPr>
        <w:spacing w:after="80" w:line="276"/>
      </w:pPr>
      <w:r>
        <w:rPr>
          <w:b/>
          <w:bCs/>
        </w:rPr>
        <w:t xml:space="preserve">Full Apple Watch app</w:t>
      </w:r>
      <w:r>
        <w:rPr>
          <w:b w:val="false"/>
          <w:bCs w:val="false"/>
        </w:rPr>
        <w:t xml:space="preserve"> beyond the complication — historical chart and logging on-wrist.</w:t>
      </w:r>
    </w:p>
    <w:p>
      <w:pPr>
        <w:pBdr>
          <w:left w:val="single" w:color="BFD3E6" w:sz="12" w:space="8"/>
        </w:pBdr>
        <w:spacing w:after="160" w:line="260"/>
        <w:ind w:left="180"/>
      </w:pPr>
      <w:r>
        <w:rPr>
          <w:b w:val="false"/>
          <w:bCs w:val="false"/>
          <w:i/>
          <w:iCs/>
          <w:color w:val="595959"/>
          <w:sz w:val="20"/>
          <w:szCs w:val="20"/>
        </w:rPr>
        <w:t xml:space="preserve">Changed in v1.2: Watch complication, widgets for logging, Siri, and the food database moved to v2 (§3.2.4, §3.2.5). What remains here is genuinely stretch.</w:t>
      </w:r>
    </w:p>
    <w:p>
      <w:pPr>
        <w:pStyle w:val="Heading1"/>
        <w:spacing w:after="160" w:before="360"/>
      </w:pPr>
      <w:r>
        <w:rPr>
          <w:b w:val="false"/>
          <w:bCs w:val="false"/>
        </w:rPr>
        <w:t xml:space="preserve">4. Technical Architecture</w:t>
      </w:r>
    </w:p>
    <w:p>
      <w:pPr>
        <w:pStyle w:val="Heading2"/>
        <w:spacing w:after="140" w:before="280"/>
      </w:pPr>
      <w:r>
        <w:rPr>
          <w:b w:val="false"/>
          <w:bCs w:val="false"/>
        </w:rPr>
        <w:t xml:space="preserve">4.1 Stack</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600"/>
        <w:gridCol w:w="2300"/>
        <w:gridCol w:w="5460"/>
      </w:tblGrid>
      <w:tr>
        <w:trPr>
          <w:tblHeader/>
        </w:trPr>
        <w:tc>
          <w:tcPr>
            <w:tcW w:type="dxa" w:w="1600"/>
            <w:shd w:fill="DEEAF6" w:color="auto" w:val="clear"/>
            <w:tcMar>
              <w:top w:type="dxa" w:w="60"/>
              <w:left w:type="dxa" w:w="100"/>
              <w:bottom w:type="dxa" w:w="60"/>
              <w:right w:type="dxa" w:w="100"/>
            </w:tcMar>
          </w:tcPr>
          <w:p>
            <w:pPr>
              <w:spacing w:after="0" w:line="250"/>
            </w:pPr>
            <w:r>
              <w:rPr>
                <w:b/>
                <w:bCs/>
                <w:sz w:val="20"/>
                <w:szCs w:val="20"/>
              </w:rPr>
              <w:t xml:space="preserve">Layer</w:t>
            </w:r>
          </w:p>
        </w:tc>
        <w:tc>
          <w:tcPr>
            <w:tcW w:type="dxa" w:w="2300"/>
            <w:shd w:fill="DEEAF6" w:color="auto" w:val="clear"/>
            <w:tcMar>
              <w:top w:type="dxa" w:w="60"/>
              <w:left w:type="dxa" w:w="100"/>
              <w:bottom w:type="dxa" w:w="60"/>
              <w:right w:type="dxa" w:w="100"/>
            </w:tcMar>
          </w:tcPr>
          <w:p>
            <w:pPr>
              <w:spacing w:after="0" w:line="250"/>
            </w:pPr>
            <w:r>
              <w:rPr>
                <w:b/>
                <w:bCs/>
                <w:sz w:val="20"/>
                <w:szCs w:val="20"/>
              </w:rPr>
              <w:t xml:space="preserve">Choice</w:t>
            </w:r>
          </w:p>
        </w:tc>
        <w:tc>
          <w:tcPr>
            <w:tcW w:type="dxa" w:w="5460"/>
            <w:shd w:fill="DEEAF6" w:color="auto" w:val="clear"/>
            <w:tcMar>
              <w:top w:type="dxa" w:w="60"/>
              <w:left w:type="dxa" w:w="100"/>
              <w:bottom w:type="dxa" w:w="60"/>
              <w:right w:type="dxa" w:w="100"/>
            </w:tcMar>
          </w:tcPr>
          <w:p>
            <w:pPr>
              <w:spacing w:after="0" w:line="250"/>
            </w:pPr>
            <w:r>
              <w:rPr>
                <w:b/>
                <w:bCs/>
                <w:sz w:val="20"/>
                <w:szCs w:val="20"/>
              </w:rPr>
              <w:t xml:space="preserve">Rationale</w:t>
            </w:r>
          </w:p>
        </w:tc>
      </w:tr>
      <w:tr>
        <w:tc>
          <w:tcPr>
            <w:tcW w:type="dxa" w:w="1600"/>
            <w:tcMar>
              <w:top w:type="dxa" w:w="60"/>
              <w:left w:type="dxa" w:w="100"/>
              <w:bottom w:type="dxa" w:w="60"/>
              <w:right w:type="dxa" w:w="100"/>
            </w:tcMar>
          </w:tcPr>
          <w:p>
            <w:pPr>
              <w:spacing w:after="0" w:line="250"/>
            </w:pPr>
            <w:r>
              <w:rPr>
                <w:b w:val="false"/>
                <w:bCs w:val="false"/>
                <w:sz w:val="20"/>
                <w:szCs w:val="20"/>
              </w:rPr>
              <w:t xml:space="preserve">Language</w:t>
            </w:r>
          </w:p>
        </w:tc>
        <w:tc>
          <w:tcPr>
            <w:tcW w:type="dxa" w:w="2300"/>
            <w:tcMar>
              <w:top w:type="dxa" w:w="60"/>
              <w:left w:type="dxa" w:w="100"/>
              <w:bottom w:type="dxa" w:w="60"/>
              <w:right w:type="dxa" w:w="100"/>
            </w:tcMar>
          </w:tcPr>
          <w:p>
            <w:pPr>
              <w:spacing w:after="0" w:line="250"/>
            </w:pPr>
            <w:r>
              <w:rPr>
                <w:b w:val="false"/>
                <w:bCs w:val="false"/>
                <w:sz w:val="20"/>
                <w:szCs w:val="20"/>
              </w:rPr>
              <w:t xml:space="preserve">Swift 6</w:t>
            </w:r>
          </w:p>
        </w:tc>
        <w:tc>
          <w:tcPr>
            <w:tcW w:type="dxa" w:w="5460"/>
            <w:tcMar>
              <w:top w:type="dxa" w:w="60"/>
              <w:left w:type="dxa" w:w="100"/>
              <w:bottom w:type="dxa" w:w="60"/>
              <w:right w:type="dxa" w:w="100"/>
            </w:tcMar>
          </w:tcPr>
          <w:p>
            <w:pPr>
              <w:spacing w:after="0" w:line="250"/>
            </w:pPr>
            <w:r>
              <w:rPr>
                <w:b w:val="false"/>
                <w:bCs w:val="false"/>
                <w:sz w:val="20"/>
                <w:szCs w:val="20"/>
              </w:rPr>
              <w:t xml:space="preserve">Native, current, strict concurrency. Note: SwiftData's ModelContext is not Sendable — all writes go through a @ModelActor (§4.3).</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UI</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SwiftUI</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Best path for adaptive theming and, later, widgets and Live Activities.</w:t>
            </w:r>
          </w:p>
        </w:tc>
      </w:tr>
      <w:tr>
        <w:tc>
          <w:tcPr>
            <w:tcW w:type="dxa" w:w="1600"/>
            <w:tcMar>
              <w:top w:type="dxa" w:w="60"/>
              <w:left w:type="dxa" w:w="100"/>
              <w:bottom w:type="dxa" w:w="60"/>
              <w:right w:type="dxa" w:w="100"/>
            </w:tcMar>
          </w:tcPr>
          <w:p>
            <w:pPr>
              <w:spacing w:after="0" w:line="250"/>
            </w:pPr>
            <w:r>
              <w:rPr>
                <w:b w:val="false"/>
                <w:bCs w:val="false"/>
                <w:sz w:val="20"/>
                <w:szCs w:val="20"/>
              </w:rPr>
              <w:t xml:space="preserve">Min iOS</w:t>
            </w:r>
          </w:p>
        </w:tc>
        <w:tc>
          <w:tcPr>
            <w:tcW w:type="dxa" w:w="2300"/>
            <w:tcMar>
              <w:top w:type="dxa" w:w="60"/>
              <w:left w:type="dxa" w:w="100"/>
              <w:bottom w:type="dxa" w:w="60"/>
              <w:right w:type="dxa" w:w="100"/>
            </w:tcMar>
          </w:tcPr>
          <w:p>
            <w:pPr>
              <w:spacing w:after="0" w:line="250"/>
            </w:pPr>
            <w:r>
              <w:rPr>
                <w:b w:val="false"/>
                <w:bCs w:val="false"/>
                <w:sz w:val="20"/>
                <w:szCs w:val="20"/>
              </w:rPr>
              <w:t xml:space="preserve">Current major release</w:t>
            </w:r>
          </w:p>
        </w:tc>
        <w:tc>
          <w:tcPr>
            <w:tcW w:type="dxa" w:w="5460"/>
            <w:tcMar>
              <w:top w:type="dxa" w:w="60"/>
              <w:left w:type="dxa" w:w="100"/>
              <w:bottom w:type="dxa" w:w="60"/>
              <w:right w:type="dxa" w:w="100"/>
            </w:tcMar>
          </w:tcPr>
          <w:p>
            <w:pPr>
              <w:spacing w:after="0" w:line="250"/>
            </w:pPr>
            <w:r>
              <w:rPr>
                <w:b w:val="false"/>
                <w:bCs w:val="false"/>
                <w:sz w:val="20"/>
                <w:szCs w:val="20"/>
              </w:rPr>
              <w:t xml:space="preserve">Backward compatibility is a market concern and there is no market — one user, one phone. Targeting current buys materially better SwiftData and Swift Charts behaviour.</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CGM transport</w:t>
            </w:r>
          </w:p>
        </w:tc>
        <w:tc>
          <w:tcPr>
            <w:tcW w:type="dxa" w:w="2300"/>
            <w:shd w:fill="F5F8FC" w:color="auto" w:val="clear"/>
            <w:tcMar>
              <w:top w:type="dxa" w:w="60"/>
              <w:left w:type="dxa" w:w="100"/>
              <w:bottom w:type="dxa" w:w="60"/>
              <w:right w:type="dxa" w:w="100"/>
            </w:tcMar>
          </w:tcPr>
          <w:p>
            <w:pPr>
              <w:spacing w:after="0" w:line="250"/>
            </w:pPr>
            <w:r>
              <w:rPr>
                <w:b/>
                <w:bCs/>
                <w:sz w:val="20"/>
                <w:szCs w:val="20"/>
              </w:rPr>
              <w:t xml:space="preserve">CoreBluetooth via G7SensorKit</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New in v1.3. MIT licensed, actively maintained, the G7 manager used by Loop. Supplies the BLE protocol, message parsing, sensor-state enum, and glucose limits.</w:t>
            </w:r>
          </w:p>
        </w:tc>
      </w:tr>
      <w:tr>
        <w:tc>
          <w:tcPr>
            <w:tcW w:type="dxa" w:w="1600"/>
            <w:tcMar>
              <w:top w:type="dxa" w:w="60"/>
              <w:left w:type="dxa" w:w="100"/>
              <w:bottom w:type="dxa" w:w="60"/>
              <w:right w:type="dxa" w:w="100"/>
            </w:tcMar>
          </w:tcPr>
          <w:p>
            <w:pPr>
              <w:spacing w:after="0" w:line="250"/>
            </w:pPr>
            <w:r>
              <w:rPr>
                <w:b w:val="false"/>
                <w:bCs w:val="false"/>
                <w:sz w:val="20"/>
                <w:szCs w:val="20"/>
              </w:rPr>
              <w:t xml:space="preserve">Persistence</w:t>
            </w:r>
          </w:p>
        </w:tc>
        <w:tc>
          <w:tcPr>
            <w:tcW w:type="dxa" w:w="2300"/>
            <w:tcMar>
              <w:top w:type="dxa" w:w="60"/>
              <w:left w:type="dxa" w:w="100"/>
              <w:bottom w:type="dxa" w:w="60"/>
              <w:right w:type="dxa" w:w="100"/>
            </w:tcMar>
          </w:tcPr>
          <w:p>
            <w:pPr>
              <w:spacing w:after="0" w:line="250"/>
            </w:pPr>
            <w:r>
              <w:rPr>
                <w:b w:val="false"/>
                <w:bCs w:val="false"/>
                <w:sz w:val="20"/>
                <w:szCs w:val="20"/>
              </w:rPr>
              <w:t xml:space="preserve">SwiftData</w:t>
            </w:r>
          </w:p>
        </w:tc>
        <w:tc>
          <w:tcPr>
            <w:tcW w:type="dxa" w:w="5460"/>
            <w:tcMar>
              <w:top w:type="dxa" w:w="60"/>
              <w:left w:type="dxa" w:w="100"/>
              <w:bottom w:type="dxa" w:w="60"/>
              <w:right w:type="dxa" w:w="100"/>
            </w:tcMar>
          </w:tcPr>
          <w:p>
            <w:pPr>
              <w:spacing w:after="0" w:line="250"/>
            </w:pPr>
            <w:r>
              <w:rPr>
                <w:b w:val="false"/>
                <w:bCs w:val="false"/>
                <w:sz w:val="20"/>
                <w:szCs w:val="20"/>
              </w:rPr>
              <w:t xml:space="preserve">First-party, versioned migrations. CloudKit-ready for v3 subject to §4.3's constraints.</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Charts</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Swift Charts (Apple)</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Native, performant, theme-aware. Requires downsampling above ~2,000 points (§4.5).</w:t>
            </w:r>
          </w:p>
        </w:tc>
      </w:tr>
      <w:tr>
        <w:tc>
          <w:tcPr>
            <w:tcW w:type="dxa" w:w="1600"/>
            <w:tcMar>
              <w:top w:type="dxa" w:w="60"/>
              <w:left w:type="dxa" w:w="100"/>
              <w:bottom w:type="dxa" w:w="60"/>
              <w:right w:type="dxa" w:w="100"/>
            </w:tcMar>
          </w:tcPr>
          <w:p>
            <w:pPr>
              <w:spacing w:after="0" w:line="250"/>
            </w:pPr>
            <w:r>
              <w:rPr>
                <w:b w:val="false"/>
                <w:bCs w:val="false"/>
                <w:sz w:val="20"/>
                <w:szCs w:val="20"/>
              </w:rPr>
              <w:t xml:space="preserve">Networking</w:t>
            </w:r>
          </w:p>
        </w:tc>
        <w:tc>
          <w:tcPr>
            <w:tcW w:type="dxa" w:w="2300"/>
            <w:tcMar>
              <w:top w:type="dxa" w:w="60"/>
              <w:left w:type="dxa" w:w="100"/>
              <w:bottom w:type="dxa" w:w="60"/>
              <w:right w:type="dxa" w:w="100"/>
            </w:tcMar>
          </w:tcPr>
          <w:p>
            <w:pPr>
              <w:spacing w:after="0" w:line="250"/>
            </w:pPr>
            <w:r>
              <w:rPr>
                <w:b w:val="false"/>
                <w:bCs w:val="false"/>
                <w:sz w:val="20"/>
                <w:szCs w:val="20"/>
              </w:rPr>
              <w:t xml:space="preserve">URLSession + async/await</w:t>
            </w:r>
          </w:p>
        </w:tc>
        <w:tc>
          <w:tcPr>
            <w:tcW w:type="dxa" w:w="5460"/>
            <w:tcMar>
              <w:top w:type="dxa" w:w="60"/>
              <w:left w:type="dxa" w:w="100"/>
              <w:bottom w:type="dxa" w:w="60"/>
              <w:right w:type="dxa" w:w="100"/>
            </w:tcMar>
          </w:tcPr>
          <w:p>
            <w:pPr>
              <w:spacing w:after="0" w:line="250"/>
            </w:pPr>
            <w:r>
              <w:rPr>
                <w:b w:val="false"/>
                <w:bCs w:val="false"/>
                <w:sz w:val="20"/>
                <w:szCs w:val="20"/>
              </w:rPr>
              <w:t xml:space="preserve">Only needed if the optional Share fallback (§4.2.4) is built. v1 makes no network calls at all.</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Secrets</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Keychain Services</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Only needed for the Share fallback. </w:t>
            </w:r>
            <w:r>
              <w:rPr>
                <w:b/>
                <w:bCs/>
                <w:sz w:val="20"/>
                <w:szCs w:val="20"/>
              </w:rPr>
              <w:t xml:space="preserve">v1 stores no credentials of any kind</w:t>
            </w:r>
            <w:r>
              <w:rPr>
                <w:b w:val="false"/>
                <w:bCs w:val="false"/>
                <w:sz w:val="20"/>
                <w:szCs w:val="20"/>
              </w:rPr>
              <w:t xml:space="preserve">, which removes a whole class of risk.</w:t>
            </w:r>
          </w:p>
        </w:tc>
      </w:tr>
      <w:tr>
        <w:tc>
          <w:tcPr>
            <w:tcW w:type="dxa" w:w="1600"/>
            <w:tcMar>
              <w:top w:type="dxa" w:w="60"/>
              <w:left w:type="dxa" w:w="100"/>
              <w:bottom w:type="dxa" w:w="60"/>
              <w:right w:type="dxa" w:w="100"/>
            </w:tcMar>
          </w:tcPr>
          <w:p>
            <w:pPr>
              <w:spacing w:after="0" w:line="250"/>
            </w:pPr>
            <w:r>
              <w:rPr>
                <w:b w:val="false"/>
                <w:bCs w:val="false"/>
                <w:sz w:val="20"/>
                <w:szCs w:val="20"/>
              </w:rPr>
              <w:t xml:space="preserve">Background</w:t>
            </w:r>
          </w:p>
        </w:tc>
        <w:tc>
          <w:tcPr>
            <w:tcW w:type="dxa" w:w="2300"/>
            <w:tcMar>
              <w:top w:type="dxa" w:w="60"/>
              <w:left w:type="dxa" w:w="100"/>
              <w:bottom w:type="dxa" w:w="60"/>
              <w:right w:type="dxa" w:w="100"/>
            </w:tcMar>
          </w:tcPr>
          <w:p>
            <w:pPr>
              <w:spacing w:after="0" w:line="250"/>
            </w:pPr>
            <w:r>
              <w:rPr>
                <w:b/>
                <w:bCs/>
                <w:sz w:val="20"/>
                <w:szCs w:val="20"/>
              </w:rPr>
              <w:t xml:space="preserve">CoreBluetooth state preservation &amp; restoration</w:t>
            </w:r>
          </w:p>
        </w:tc>
        <w:tc>
          <w:tcPr>
            <w:tcW w:type="dxa" w:w="5460"/>
            <w:tcMar>
              <w:top w:type="dxa" w:w="60"/>
              <w:left w:type="dxa" w:w="100"/>
              <w:bottom w:type="dxa" w:w="60"/>
              <w:right w:type="dxa" w:w="100"/>
            </w:tcMar>
          </w:tcPr>
          <w:p>
            <w:pPr>
              <w:spacing w:after="0" w:line="250"/>
            </w:pPr>
            <w:r>
              <w:rPr>
                <w:b w:val="false"/>
                <w:bCs w:val="false"/>
                <w:sz w:val="20"/>
                <w:szCs w:val="20"/>
              </w:rPr>
              <w:t xml:space="preserve">Changed in v1.3 from HealthKit background delivery. iOS relaunches the app on sensor connection events; not subject to HealthKit delivery caps or BGAppRefreshTask heuristics.</w:t>
            </w:r>
          </w:p>
        </w:tc>
      </w:tr>
      <w:tr>
        <w:tc>
          <w:tcPr>
            <w:tcW w:type="dxa" w:w="1600"/>
            <w:shd w:fill="F5F8FC" w:color="auto" w:val="clear"/>
            <w:tcMar>
              <w:top w:type="dxa" w:w="60"/>
              <w:left w:type="dxa" w:w="100"/>
              <w:bottom w:type="dxa" w:w="60"/>
              <w:right w:type="dxa" w:w="100"/>
            </w:tcMar>
          </w:tcPr>
          <w:p>
            <w:pPr>
              <w:spacing w:after="0" w:line="250"/>
            </w:pPr>
            <w:r>
              <w:rPr>
                <w:b w:val="false"/>
                <w:bCs w:val="false"/>
                <w:sz w:val="20"/>
                <w:szCs w:val="20"/>
              </w:rPr>
              <w:t xml:space="preserve">Entitlements</w:t>
            </w:r>
          </w:p>
        </w:tc>
        <w:tc>
          <w:tcPr>
            <w:tcW w:type="dxa" w:w="2300"/>
            <w:shd w:fill="F5F8FC" w:color="auto" w:val="clear"/>
            <w:tcMar>
              <w:top w:type="dxa" w:w="60"/>
              <w:left w:type="dxa" w:w="100"/>
              <w:bottom w:type="dxa" w:w="60"/>
              <w:right w:type="dxa" w:w="100"/>
            </w:tcMar>
          </w:tcPr>
          <w:p>
            <w:pPr>
              <w:spacing w:after="0" w:line="250"/>
            </w:pPr>
            <w:r>
              <w:rPr>
                <w:b w:val="false"/>
                <w:bCs w:val="false"/>
                <w:sz w:val="20"/>
                <w:szCs w:val="20"/>
              </w:rPr>
              <w:t xml:space="preserve">HealthKit; App Groups (v2, paid)</w:t>
            </w:r>
          </w:p>
        </w:tc>
        <w:tc>
          <w:tcPr>
            <w:tcW w:type="dxa" w:w="5460"/>
            <w:shd w:fill="F5F8FC" w:color="auto" w:val="clear"/>
            <w:tcMar>
              <w:top w:type="dxa" w:w="60"/>
              <w:left w:type="dxa" w:w="100"/>
              <w:bottom w:type="dxa" w:w="60"/>
              <w:right w:type="dxa" w:w="100"/>
            </w:tcMar>
          </w:tcPr>
          <w:p>
            <w:pPr>
              <w:spacing w:after="0" w:line="250"/>
            </w:pPr>
            <w:r>
              <w:rPr>
                <w:b w:val="false"/>
                <w:bCs w:val="false"/>
                <w:sz w:val="20"/>
                <w:szCs w:val="20"/>
              </w:rPr>
              <w:t xml:space="preserve">See §6.1 — v1 is deliberately buildable on a free personal team.</w:t>
            </w:r>
          </w:p>
        </w:tc>
      </w:tr>
      <w:tr>
        <w:tc>
          <w:tcPr>
            <w:tcW w:type="dxa" w:w="1600"/>
            <w:tcMar>
              <w:top w:type="dxa" w:w="60"/>
              <w:left w:type="dxa" w:w="100"/>
              <w:bottom w:type="dxa" w:w="60"/>
              <w:right w:type="dxa" w:w="100"/>
            </w:tcMar>
          </w:tcPr>
          <w:p>
            <w:pPr>
              <w:spacing w:after="0" w:line="250"/>
            </w:pPr>
            <w:r>
              <w:rPr>
                <w:b w:val="false"/>
                <w:bCs w:val="false"/>
                <w:sz w:val="20"/>
                <w:szCs w:val="20"/>
              </w:rPr>
              <w:t xml:space="preserve">Testing</w:t>
            </w:r>
          </w:p>
        </w:tc>
        <w:tc>
          <w:tcPr>
            <w:tcW w:type="dxa" w:w="2300"/>
            <w:tcMar>
              <w:top w:type="dxa" w:w="60"/>
              <w:left w:type="dxa" w:w="100"/>
              <w:bottom w:type="dxa" w:w="60"/>
              <w:right w:type="dxa" w:w="100"/>
            </w:tcMar>
          </w:tcPr>
          <w:p>
            <w:pPr>
              <w:spacing w:after="0" w:line="250"/>
            </w:pPr>
            <w:r>
              <w:rPr>
                <w:b w:val="false"/>
                <w:bCs w:val="false"/>
                <w:sz w:val="20"/>
                <w:szCs w:val="20"/>
              </w:rPr>
              <w:t xml:space="preserve">Swift Testing + XCTest</w:t>
            </w:r>
          </w:p>
        </w:tc>
        <w:tc>
          <w:tcPr>
            <w:tcW w:type="dxa" w:w="5460"/>
            <w:tcMar>
              <w:top w:type="dxa" w:w="60"/>
              <w:left w:type="dxa" w:w="100"/>
              <w:bottom w:type="dxa" w:w="60"/>
              <w:right w:type="dxa" w:w="100"/>
            </w:tcMar>
          </w:tcPr>
          <w:p>
            <w:pPr>
              <w:spacing w:after="0" w:line="250"/>
            </w:pPr>
            <w:r>
              <w:rPr>
                <w:b w:val="false"/>
                <w:bCs w:val="false"/>
                <w:sz w:val="20"/>
                <w:szCs w:val="20"/>
              </w:rPr>
              <w:t xml:space="preserve">Unit tests for prediction math, BLE message parsing, and coordinator merge logic, against recorded fixtures (§4.5).</w:t>
            </w:r>
          </w:p>
        </w:tc>
      </w:tr>
    </w:tbl>
    <w:p>
      <w:pPr>
        <w:pStyle w:val="Heading2"/>
        <w:spacing w:after="140" w:before="280"/>
      </w:pPr>
      <w:r>
        <w:rPr>
          <w:b w:val="false"/>
          <w:bCs w:val="false"/>
        </w:rPr>
        <w:t xml:space="preserve">4.2 Data Source Layer</w:t>
      </w:r>
    </w:p>
    <w:p>
      <w:pPr>
        <w:spacing w:after="120" w:line="276"/>
      </w:pPr>
      <w:r>
        <w:rPr>
          <w:b w:val="false"/>
          <w:bCs w:val="false"/>
        </w:rPr>
        <w:t xml:space="preserve">Each source is a Swift actor exposing an </w:t>
      </w:r>
      <w:r>
        <w:rPr>
          <w:rFonts w:ascii="Consolas" w:cs="Consolas" w:eastAsia="Consolas" w:hAnsi="Consolas"/>
          <w:b w:val="false"/>
          <w:bCs w:val="false"/>
          <w:sz w:val="19"/>
          <w:szCs w:val="19"/>
        </w:rPr>
        <w:t xml:space="preserve">AsyncStream&lt;GlucoseReading&gt;</w:t>
      </w:r>
      <w:r>
        <w:rPr>
          <w:b w:val="false"/>
          <w:bCs w:val="false"/>
        </w:rPr>
        <w:t xml:space="preserve"> into a single coordinator. This isolates threading concerns and makes every source independently testable against recorded fixtures.</w:t>
      </w:r>
    </w:p>
    <w:p>
      <w:pPr>
        <w:pStyle w:val="Heading3"/>
        <w:spacing w:after="120" w:before="220"/>
      </w:pPr>
      <w:r>
        <w:rPr>
          <w:b w:val="false"/>
          <w:bCs w:val="false"/>
        </w:rPr>
        <w:t xml:space="preserve">4.2.1 Background &amp; Wake Architecture</w:t>
      </w:r>
    </w:p>
    <w:p>
      <w:pPr>
        <w:pBdr>
          <w:left w:val="single" w:color="BFD3E6" w:sz="12" w:space="8"/>
        </w:pBdr>
        <w:spacing w:after="160" w:line="260"/>
        <w:ind w:left="180"/>
      </w:pPr>
      <w:r>
        <w:rPr>
          <w:b w:val="false"/>
          <w:bCs w:val="false"/>
          <w:i/>
          <w:iCs/>
          <w:color w:val="595959"/>
          <w:sz w:val="20"/>
          <w:szCs w:val="20"/>
        </w:rPr>
        <w:t xml:space="preserve">Rewritten in v1.3. v1.2 replaced BGAppRefreshTask with HealthKit background delivery. Both are now moot: HealthKit is three hours stale, so waking on it would deliver nothing worth having.</w:t>
      </w:r>
    </w:p>
    <w:p>
      <w:pPr>
        <w:spacing w:after="100" w:before="180"/>
      </w:pPr>
      <w:r>
        <w:rPr>
          <w:b/>
          <w:bCs/>
          <w:color w:val="1F4D78"/>
        </w:rPr>
        <w:t xml:space="preserve">Why the earlier designs do not work</w:t>
      </w:r>
    </w:p>
    <w:p>
      <w:pPr>
        <w:pStyle w:val="ListParagraph"/>
        <w:numPr>
          <w:ilvl w:val="0"/>
          <w:numId w:val="2"/>
        </w:numPr>
        <w:spacing w:after="80" w:line="276"/>
      </w:pPr>
      <w:r>
        <w:rPr>
          <w:rFonts w:ascii="Consolas" w:cs="Consolas" w:eastAsia="Consolas" w:hAnsi="Consolas"/>
          <w:b/>
          <w:bCs/>
          <w:sz w:val="19"/>
          <w:szCs w:val="19"/>
        </w:rPr>
        <w:t xml:space="preserve">BGAppRefreshTask</w:t>
      </w:r>
      <w:r>
        <w:rPr>
          <w:b/>
          <w:bCs/>
        </w:rPr>
        <w:t xml:space="preserve"> (v1.1)</w:t>
      </w:r>
      <w:r>
        <w:rPr>
          <w:b w:val="false"/>
          <w:bCs w:val="false"/>
        </w:rPr>
        <w:t xml:space="preserve"> — </w:t>
      </w:r>
      <w:r>
        <w:rPr>
          <w:rFonts w:ascii="Consolas" w:cs="Consolas" w:eastAsia="Consolas" w:hAnsi="Consolas"/>
          <w:b w:val="false"/>
          <w:bCs w:val="false"/>
          <w:sz w:val="19"/>
          <w:szCs w:val="19"/>
        </w:rPr>
        <w:t xml:space="preserve">earliestBeginDate</w:t>
      </w:r>
      <w:r>
        <w:rPr>
          <w:b w:val="false"/>
          <w:bCs w:val="false"/>
        </w:rPr>
        <w:t xml:space="preserve"> is a floor, not a schedule. iOS decides whether to run the task at all, and is least likely to overnight, which is precisely the window that matters.</w:t>
      </w:r>
    </w:p>
    <w:p>
      <w:pPr>
        <w:pStyle w:val="ListParagraph"/>
        <w:numPr>
          <w:ilvl w:val="0"/>
          <w:numId w:val="2"/>
        </w:numPr>
        <w:spacing w:after="80" w:line="276"/>
      </w:pPr>
      <w:r>
        <w:rPr>
          <w:b/>
          <w:bCs/>
        </w:rPr>
        <w:t xml:space="preserve">HealthKit background delivery (v1.2)</w:t>
      </w:r>
      <w:r>
        <w:rPr>
          <w:b w:val="false"/>
          <w:bCs w:val="false"/>
        </w:rPr>
        <w:t xml:space="preserve"> — would wake reliably, but the payload is three hours old. A punctual delivery of stale data is not freshness.</w:t>
      </w:r>
    </w:p>
    <w:p>
      <w:pPr>
        <w:spacing w:after="100" w:before="180"/>
      </w:pPr>
      <w:r>
        <w:rPr>
          <w:b/>
          <w:bCs/>
          <w:color w:val="1F4D78"/>
        </w:rPr>
        <w:t xml:space="preserve">The corrected design</w:t>
      </w:r>
    </w:p>
    <w:p>
      <w:pPr>
        <w:pStyle w:val="ListParagraph"/>
        <w:numPr>
          <w:ilvl w:val="0"/>
          <w:numId w:val="3"/>
        </w:numPr>
        <w:spacing w:after="80" w:line="276"/>
      </w:pPr>
      <w:r>
        <w:rPr>
          <w:b/>
          <w:bCs/>
        </w:rPr>
        <w:t xml:space="preserve">CoreBluetooth state preservation and restoration is the wake mechanism.</w:t>
      </w:r>
      <w:r>
        <w:rPr>
          <w:b w:val="false"/>
          <w:bCs w:val="false"/>
        </w:rPr>
        <w:t xml:space="preserve"> Declare the </w:t>
      </w:r>
      <w:r>
        <w:rPr>
          <w:rFonts w:ascii="Consolas" w:cs="Consolas" w:eastAsia="Consolas" w:hAnsi="Consolas"/>
          <w:b w:val="false"/>
          <w:bCs w:val="false"/>
          <w:sz w:val="19"/>
          <w:szCs w:val="19"/>
        </w:rPr>
        <w:t xml:space="preserve">bluetooth-central</w:t>
      </w:r>
      <w:r>
        <w:rPr>
          <w:b w:val="false"/>
          <w:bCs w:val="false"/>
        </w:rPr>
        <w:t xml:space="preserve"> background mode and initialise </w:t>
      </w:r>
      <w:r>
        <w:rPr>
          <w:rFonts w:ascii="Consolas" w:cs="Consolas" w:eastAsia="Consolas" w:hAnsi="Consolas"/>
          <w:b w:val="false"/>
          <w:bCs w:val="false"/>
          <w:sz w:val="19"/>
          <w:szCs w:val="19"/>
        </w:rPr>
        <w:t xml:space="preserve">CBCentralManager</w:t>
      </w:r>
      <w:r>
        <w:rPr>
          <w:b w:val="false"/>
          <w:bCs w:val="false"/>
        </w:rPr>
        <w:t xml:space="preserve"> with a restoration identifier. iOS then relaunches the app into the background on connection events from the sensor it is bonded to, and hands back the restored central via </w:t>
      </w:r>
      <w:r>
        <w:rPr>
          <w:rFonts w:ascii="Consolas" w:cs="Consolas" w:eastAsia="Consolas" w:hAnsi="Consolas"/>
          <w:b w:val="false"/>
          <w:bCs w:val="false"/>
          <w:sz w:val="19"/>
          <w:szCs w:val="19"/>
        </w:rPr>
        <w:t xml:space="preserve">centralManager(_:willRestoreState:)</w:t>
      </w:r>
      <w:r>
        <w:rPr>
          <w:b w:val="false"/>
          <w:bCs w:val="false"/>
        </w:rPr>
        <w:t xml:space="preserve">.</w:t>
      </w:r>
    </w:p>
    <w:p>
      <w:pPr>
        <w:pStyle w:val="ListParagraph"/>
        <w:numPr>
          <w:ilvl w:val="0"/>
          <w:numId w:val="3"/>
        </w:numPr>
        <w:spacing w:after="80" w:line="276"/>
      </w:pPr>
      <w:r>
        <w:rPr>
          <w:b/>
          <w:bCs/>
        </w:rPr>
        <w:t xml:space="preserve">The sensor drives the cadence.</w:t>
      </w:r>
      <w:r>
        <w:rPr>
          <w:b w:val="false"/>
          <w:bCs w:val="false"/>
        </w:rPr>
        <w:t xml:space="preserve"> The G7 transmits every 5 minutes. The app is woken by the peripheral rather than polling on a timer it does not control — no heuristics, no delivery caps, no negotiation with the scheduler.</w:t>
      </w:r>
    </w:p>
    <w:p>
      <w:pPr>
        <w:pStyle w:val="ListParagraph"/>
        <w:numPr>
          <w:ilvl w:val="0"/>
          <w:numId w:val="3"/>
        </w:numPr>
        <w:spacing w:after="80" w:line="276"/>
      </w:pPr>
      <w:r>
        <w:rPr>
          <w:b/>
          <w:bCs/>
        </w:rPr>
        <w:t xml:space="preserve">Each wake is short and idempotent:</w:t>
      </w:r>
      <w:r>
        <w:rPr>
          <w:b w:val="false"/>
          <w:bCs w:val="false"/>
        </w:rPr>
        <w:t xml:space="preserve"> decode the message, upsert the reading, recompute the current-state view model, update any live surfaces, return. Assume the app may be killed between any two wakes.</w:t>
      </w:r>
    </w:p>
    <w:p>
      <w:pPr>
        <w:pStyle w:val="ListParagraph"/>
        <w:numPr>
          <w:ilvl w:val="0"/>
          <w:numId w:val="3"/>
        </w:numPr>
        <w:spacing w:after="80" w:line="276"/>
      </w:pPr>
      <w:r>
        <w:rPr>
          <w:rFonts w:ascii="Consolas" w:cs="Consolas" w:eastAsia="Consolas" w:hAnsi="Consolas"/>
          <w:b/>
          <w:bCs/>
          <w:sz w:val="19"/>
          <w:szCs w:val="19"/>
        </w:rPr>
        <w:t xml:space="preserve">BGAppRefreshTask</w:t>
      </w:r>
      <w:r>
        <w:rPr>
          <w:b/>
          <w:bCs/>
        </w:rPr>
        <w:t xml:space="preserve"> is retained only as a low-frequency janitor</w:t>
      </w:r>
      <w:r>
        <w:rPr>
          <w:b w:val="false"/>
          <w:bCs w:val="false"/>
        </w:rPr>
        <w:t xml:space="preserve"> — daily HealthKit backfill, nightly aggregate recomputation, weekly backup — where an unpredictable schedule is harmless.</w:t>
      </w:r>
    </w:p>
    <w:p>
      <w:pPr>
        <w:pStyle w:val="ListParagraph"/>
        <w:numPr>
          <w:ilvl w:val="0"/>
          <w:numId w:val="3"/>
        </w:numPr>
        <w:spacing w:after="80" w:line="276"/>
      </w:pPr>
      <w:r>
        <w:rPr>
          <w:b/>
          <w:bCs/>
        </w:rPr>
        <w:t xml:space="preserve">Reconnection is the failure mode to engineer for,</w:t>
      </w:r>
      <w:r>
        <w:rPr>
          <w:b w:val="false"/>
          <w:bCs w:val="false"/>
        </w:rPr>
        <w:t xml:space="preserve"> not polling. Handle bonding loss, sensor changeover, and Bluetooth being toggled off and on. Every disconnect is logged to diagnostics with its reason.</w:t>
      </w:r>
    </w:p>
    <w:p>
      <w:pPr>
        <w:pBdr>
          <w:left w:val="single" w:color="BFD3E6" w:sz="12" w:space="8"/>
        </w:pBdr>
        <w:spacing w:after="160" w:line="260"/>
        <w:ind w:left="180"/>
      </w:pPr>
      <w:r>
        <w:rPr>
          <w:b w:val="false"/>
          <w:bCs w:val="false"/>
          <w:i/>
          <w:iCs/>
          <w:color w:val="595959"/>
          <w:sz w:val="20"/>
          <w:szCs w:val="20"/>
        </w:rPr>
        <w:t xml:space="preserve">A consequence worth stating plainly: because the wake is driven by a physical radio rather than by a scheduler heuristic, background freshness is expected to be materially better than either earlier design would have achieved. This is the single largest functional gain in v1.3.</w:t>
      </w:r>
    </w:p>
    <w:p>
      <w:pPr>
        <w:pStyle w:val="Heading3"/>
        <w:spacing w:after="120" w:before="220"/>
      </w:pPr>
      <w:r>
        <w:rPr>
          <w:b w:val="false"/>
          <w:bCs w:val="false"/>
        </w:rPr>
        <w:t xml:space="preserve">4.2.2 G7BluetoothSource</w:t>
      </w:r>
    </w:p>
    <w:p>
      <w:pPr>
        <w:pStyle w:val="ListParagraph"/>
        <w:numPr>
          <w:ilvl w:val="0"/>
          <w:numId w:val="2"/>
        </w:numPr>
        <w:spacing w:after="80" w:line="276"/>
      </w:pPr>
      <w:r>
        <w:rPr>
          <w:b/>
          <w:bCs/>
        </w:rPr>
        <w:t xml:space="preserve">Wraps </w:t>
      </w:r>
      <w:r>
        <w:rPr>
          <w:rFonts w:ascii="Consolas" w:cs="Consolas" w:eastAsia="Consolas" w:hAnsi="Consolas"/>
          <w:b/>
          <w:bCs/>
          <w:sz w:val="19"/>
          <w:szCs w:val="19"/>
        </w:rPr>
        <w:t xml:space="preserve">G7SensorKit</w:t>
      </w:r>
      <w:r>
        <w:rPr>
          <w:b/>
          <w:bCs/>
        </w:rPr>
        <w:t xml:space="preserve">.</w:t>
      </w:r>
      <w:r>
        <w:rPr>
          <w:b w:val="false"/>
          <w:bCs w:val="false"/>
        </w:rPr>
        <w:t xml:space="preserve"> Do not reimplement the protocol — its message layouts are reverse-engineered, version-sensitive, and already tested.</w:t>
      </w:r>
    </w:p>
    <w:p>
      <w:pPr>
        <w:pStyle w:val="ListParagraph"/>
        <w:numPr>
          <w:ilvl w:val="0"/>
          <w:numId w:val="2"/>
        </w:numPr>
        <w:spacing w:after="80" w:line="276"/>
      </w:pPr>
      <w:r>
        <w:rPr>
          <w:b/>
          <w:bCs/>
        </w:rPr>
        <w:t xml:space="preserve">Discovery and bonding:</w:t>
      </w:r>
      <w:r>
        <w:rPr>
          <w:b w:val="false"/>
          <w:bCs w:val="false"/>
        </w:rPr>
        <w:t xml:space="preserve"> the sensor is paired by the official Dexcom G7 app. GlucoNoir scans for the advertised G7 service and connects to the already-active sensor. On sensor changeover the identifier changes, so the app must re-discover rather than assume a stable peripheral.</w:t>
      </w:r>
    </w:p>
    <w:p>
      <w:pPr>
        <w:pStyle w:val="ListParagraph"/>
        <w:numPr>
          <w:ilvl w:val="0"/>
          <w:numId w:val="2"/>
        </w:numPr>
        <w:spacing w:after="80" w:line="276"/>
      </w:pPr>
      <w:r>
        <w:rPr>
          <w:b/>
          <w:bCs/>
        </w:rPr>
        <w:t xml:space="preserve">Reading fields consumed:</w:t>
      </w:r>
      <w:r>
        <w:rPr>
          <w:b w:val="false"/>
          <w:bCs w:val="false"/>
        </w:rPr>
        <w:t xml:space="preserve"> </w:t>
      </w:r>
      <w:r>
        <w:rPr>
          <w:rFonts w:ascii="Consolas" w:cs="Consolas" w:eastAsia="Consolas" w:hAnsi="Consolas"/>
          <w:b w:val="false"/>
          <w:bCs w:val="false"/>
          <w:sz w:val="19"/>
          <w:szCs w:val="19"/>
        </w:rPr>
        <w:t xml:space="preserve">glucose</w:t>
      </w:r>
      <w:r>
        <w:rPr>
          <w:b w:val="false"/>
          <w:bCs w:val="false"/>
        </w:rPr>
        <w:t xml:space="preserve"> (mg/dL), </w:t>
      </w:r>
      <w:r>
        <w:rPr>
          <w:rFonts w:ascii="Consolas" w:cs="Consolas" w:eastAsia="Consolas" w:hAnsi="Consolas"/>
          <w:b w:val="false"/>
          <w:bCs w:val="false"/>
          <w:sz w:val="19"/>
          <w:szCs w:val="19"/>
        </w:rPr>
        <w:t xml:space="preserve">predicted</w:t>
      </w:r>
      <w:r>
        <w:rPr>
          <w:b w:val="false"/>
          <w:bCs w:val="false"/>
        </w:rPr>
        <w:t xml:space="preserve">, </w:t>
      </w:r>
      <w:r>
        <w:rPr>
          <w:rFonts w:ascii="Consolas" w:cs="Consolas" w:eastAsia="Consolas" w:hAnsi="Consolas"/>
          <w:b w:val="false"/>
          <w:bCs w:val="false"/>
          <w:sz w:val="19"/>
          <w:szCs w:val="19"/>
        </w:rPr>
        <w:t xml:space="preserve">trend</w:t>
      </w:r>
      <w:r>
        <w:rPr>
          <w:b w:val="false"/>
          <w:bCs w:val="false"/>
        </w:rPr>
        <w:t xml:space="preserve"> (signed rate of change), </w:t>
      </w:r>
      <w:r>
        <w:rPr>
          <w:rFonts w:ascii="Consolas" w:cs="Consolas" w:eastAsia="Consolas" w:hAnsi="Consolas"/>
          <w:b w:val="false"/>
          <w:bCs w:val="false"/>
          <w:sz w:val="19"/>
          <w:szCs w:val="19"/>
        </w:rPr>
        <w:t xml:space="preserve">algorithmState</w:t>
      </w:r>
      <w:r>
        <w:rPr>
          <w:b w:val="false"/>
          <w:bCs w:val="false"/>
        </w:rPr>
        <w:t xml:space="preserve">, </w:t>
      </w:r>
      <w:r>
        <w:rPr>
          <w:rFonts w:ascii="Consolas" w:cs="Consolas" w:eastAsia="Consolas" w:hAnsi="Consolas"/>
          <w:b w:val="false"/>
          <w:bCs w:val="false"/>
          <w:sz w:val="19"/>
          <w:szCs w:val="19"/>
        </w:rPr>
        <w:t xml:space="preserve">age</w:t>
      </w:r>
      <w:r>
        <w:rPr>
          <w:b w:val="false"/>
          <w:bCs w:val="false"/>
        </w:rPr>
        <w:t xml:space="preserve"> (seconds from measurement to transmission), </w:t>
      </w:r>
      <w:r>
        <w:rPr>
          <w:rFonts w:ascii="Consolas" w:cs="Consolas" w:eastAsia="Consolas" w:hAnsi="Consolas"/>
          <w:b w:val="false"/>
          <w:bCs w:val="false"/>
          <w:sz w:val="19"/>
          <w:szCs w:val="19"/>
        </w:rPr>
        <w:t xml:space="preserve">sequence</w:t>
      </w:r>
      <w:r>
        <w:rPr>
          <w:b w:val="false"/>
          <w:bCs w:val="false"/>
        </w:rPr>
        <w:t xml:space="preserve">, and </w:t>
      </w:r>
      <w:r>
        <w:rPr>
          <w:rFonts w:ascii="Consolas" w:cs="Consolas" w:eastAsia="Consolas" w:hAnsi="Consolas"/>
          <w:b w:val="false"/>
          <w:bCs w:val="false"/>
          <w:sz w:val="19"/>
          <w:szCs w:val="19"/>
        </w:rPr>
        <w:t xml:space="preserve">glucoseIsDisplayOnly</w:t>
      </w:r>
      <w:r>
        <w:rPr>
          <w:b w:val="false"/>
          <w:bCs w:val="false"/>
        </w:rPr>
        <w:t xml:space="preserve">.</w:t>
      </w:r>
    </w:p>
    <w:p>
      <w:pPr>
        <w:pStyle w:val="ListParagraph"/>
        <w:numPr>
          <w:ilvl w:val="0"/>
          <w:numId w:val="2"/>
        </w:numPr>
        <w:spacing w:after="80" w:line="276"/>
      </w:pPr>
      <w:r>
        <w:rPr>
          <w:b/>
          <w:bCs/>
        </w:rPr>
        <w:t xml:space="preserve">Timestamp:</w:t>
      </w:r>
      <w:r>
        <w:rPr>
          <w:b w:val="false"/>
          <w:bCs w:val="false"/>
        </w:rPr>
        <w:t xml:space="preserve"> </w:t>
      </w:r>
      <w:r>
        <w:rPr>
          <w:rFonts w:ascii="Consolas" w:cs="Consolas" w:eastAsia="Consolas" w:hAnsi="Consolas"/>
          <w:b w:val="false"/>
          <w:bCs w:val="false"/>
          <w:sz w:val="19"/>
          <w:szCs w:val="19"/>
        </w:rPr>
        <w:t xml:space="preserve">glucoseTimestamp</w:t>
      </w:r>
      <w:r>
        <w:rPr>
          <w:b w:val="false"/>
          <w:bCs w:val="false"/>
        </w:rPr>
        <w:t xml:space="preserve"> = </w:t>
      </w:r>
      <w:r>
        <w:rPr>
          <w:rFonts w:ascii="Consolas" w:cs="Consolas" w:eastAsia="Consolas" w:hAnsi="Consolas"/>
          <w:b w:val="false"/>
          <w:bCs w:val="false"/>
          <w:sz w:val="19"/>
          <w:szCs w:val="19"/>
        </w:rPr>
        <w:t xml:space="preserve">messageTimestamp − age</w:t>
      </w:r>
      <w:r>
        <w:rPr>
          <w:b w:val="false"/>
          <w:bCs w:val="false"/>
        </w:rPr>
        <w:t xml:space="preserve">, in seconds since sensor pairing. Convert to absolute time using the session start; the offset must be recomputed on every sensor change, and getting this wrong shifts an entire session's history.</w:t>
      </w:r>
    </w:p>
    <w:p>
      <w:pPr>
        <w:pStyle w:val="ListParagraph"/>
        <w:numPr>
          <w:ilvl w:val="0"/>
          <w:numId w:val="2"/>
        </w:numPr>
        <w:spacing w:after="80" w:line="276"/>
      </w:pPr>
      <w:r>
        <w:rPr>
          <w:b/>
          <w:bCs/>
        </w:rPr>
        <w:t xml:space="preserve">Reliability gate:</w:t>
      </w:r>
      <w:r>
        <w:rPr>
          <w:b w:val="false"/>
          <w:bCs w:val="false"/>
        </w:rPr>
        <w:t xml:space="preserve"> honour </w:t>
      </w:r>
      <w:r>
        <w:rPr>
          <w:rFonts w:ascii="Consolas" w:cs="Consolas" w:eastAsia="Consolas" w:hAnsi="Consolas"/>
          <w:b w:val="false"/>
          <w:bCs w:val="false"/>
          <w:sz w:val="19"/>
          <w:szCs w:val="19"/>
        </w:rPr>
        <w:t xml:space="preserve">hasReliableGlucose</w:t>
      </w:r>
      <w:r>
        <w:rPr>
          <w:b w:val="false"/>
          <w:bCs w:val="false"/>
        </w:rPr>
        <w:t xml:space="preserve"> (true only in the </w:t>
      </w:r>
      <w:r>
        <w:rPr>
          <w:rFonts w:ascii="Consolas" w:cs="Consolas" w:eastAsia="Consolas" w:hAnsi="Consolas"/>
          <w:b w:val="false"/>
          <w:bCs w:val="false"/>
          <w:sz w:val="19"/>
          <w:szCs w:val="19"/>
        </w:rPr>
        <w:t xml:space="preserve">ok</w:t>
      </w:r>
      <w:r>
        <w:rPr>
          <w:b w:val="false"/>
          <w:bCs w:val="false"/>
        </w:rPr>
        <w:t xml:space="preserve"> state). Readings failing it are persisted with a flag but excluded from statistics and from forecast inputs.</w:t>
      </w:r>
    </w:p>
    <w:p>
      <w:pPr>
        <w:pStyle w:val="ListParagraph"/>
        <w:numPr>
          <w:ilvl w:val="0"/>
          <w:numId w:val="2"/>
        </w:numPr>
        <w:spacing w:after="80" w:line="276"/>
      </w:pPr>
      <w:r>
        <w:rPr>
          <w:b/>
          <w:bCs/>
        </w:rPr>
        <w:t xml:space="preserve">Range sentinels:</w:t>
      </w:r>
      <w:r>
        <w:rPr>
          <w:b w:val="false"/>
          <w:bCs w:val="false"/>
        </w:rPr>
        <w:t xml:space="preserve"> </w:t>
      </w:r>
      <w:r>
        <w:rPr>
          <w:rFonts w:ascii="Consolas" w:cs="Consolas" w:eastAsia="Consolas" w:hAnsi="Consolas"/>
          <w:b w:val="false"/>
          <w:bCs w:val="false"/>
          <w:sz w:val="19"/>
          <w:szCs w:val="19"/>
        </w:rPr>
        <w:t xml:space="preserve">GlucoseLimits</w:t>
      </w:r>
      <w:r>
        <w:rPr>
          <w:b w:val="false"/>
          <w:bCs w:val="false"/>
        </w:rPr>
        <w:t xml:space="preserve"> in G7SensorKit confirms the 40–400 mg/dL bounds assumed since v1.1. Values at the rails render as LOW and HIGH (§3.1.2), never as the numbers 40 and 400.</w:t>
      </w:r>
    </w:p>
    <w:p>
      <w:pPr>
        <w:pStyle w:val="ListParagraph"/>
        <w:numPr>
          <w:ilvl w:val="0"/>
          <w:numId w:val="2"/>
        </w:numPr>
        <w:spacing w:after="80" w:line="276"/>
      </w:pPr>
      <w:r>
        <w:rPr>
          <w:b/>
          <w:bCs/>
        </w:rPr>
        <w:t xml:space="preserve">Backfill:</w:t>
      </w:r>
      <w:r>
        <w:rPr>
          <w:b w:val="false"/>
          <w:bCs w:val="false"/>
        </w:rPr>
        <w:t xml:space="preserve"> on reconnection, request the sensor's retained readings (</w:t>
      </w:r>
      <w:r>
        <w:rPr>
          <w:rFonts w:ascii="Consolas" w:cs="Consolas" w:eastAsia="Consolas" w:hAnsi="Consolas"/>
          <w:b w:val="false"/>
          <w:bCs w:val="false"/>
          <w:sz w:val="19"/>
          <w:szCs w:val="19"/>
        </w:rPr>
        <w:t xml:space="preserve">G7BackfillMessage</w:t>
      </w:r>
      <w:r>
        <w:rPr>
          <w:b w:val="false"/>
          <w:bCs w:val="false"/>
        </w:rPr>
        <w:t xml:space="preserve">) to close gaps from app termination or out-of-range periods.</w:t>
      </w:r>
    </w:p>
    <w:p>
      <w:pPr>
        <w:pStyle w:val="ListParagraph"/>
        <w:numPr>
          <w:ilvl w:val="0"/>
          <w:numId w:val="2"/>
        </w:numPr>
        <w:spacing w:after="80" w:line="276"/>
      </w:pPr>
      <w:r>
        <w:rPr>
          <w:b/>
          <w:bCs/>
        </w:rPr>
        <w:t xml:space="preserve">The sensor's own </w:t>
      </w:r>
      <w:r>
        <w:rPr>
          <w:rFonts w:ascii="Consolas" w:cs="Consolas" w:eastAsia="Consolas" w:hAnsi="Consolas"/>
          <w:b/>
          <w:bCs/>
          <w:sz w:val="19"/>
          <w:szCs w:val="19"/>
        </w:rPr>
        <w:t xml:space="preserve">predicted</w:t>
      </w:r>
      <w:r>
        <w:rPr>
          <w:b/>
          <w:bCs/>
        </w:rPr>
        <w:t xml:space="preserve"> value is captured and stored but not displayed in v1.</w:t>
      </w:r>
      <w:r>
        <w:rPr>
          <w:b w:val="false"/>
          <w:bCs w:val="false"/>
        </w:rPr>
        <w:t xml:space="preserve"> In v2 it becomes a free benchmark: if Dexcom's on-sensor prediction outperforms the §4.4 forecaster on the user's own data, that is worth knowing before shipping a homegrown one.</w:t>
      </w:r>
    </w:p>
    <w:p>
      <w:pPr>
        <w:pStyle w:val="Heading3"/>
        <w:spacing w:after="120" w:before="220"/>
      </w:pPr>
      <w:r>
        <w:rPr>
          <w:b w:val="false"/>
          <w:bCs w:val="false"/>
        </w:rPr>
        <w:t xml:space="preserve">4.2.3 HealthKitBackfillSource</w:t>
      </w:r>
    </w:p>
    <w:p>
      <w:pPr>
        <w:pStyle w:val="ListParagraph"/>
        <w:numPr>
          <w:ilvl w:val="0"/>
          <w:numId w:val="2"/>
        </w:numPr>
        <w:spacing w:after="80" w:line="276"/>
      </w:pPr>
      <w:r>
        <w:rPr>
          <w:b w:val="false"/>
          <w:bCs w:val="false"/>
        </w:rPr>
        <w:t xml:space="preserve">Request </w:t>
      </w:r>
      <w:r>
        <w:rPr>
          <w:rFonts w:ascii="Consolas" w:cs="Consolas" w:eastAsia="Consolas" w:hAnsi="Consolas"/>
          <w:b w:val="false"/>
          <w:bCs w:val="false"/>
          <w:sz w:val="19"/>
          <w:szCs w:val="19"/>
        </w:rPr>
        <w:t xml:space="preserve">HKQuantityTypeIdentifier.bloodGlucose</w:t>
      </w:r>
      <w:r>
        <w:rPr>
          <w:b w:val="false"/>
          <w:bCs w:val="false"/>
        </w:rPr>
        <w:t xml:space="preserve"> read access with a clear </w:t>
      </w:r>
      <w:r>
        <w:rPr>
          <w:rFonts w:ascii="Consolas" w:cs="Consolas" w:eastAsia="Consolas" w:hAnsi="Consolas"/>
          <w:b w:val="false"/>
          <w:bCs w:val="false"/>
          <w:sz w:val="19"/>
          <w:szCs w:val="19"/>
        </w:rPr>
        <w:t xml:space="preserve">NSHealthShareUsageDescription</w:t>
      </w:r>
      <w:r>
        <w:rPr>
          <w:b w:val="false"/>
          <w:bCs w:val="false"/>
        </w:rPr>
        <w:t xml:space="preserve">. Request the §3.1.1 context types separately and later, so denying one does not cascade.</w:t>
      </w:r>
    </w:p>
    <w:p>
      <w:pPr>
        <w:pStyle w:val="ListParagraph"/>
        <w:numPr>
          <w:ilvl w:val="0"/>
          <w:numId w:val="2"/>
        </w:numPr>
        <w:spacing w:after="80" w:line="276"/>
      </w:pPr>
      <w:r>
        <w:rPr>
          <w:b/>
          <w:bCs/>
        </w:rPr>
        <w:t xml:space="preserve">One anchored query on first launch</w:t>
      </w:r>
      <w:r>
        <w:rPr>
          <w:b w:val="false"/>
          <w:bCs w:val="false"/>
        </w:rPr>
        <w:t xml:space="preserve"> for the last 90 days, plus a daily top-up. Persist the anchor. No observer query, no background delivery — HealthKit is not a live path.</w:t>
      </w:r>
    </w:p>
    <w:p>
      <w:pPr>
        <w:pStyle w:val="ListParagraph"/>
        <w:numPr>
          <w:ilvl w:val="0"/>
          <w:numId w:val="2"/>
        </w:numPr>
        <w:spacing w:after="80" w:line="276"/>
      </w:pPr>
      <w:r>
        <w:rPr>
          <w:b w:val="false"/>
          <w:bCs w:val="false"/>
        </w:rPr>
        <w:t xml:space="preserve">Filter to Dexcom's source bundle identifier. Handle deletions returned by the anchored query; ignoring them leaves phantom readings that corrupt every statistic.</w:t>
      </w:r>
    </w:p>
    <w:p>
      <w:pPr>
        <w:pStyle w:val="ListParagraph"/>
        <w:numPr>
          <w:ilvl w:val="0"/>
          <w:numId w:val="2"/>
        </w:numPr>
        <w:spacing w:after="80" w:line="276"/>
      </w:pPr>
      <w:r>
        <w:rPr>
          <w:b w:val="false"/>
          <w:bCs w:val="false"/>
        </w:rPr>
        <w:t xml:space="preserve">Backfilled readings carry no trend and are marked as such. They must never become the displayed current value regardless of how their timestamps sort — enforced in the coordinator, not by convention.</w:t>
      </w:r>
    </w:p>
    <w:p>
      <w:pPr>
        <w:pBdr>
          <w:left w:val="single" w:color="BFD3E6" w:sz="12" w:space="8"/>
        </w:pBdr>
        <w:spacing w:after="160" w:line="260"/>
        <w:ind w:left="180"/>
      </w:pPr>
      <w:r>
        <w:rPr>
          <w:b w:val="false"/>
          <w:bCs w:val="false"/>
          <w:i/>
          <w:iCs/>
          <w:color w:val="595959"/>
          <w:sz w:val="20"/>
          <w:szCs w:val="20"/>
        </w:rPr>
        <w:t xml:space="preserve">HealthKit works on a free Apple personal team for personal use, so the backfill path is available from day one (§6.1).</w:t>
      </w:r>
    </w:p>
    <w:p>
      <w:pPr>
        <w:pStyle w:val="Heading3"/>
        <w:spacing w:after="120" w:before="220"/>
      </w:pPr>
      <w:r>
        <w:rPr>
          <w:b w:val="false"/>
          <w:bCs w:val="false"/>
        </w:rPr>
        <w:t xml:space="preserve">4.2.4 DexcomShareClient (deferred to v2)</w:t>
      </w:r>
    </w:p>
    <w:p>
      <w:pPr>
        <w:spacing w:after="120" w:line="276"/>
      </w:pPr>
      <w:r>
        <w:rPr>
          <w:b w:val="false"/>
          <w:bCs w:val="false"/>
        </w:rPr>
        <w:t xml:space="preserve">Not built in v1. Specified here so the decision is not re-derived later, and because both prior revisions specified it incorrectly.</w:t>
      </w:r>
    </w:p>
    <w:p>
      <w:pPr>
        <w:spacing w:after="100" w:before="180"/>
      </w:pPr>
      <w:r>
        <w:rPr>
          <w:b/>
          <w:bCs/>
          <w:color w:val="1F4D78"/>
        </w:rPr>
        <w:t xml:space="preserve">Credential model — corrected</w:t>
      </w:r>
    </w:p>
    <w:p>
      <w:pPr>
        <w:spacing w:after="120" w:line="276"/>
      </w:pPr>
      <w:r>
        <w:rPr>
          <w:b/>
          <w:bCs/>
        </w:rPr>
        <w:t xml:space="preserve">v1.1 and v1.2 both instructed the developer to create a dedicated follower account and authenticate as the follower. This is wrong.</w:t>
      </w:r>
      <w:r>
        <w:rPr>
          <w:b w:val="false"/>
          <w:bCs w:val="false"/>
        </w:rPr>
        <w:t xml:space="preserve"> The Share API authenticates with the </w:t>
      </w:r>
      <w:r>
        <w:rPr>
          <w:b/>
          <w:bCs/>
        </w:rPr>
        <w:t xml:space="preserve">account holder's own credentials</w:t>
      </w:r>
      <w:r>
        <w:rPr>
          <w:b w:val="false"/>
          <w:bCs w:val="false"/>
        </w:rPr>
        <w:t xml:space="preserve"> — the same ones used for the Dexcom app that publishes the readings. A follower account must merely *exist* for Dexcom to enable the Share service at all; it is not the account you log in as.</w:t>
      </w:r>
    </w:p>
    <w:p>
      <w:pPr>
        <w:spacing w:after="100" w:before="180"/>
      </w:pPr>
      <w:r>
        <w:rPr>
          <w:b/>
          <w:bCs/>
          <w:color w:val="1F4D78"/>
        </w:rPr>
        <w:t xml:space="preserve">Authentication flow</w:t>
      </w:r>
    </w:p>
    <w:p>
      <w:pPr>
        <w:pStyle w:val="ListParagraph"/>
        <w:numPr>
          <w:ilvl w:val="0"/>
          <w:numId w:val="3"/>
        </w:numPr>
        <w:spacing w:after="80" w:line="276"/>
      </w:pPr>
      <w:r>
        <w:rPr>
          <w:rFonts w:ascii="Consolas" w:cs="Consolas" w:eastAsia="Consolas" w:hAnsi="Consolas"/>
          <w:b w:val="false"/>
          <w:bCs w:val="false"/>
          <w:sz w:val="19"/>
          <w:szCs w:val="19"/>
        </w:rPr>
        <w:t xml:space="preserve">POST General/AuthenticatePublisherAccount</w:t>
      </w:r>
      <w:r>
        <w:rPr>
          <w:b w:val="false"/>
          <w:bCs w:val="false"/>
        </w:rPr>
        <w:t xml:space="preserve"> with </w:t>
      </w:r>
      <w:r>
        <w:rPr>
          <w:rFonts w:ascii="Consolas" w:cs="Consolas" w:eastAsia="Consolas" w:hAnsi="Consolas"/>
          <w:b w:val="false"/>
          <w:bCs w:val="false"/>
          <w:sz w:val="19"/>
          <w:szCs w:val="19"/>
        </w:rPr>
        <w:t xml:space="preserve">accountName</w:t>
      </w:r>
      <w:r>
        <w:rPr>
          <w:b w:val="false"/>
          <w:bCs w:val="false"/>
        </w:rPr>
        <w:t xml:space="preserve">, </w:t>
      </w:r>
      <w:r>
        <w:rPr>
          <w:rFonts w:ascii="Consolas" w:cs="Consolas" w:eastAsia="Consolas" w:hAnsi="Consolas"/>
          <w:b w:val="false"/>
          <w:bCs w:val="false"/>
          <w:sz w:val="19"/>
          <w:szCs w:val="19"/>
        </w:rPr>
        <w:t xml:space="preserve">password</w:t>
      </w:r>
      <w:r>
        <w:rPr>
          <w:b w:val="false"/>
          <w:bCs w:val="false"/>
        </w:rPr>
        <w:t xml:space="preserve">, </w:t>
      </w:r>
      <w:r>
        <w:rPr>
          <w:rFonts w:ascii="Consolas" w:cs="Consolas" w:eastAsia="Consolas" w:hAnsi="Consolas"/>
          <w:b w:val="false"/>
          <w:bCs w:val="false"/>
          <w:sz w:val="19"/>
          <w:szCs w:val="19"/>
        </w:rPr>
        <w:t xml:space="preserve">applicationId</w:t>
      </w:r>
      <w:r>
        <w:rPr>
          <w:b w:val="false"/>
          <w:bCs w:val="false"/>
        </w:rPr>
        <w:t xml:space="preserve"> → returns an account ID.</w:t>
      </w:r>
    </w:p>
    <w:p>
      <w:pPr>
        <w:pStyle w:val="ListParagraph"/>
        <w:numPr>
          <w:ilvl w:val="0"/>
          <w:numId w:val="3"/>
        </w:numPr>
        <w:spacing w:after="80" w:line="276"/>
      </w:pPr>
      <w:r>
        <w:rPr>
          <w:rFonts w:ascii="Consolas" w:cs="Consolas" w:eastAsia="Consolas" w:hAnsi="Consolas"/>
          <w:b w:val="false"/>
          <w:bCs w:val="false"/>
          <w:sz w:val="19"/>
          <w:szCs w:val="19"/>
        </w:rPr>
        <w:t xml:space="preserve">POST General/LoginPublisherAccountById</w:t>
      </w:r>
      <w:r>
        <w:rPr>
          <w:b w:val="false"/>
          <w:bCs w:val="false"/>
        </w:rPr>
        <w:t xml:space="preserve"> with </w:t>
      </w:r>
      <w:r>
        <w:rPr>
          <w:rFonts w:ascii="Consolas" w:cs="Consolas" w:eastAsia="Consolas" w:hAnsi="Consolas"/>
          <w:b w:val="false"/>
          <w:bCs w:val="false"/>
          <w:sz w:val="19"/>
          <w:szCs w:val="19"/>
        </w:rPr>
        <w:t xml:space="preserve">accountId</w:t>
      </w:r>
      <w:r>
        <w:rPr>
          <w:b w:val="false"/>
          <w:bCs w:val="false"/>
        </w:rPr>
        <w:t xml:space="preserve">, </w:t>
      </w:r>
      <w:r>
        <w:rPr>
          <w:rFonts w:ascii="Consolas" w:cs="Consolas" w:eastAsia="Consolas" w:hAnsi="Consolas"/>
          <w:b w:val="false"/>
          <w:bCs w:val="false"/>
          <w:sz w:val="19"/>
          <w:szCs w:val="19"/>
        </w:rPr>
        <w:t xml:space="preserve">password</w:t>
      </w:r>
      <w:r>
        <w:rPr>
          <w:b w:val="false"/>
          <w:bCs w:val="false"/>
        </w:rPr>
        <w:t xml:space="preserve">, </w:t>
      </w:r>
      <w:r>
        <w:rPr>
          <w:rFonts w:ascii="Consolas" w:cs="Consolas" w:eastAsia="Consolas" w:hAnsi="Consolas"/>
          <w:b w:val="false"/>
          <w:bCs w:val="false"/>
          <w:sz w:val="19"/>
          <w:szCs w:val="19"/>
        </w:rPr>
        <w:t xml:space="preserve">applicationId</w:t>
      </w:r>
      <w:r>
        <w:rPr>
          <w:b w:val="false"/>
          <w:bCs w:val="false"/>
        </w:rPr>
        <w:t xml:space="preserve"> → returns a session ID.</w:t>
      </w:r>
    </w:p>
    <w:p>
      <w:pPr>
        <w:pStyle w:val="ListParagraph"/>
        <w:numPr>
          <w:ilvl w:val="0"/>
          <w:numId w:val="3"/>
        </w:numPr>
        <w:spacing w:after="80" w:line="276"/>
      </w:pPr>
      <w:r>
        <w:rPr>
          <w:rFonts w:ascii="Consolas" w:cs="Consolas" w:eastAsia="Consolas" w:hAnsi="Consolas"/>
          <w:b w:val="false"/>
          <w:bCs w:val="false"/>
          <w:sz w:val="19"/>
          <w:szCs w:val="19"/>
        </w:rPr>
        <w:t xml:space="preserve">POST Publisher/ReadPublisherLatestGlucoseValues</w:t>
      </w:r>
      <w:r>
        <w:rPr>
          <w:b w:val="false"/>
          <w:bCs w:val="false"/>
        </w:rPr>
        <w:t xml:space="preserve"> with </w:t>
      </w:r>
      <w:r>
        <w:rPr>
          <w:rFonts w:ascii="Consolas" w:cs="Consolas" w:eastAsia="Consolas" w:hAnsi="Consolas"/>
          <w:b w:val="false"/>
          <w:bCs w:val="false"/>
          <w:sz w:val="19"/>
          <w:szCs w:val="19"/>
        </w:rPr>
        <w:t xml:space="preserve">sessionId</w:t>
      </w:r>
      <w:r>
        <w:rPr>
          <w:b w:val="false"/>
          <w:bCs w:val="false"/>
        </w:rPr>
        <w:t xml:space="preserve">, </w:t>
      </w:r>
      <w:r>
        <w:rPr>
          <w:rFonts w:ascii="Consolas" w:cs="Consolas" w:eastAsia="Consolas" w:hAnsi="Consolas"/>
          <w:b w:val="false"/>
          <w:bCs w:val="false"/>
          <w:sz w:val="19"/>
          <w:szCs w:val="19"/>
        </w:rPr>
        <w:t xml:space="preserve">minutes</w:t>
      </w:r>
      <w:r>
        <w:rPr>
          <w:b w:val="false"/>
          <w:bCs w:val="false"/>
        </w:rPr>
        <w:t xml:space="preserve"> (max 1440), </w:t>
      </w:r>
      <w:r>
        <w:rPr>
          <w:rFonts w:ascii="Consolas" w:cs="Consolas" w:eastAsia="Consolas" w:hAnsi="Consolas"/>
          <w:b w:val="false"/>
          <w:bCs w:val="false"/>
          <w:sz w:val="19"/>
          <w:szCs w:val="19"/>
        </w:rPr>
        <w:t xml:space="preserve">maxCount</w:t>
      </w:r>
      <w:r>
        <w:rPr>
          <w:b w:val="false"/>
          <w:bCs w:val="false"/>
        </w:rPr>
        <w:t xml:space="preserve"> (max 288) as query parameters → returns readings.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500"/>
        <w:gridCol w:w="3000"/>
        <w:gridCol w:w="4860"/>
      </w:tblGrid>
      <w:tr>
        <w:trPr>
          <w:tblHeader/>
        </w:trPr>
        <w:tc>
          <w:tcPr>
            <w:tcW w:type="dxa" w:w="1500"/>
            <w:shd w:fill="DEEAF6" w:color="auto" w:val="clear"/>
            <w:tcMar>
              <w:top w:type="dxa" w:w="60"/>
              <w:left w:type="dxa" w:w="100"/>
              <w:bottom w:type="dxa" w:w="60"/>
              <w:right w:type="dxa" w:w="100"/>
            </w:tcMar>
          </w:tcPr>
          <w:p>
            <w:pPr>
              <w:spacing w:after="0" w:line="250"/>
            </w:pPr>
            <w:r>
              <w:rPr>
                <w:b/>
                <w:bCs/>
                <w:sz w:val="20"/>
                <w:szCs w:val="20"/>
              </w:rPr>
              <w:t xml:space="preserve">Region</w:t>
            </w:r>
          </w:p>
        </w:tc>
        <w:tc>
          <w:tcPr>
            <w:tcW w:type="dxa" w:w="3000"/>
            <w:shd w:fill="DEEAF6" w:color="auto" w:val="clear"/>
            <w:tcMar>
              <w:top w:type="dxa" w:w="60"/>
              <w:left w:type="dxa" w:w="100"/>
              <w:bottom w:type="dxa" w:w="60"/>
              <w:right w:type="dxa" w:w="100"/>
            </w:tcMar>
          </w:tcPr>
          <w:p>
            <w:pPr>
              <w:spacing w:after="0" w:line="250"/>
            </w:pPr>
            <w:r>
              <w:rPr>
                <w:b/>
                <w:bCs/>
                <w:sz w:val="20"/>
                <w:szCs w:val="20"/>
              </w:rPr>
              <w:t xml:space="preserve">Base URL</w:t>
            </w:r>
          </w:p>
        </w:tc>
        <w:tc>
          <w:tcPr>
            <w:tcW w:type="dxa" w:w="4860"/>
            <w:shd w:fill="DEEAF6" w:color="auto" w:val="clear"/>
            <w:tcMar>
              <w:top w:type="dxa" w:w="60"/>
              <w:left w:type="dxa" w:w="100"/>
              <w:bottom w:type="dxa" w:w="60"/>
              <w:right w:type="dxa" w:w="100"/>
            </w:tcMar>
          </w:tcPr>
          <w:p>
            <w:pPr>
              <w:spacing w:after="0" w:line="250"/>
            </w:pPr>
            <w:r>
              <w:rPr>
                <w:b/>
                <w:bCs/>
                <w:sz w:val="20"/>
                <w:szCs w:val="20"/>
              </w:rPr>
              <w:t xml:space="preserve">applicationId</w:t>
            </w:r>
          </w:p>
        </w:tc>
      </w:tr>
      <w:tr>
        <w:tc>
          <w:tcPr>
            <w:tcW w:type="dxa" w:w="1500"/>
            <w:tcMar>
              <w:top w:type="dxa" w:w="60"/>
              <w:left w:type="dxa" w:w="100"/>
              <w:bottom w:type="dxa" w:w="60"/>
              <w:right w:type="dxa" w:w="100"/>
            </w:tcMar>
          </w:tcPr>
          <w:p>
            <w:pPr>
              <w:spacing w:after="0" w:line="250"/>
            </w:pPr>
            <w:r>
              <w:rPr>
                <w:b w:val="false"/>
                <w:bCs w:val="false"/>
                <w:sz w:val="20"/>
                <w:szCs w:val="20"/>
              </w:rPr>
              <w:t xml:space="preserve">US</w:t>
            </w:r>
          </w:p>
        </w:tc>
        <w:tc>
          <w:tcPr>
            <w:tcW w:type="dxa" w:w="3000"/>
            <w:tcMar>
              <w:top w:type="dxa" w:w="60"/>
              <w:left w:type="dxa" w:w="100"/>
              <w:bottom w:type="dxa" w:w="60"/>
              <w:right w:type="dxa" w:w="100"/>
            </w:tcMar>
          </w:tcPr>
          <w:p>
            <w:pPr>
              <w:spacing w:after="0" w:line="250"/>
            </w:pPr>
            <w:r>
              <w:rPr>
                <w:b w:val="false"/>
                <w:bCs w:val="false"/>
                <w:sz w:val="20"/>
                <w:szCs w:val="20"/>
              </w:rPr>
              <w:t xml:space="preserve">share2.dexcom.com</w:t>
            </w:r>
          </w:p>
        </w:tc>
        <w:tc>
          <w:tcPr>
            <w:tcW w:type="dxa" w:w="4860"/>
            <w:tcMar>
              <w:top w:type="dxa" w:w="60"/>
              <w:left w:type="dxa" w:w="100"/>
              <w:bottom w:type="dxa" w:w="60"/>
              <w:right w:type="dxa" w:w="100"/>
            </w:tcMar>
          </w:tcPr>
          <w:p>
            <w:pPr>
              <w:spacing w:after="0" w:line="250"/>
            </w:pPr>
            <w:r>
              <w:rPr>
                <w:b w:val="false"/>
                <w:bCs w:val="false"/>
                <w:sz w:val="20"/>
                <w:szCs w:val="20"/>
              </w:rPr>
              <w:t xml:space="preserve">d89443d2-327c-4a6f-89e5-496bbb0317db</w:t>
            </w:r>
          </w:p>
        </w:tc>
      </w:tr>
      <w:tr>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Outside US</w:t>
            </w:r>
          </w:p>
        </w:tc>
        <w:tc>
          <w:tcPr>
            <w:tcW w:type="dxa" w:w="3000"/>
            <w:shd w:fill="F5F8FC" w:color="auto" w:val="clear"/>
            <w:tcMar>
              <w:top w:type="dxa" w:w="60"/>
              <w:left w:type="dxa" w:w="100"/>
              <w:bottom w:type="dxa" w:w="60"/>
              <w:right w:type="dxa" w:w="100"/>
            </w:tcMar>
          </w:tcPr>
          <w:p>
            <w:pPr>
              <w:spacing w:after="0" w:line="250"/>
            </w:pPr>
            <w:r>
              <w:rPr>
                <w:b w:val="false"/>
                <w:bCs w:val="false"/>
                <w:sz w:val="20"/>
                <w:szCs w:val="20"/>
              </w:rPr>
              <w:t xml:space="preserve">shareous1.dexcom.com</w:t>
            </w:r>
          </w:p>
        </w:tc>
        <w:tc>
          <w:tcPr>
            <w:tcW w:type="dxa" w:w="4860"/>
            <w:shd w:fill="F5F8FC" w:color="auto" w:val="clear"/>
            <w:tcMar>
              <w:top w:type="dxa" w:w="60"/>
              <w:left w:type="dxa" w:w="100"/>
              <w:bottom w:type="dxa" w:w="60"/>
              <w:right w:type="dxa" w:w="100"/>
            </w:tcMar>
          </w:tcPr>
          <w:p>
            <w:pPr>
              <w:spacing w:after="0" w:line="250"/>
            </w:pPr>
            <w:r>
              <w:rPr>
                <w:b w:val="false"/>
                <w:bCs w:val="false"/>
                <w:sz w:val="20"/>
                <w:szCs w:val="20"/>
              </w:rPr>
              <w:t xml:space="preserve">d89443d2-327c-4a6f-89e5-496bbb0317db</w:t>
            </w:r>
          </w:p>
        </w:tc>
      </w:tr>
      <w:tr>
        <w:tc>
          <w:tcPr>
            <w:tcW w:type="dxa" w:w="1500"/>
            <w:tcMar>
              <w:top w:type="dxa" w:w="60"/>
              <w:left w:type="dxa" w:w="100"/>
              <w:bottom w:type="dxa" w:w="60"/>
              <w:right w:type="dxa" w:w="100"/>
            </w:tcMar>
          </w:tcPr>
          <w:p>
            <w:pPr>
              <w:spacing w:after="0" w:line="250"/>
            </w:pPr>
            <w:r>
              <w:rPr>
                <w:b w:val="false"/>
                <w:bCs w:val="false"/>
                <w:sz w:val="20"/>
                <w:szCs w:val="20"/>
              </w:rPr>
              <w:t xml:space="preserve">Japan</w:t>
            </w:r>
          </w:p>
        </w:tc>
        <w:tc>
          <w:tcPr>
            <w:tcW w:type="dxa" w:w="3000"/>
            <w:tcMar>
              <w:top w:type="dxa" w:w="60"/>
              <w:left w:type="dxa" w:w="100"/>
              <w:bottom w:type="dxa" w:w="60"/>
              <w:right w:type="dxa" w:w="100"/>
            </w:tcMar>
          </w:tcPr>
          <w:p>
            <w:pPr>
              <w:spacing w:after="0" w:line="250"/>
            </w:pPr>
            <w:r>
              <w:rPr>
                <w:b w:val="false"/>
                <w:bCs w:val="false"/>
                <w:sz w:val="20"/>
                <w:szCs w:val="20"/>
              </w:rPr>
              <w:t xml:space="preserve">share.dexcom.jp</w:t>
            </w:r>
          </w:p>
        </w:tc>
        <w:tc>
          <w:tcPr>
            <w:tcW w:type="dxa" w:w="4860"/>
            <w:tcMar>
              <w:top w:type="dxa" w:w="60"/>
              <w:left w:type="dxa" w:w="100"/>
              <w:bottom w:type="dxa" w:w="60"/>
              <w:right w:type="dxa" w:w="100"/>
            </w:tcMar>
          </w:tcPr>
          <w:p>
            <w:pPr>
              <w:spacing w:after="0" w:line="250"/>
            </w:pPr>
            <w:r>
              <w:rPr>
                <w:b w:val="false"/>
                <w:bCs w:val="false"/>
                <w:sz w:val="20"/>
                <w:szCs w:val="20"/>
              </w:rPr>
              <w:t xml:space="preserve">d8665ade-9673-4e27-9ff6-92db4ce13d13</w:t>
            </w:r>
          </w:p>
        </w:tc>
      </w:tr>
    </w:tbl>
    <w:p>
      <w:pPr>
        <w:spacing w:after="100"/>
      </w:pPr>
    </w:p>
    <w:p>
      <w:pPr>
        <w:spacing w:after="100" w:before="180"/>
      </w:pPr>
      <w:r>
        <w:rPr>
          <w:b/>
          <w:bCs/>
          <w:color w:val="1F4D78"/>
        </w:rPr>
        <w:t xml:space="preserve">Parsing hazards</w:t>
      </w:r>
    </w:p>
    <w:p>
      <w:pPr>
        <w:pStyle w:val="ListParagraph"/>
        <w:numPr>
          <w:ilvl w:val="0"/>
          <w:numId w:val="2"/>
        </w:numPr>
        <w:spacing w:after="80" w:line="276"/>
      </w:pPr>
      <w:r>
        <w:rPr>
          <w:rFonts w:ascii="Consolas" w:cs="Consolas" w:eastAsia="Consolas" w:hAnsi="Consolas"/>
          <w:b/>
          <w:bCs/>
          <w:sz w:val="19"/>
          <w:szCs w:val="19"/>
        </w:rPr>
        <w:t xml:space="preserve">Trend</w:t>
      </w:r>
      <w:r>
        <w:rPr>
          <w:b/>
          <w:bCs/>
        </w:rPr>
        <w:t xml:space="preserve"> is now returned as a string</w:t>
      </w:r>
      <w:r>
        <w:rPr>
          <w:b w:val="false"/>
          <w:bCs w:val="false"/>
        </w:rPr>
        <w:t xml:space="preserve"> (</w:t>
      </w:r>
      <w:r>
        <w:rPr>
          <w:rFonts w:ascii="Consolas" w:cs="Consolas" w:eastAsia="Consolas" w:hAnsi="Consolas"/>
          <w:b w:val="false"/>
          <w:bCs w:val="false"/>
          <w:sz w:val="19"/>
          <w:szCs w:val="19"/>
        </w:rPr>
        <w:t xml:space="preserve">"Flat"</w:t>
      </w:r>
      <w:r>
        <w:rPr>
          <w:b w:val="false"/>
          <w:bCs w:val="false"/>
        </w:rPr>
        <w:t xml:space="preserve">), where it was formerly an integer. Decode both. The ten values are None, DoubleUp, SingleUp, FortyFiveUp, Flat, FortyFiveDown, SingleDown, DoubleDown, NotComputable, RateOutOfRange.</w:t>
      </w:r>
    </w:p>
    <w:p>
      <w:pPr>
        <w:pStyle w:val="ListParagraph"/>
        <w:numPr>
          <w:ilvl w:val="0"/>
          <w:numId w:val="2"/>
        </w:numPr>
        <w:spacing w:after="80" w:line="276"/>
      </w:pPr>
      <w:r>
        <w:rPr>
          <w:b/>
          <w:bCs/>
        </w:rPr>
        <w:t xml:space="preserve">Timestamps are Microsoft JSON dates with a timezone offset</w:t>
      </w:r>
      <w:r>
        <w:rPr>
          <w:b w:val="false"/>
          <w:bCs w:val="false"/>
        </w:rPr>
        <w:t xml:space="preserve"> — </w:t>
      </w:r>
      <w:r>
        <w:rPr>
          <w:rFonts w:ascii="Consolas" w:cs="Consolas" w:eastAsia="Consolas" w:hAnsi="Consolas"/>
          <w:b w:val="false"/>
          <w:bCs w:val="false"/>
          <w:sz w:val="19"/>
          <w:szCs w:val="19"/>
        </w:rPr>
        <w:t xml:space="preserve">/Date(1747051200000+0000)/</w:t>
      </w:r>
      <w:r>
        <w:rPr>
          <w:b w:val="false"/>
          <w:bCs w:val="false"/>
        </w:rPr>
        <w:t xml:space="preserve"> — across </w:t>
      </w:r>
      <w:r>
        <w:rPr>
          <w:rFonts w:ascii="Consolas" w:cs="Consolas" w:eastAsia="Consolas" w:hAnsi="Consolas"/>
          <w:b w:val="false"/>
          <w:bCs w:val="false"/>
          <w:sz w:val="19"/>
          <w:szCs w:val="19"/>
        </w:rPr>
        <w:t xml:space="preserve">WT</w:t>
      </w:r>
      <w:r>
        <w:rPr>
          <w:b w:val="false"/>
          <w:bCs w:val="false"/>
        </w:rPr>
        <w:t xml:space="preserve">, </w:t>
      </w:r>
      <w:r>
        <w:rPr>
          <w:rFonts w:ascii="Consolas" w:cs="Consolas" w:eastAsia="Consolas" w:hAnsi="Consolas"/>
          <w:b w:val="false"/>
          <w:bCs w:val="false"/>
          <w:sz w:val="19"/>
          <w:szCs w:val="19"/>
        </w:rPr>
        <w:t xml:space="preserve">ST</w:t>
      </w:r>
      <w:r>
        <w:rPr>
          <w:b w:val="false"/>
          <w:bCs w:val="false"/>
        </w:rPr>
        <w:t xml:space="preserve">, and </w:t>
      </w:r>
      <w:r>
        <w:rPr>
          <w:rFonts w:ascii="Consolas" w:cs="Consolas" w:eastAsia="Consolas" w:hAnsi="Consolas"/>
          <w:b w:val="false"/>
          <w:bCs w:val="false"/>
          <w:sz w:val="19"/>
          <w:szCs w:val="19"/>
        </w:rPr>
        <w:t xml:space="preserve">DT</w:t>
      </w:r>
      <w:r>
        <w:rPr>
          <w:b w:val="false"/>
          <w:bCs w:val="false"/>
        </w:rPr>
        <w:t xml:space="preserve"> fields. Parse </w:t>
      </w:r>
      <w:r>
        <w:rPr>
          <w:rFonts w:ascii="Consolas" w:cs="Consolas" w:eastAsia="Consolas" w:hAnsi="Consolas"/>
          <w:b w:val="false"/>
          <w:bCs w:val="false"/>
          <w:sz w:val="19"/>
          <w:szCs w:val="19"/>
        </w:rPr>
        <w:t xml:space="preserve">DT</w:t>
      </w:r>
      <w:r>
        <w:rPr>
          <w:b w:val="false"/>
          <w:bCs w:val="false"/>
        </w:rPr>
        <w:t xml:space="preserve"> with an explicit regex capturing both the epoch milliseconds and the offset. Standard ISO-8601 parsing fails silently here.</w:t>
      </w:r>
    </w:p>
    <w:p>
      <w:pPr>
        <w:pStyle w:val="ListParagraph"/>
        <w:numPr>
          <w:ilvl w:val="0"/>
          <w:numId w:val="2"/>
        </w:numPr>
        <w:spacing w:after="80" w:line="276"/>
      </w:pPr>
      <w:r>
        <w:rPr>
          <w:b/>
          <w:bCs/>
        </w:rPr>
        <w:t xml:space="preserve">Distinguish error codes.</w:t>
      </w:r>
      <w:r>
        <w:rPr>
          <w:b w:val="false"/>
          <w:bCs w:val="false"/>
        </w:rPr>
        <w:t xml:space="preserve"> </w:t>
      </w:r>
      <w:r>
        <w:rPr>
          <w:rFonts w:ascii="Consolas" w:cs="Consolas" w:eastAsia="Consolas" w:hAnsi="Consolas"/>
          <w:b w:val="false"/>
          <w:bCs w:val="false"/>
          <w:sz w:val="19"/>
          <w:szCs w:val="19"/>
        </w:rPr>
        <w:t xml:space="preserve">AccountPasswordInvalid</w:t>
      </w:r>
      <w:r>
        <w:rPr>
          <w:b w:val="false"/>
          <w:bCs w:val="false"/>
        </w:rPr>
        <w:t xml:space="preserve"> and </w:t>
      </w:r>
      <w:r>
        <w:rPr>
          <w:rFonts w:ascii="Consolas" w:cs="Consolas" w:eastAsia="Consolas" w:hAnsi="Consolas"/>
          <w:b w:val="false"/>
          <w:bCs w:val="false"/>
          <w:sz w:val="19"/>
          <w:szCs w:val="19"/>
        </w:rPr>
        <w:t xml:space="preserve">SSO_AuthenticateMaxAttemptsExceeded</w:t>
      </w:r>
      <w:r>
        <w:rPr>
          <w:b w:val="false"/>
          <w:bCs w:val="false"/>
        </w:rPr>
        <w:t xml:space="preserve"> are terminal — stop and prompt. </w:t>
      </w:r>
      <w:r>
        <w:rPr>
          <w:rFonts w:ascii="Consolas" w:cs="Consolas" w:eastAsia="Consolas" w:hAnsi="Consolas"/>
          <w:b w:val="false"/>
          <w:bCs w:val="false"/>
          <w:sz w:val="19"/>
          <w:szCs w:val="19"/>
        </w:rPr>
        <w:t xml:space="preserve">SessionIdNotFound</w:t>
      </w:r>
      <w:r>
        <w:rPr>
          <w:b w:val="false"/>
          <w:bCs w:val="false"/>
        </w:rPr>
        <w:t xml:space="preserve"> and </w:t>
      </w:r>
      <w:r>
        <w:rPr>
          <w:rFonts w:ascii="Consolas" w:cs="Consolas" w:eastAsia="Consolas" w:hAnsi="Consolas"/>
          <w:b w:val="false"/>
          <w:bCs w:val="false"/>
          <w:sz w:val="19"/>
          <w:szCs w:val="19"/>
        </w:rPr>
        <w:t xml:space="preserve">SessionNotValid</w:t>
      </w:r>
      <w:r>
        <w:rPr>
          <w:b w:val="false"/>
          <w:bCs w:val="false"/>
        </w:rPr>
        <w:t xml:space="preserve"> mean refresh the session once and retry. Only network and 5xx errors get exponential backoff. Retrying an auth failure will lock the account the official app depends on.</w:t>
      </w:r>
    </w:p>
    <w:p>
      <w:pPr>
        <w:pStyle w:val="Heading3"/>
        <w:spacing w:after="120" w:before="220"/>
      </w:pPr>
      <w:r>
        <w:rPr>
          <w:b w:val="false"/>
          <w:bCs w:val="false"/>
        </w:rPr>
        <w:t xml:space="preserve">4.2.5 GlucoseSourceCoordinator</w:t>
      </w:r>
    </w:p>
    <w:p>
      <w:pPr>
        <w:pStyle w:val="ListParagraph"/>
        <w:numPr>
          <w:ilvl w:val="0"/>
          <w:numId w:val="2"/>
        </w:numPr>
        <w:spacing w:after="80" w:line="276"/>
      </w:pPr>
      <w:r>
        <w:rPr>
          <w:b w:val="false"/>
          <w:bCs w:val="false"/>
        </w:rPr>
        <w:t xml:space="preserve">A single actor subscribing to active sources, merging, and publishing the stream the UI observes.</w:t>
      </w:r>
    </w:p>
    <w:p>
      <w:pPr>
        <w:pStyle w:val="ListParagraph"/>
        <w:numPr>
          <w:ilvl w:val="0"/>
          <w:numId w:val="2"/>
        </w:numPr>
        <w:spacing w:after="80" w:line="276"/>
      </w:pPr>
      <w:r>
        <w:rPr>
          <w:b/>
          <w:bCs/>
        </w:rPr>
        <w:t xml:space="preserve">Primary dedup key is the BLE </w:t>
      </w:r>
      <w:r>
        <w:rPr>
          <w:rFonts w:ascii="Consolas" w:cs="Consolas" w:eastAsia="Consolas" w:hAnsi="Consolas"/>
          <w:b/>
          <w:bCs/>
          <w:sz w:val="19"/>
          <w:szCs w:val="19"/>
        </w:rPr>
        <w:t xml:space="preserve">sequence</w:t>
      </w:r>
      <w:r>
        <w:rPr>
          <w:b/>
          <w:bCs/>
        </w:rPr>
        <w:t xml:space="preserve"> number</w:t>
      </w:r>
      <w:r>
        <w:rPr>
          <w:b w:val="false"/>
          <w:bCs w:val="false"/>
        </w:rPr>
        <w:t xml:space="preserve"> — exact, and far better than the timestamp heuristics of earlier revisions. Cross-source dedup (BLE against HealthKit backfill) falls back to a ±2.5 minute window, merging records rather than discarding either.</w:t>
      </w:r>
    </w:p>
    <w:p>
      <w:pPr>
        <w:pStyle w:val="ListParagraph"/>
        <w:numPr>
          <w:ilvl w:val="0"/>
          <w:numId w:val="2"/>
        </w:numPr>
        <w:spacing w:after="80" w:line="276"/>
      </w:pPr>
      <w:r>
        <w:rPr>
          <w:b/>
          <w:bCs/>
        </w:rPr>
        <w:t xml:space="preserve">Live-source rule:</w:t>
      </w:r>
      <w:r>
        <w:rPr>
          <w:b w:val="false"/>
          <w:bCs w:val="false"/>
        </w:rPr>
        <w:t xml:space="preserve"> only BLE (and Share, if built) may supply the displayed current value. HealthKit readings are historical by definition and are excluded from that selection regardless of timestamp.</w:t>
      </w:r>
    </w:p>
    <w:p>
      <w:pPr>
        <w:pStyle w:val="ListParagraph"/>
        <w:numPr>
          <w:ilvl w:val="0"/>
          <w:numId w:val="2"/>
        </w:numPr>
        <w:spacing w:after="80" w:line="276"/>
      </w:pPr>
      <w:r>
        <w:rPr>
          <w:b/>
          <w:bCs/>
        </w:rPr>
        <w:t xml:space="preserve">Upsert-by-sample-time persistence.</w:t>
      </w:r>
      <w:r>
        <w:rPr>
          <w:b w:val="false"/>
          <w:bCs w:val="false"/>
        </w:rPr>
        <w:t xml:space="preserve"> HealthKit backfill will routinely re-deliver readings BLE already captured; insert-only persistence would accumulate duplicates that silently corrupt every aggregate.</w:t>
      </w:r>
    </w:p>
    <w:p>
      <w:pPr>
        <w:pStyle w:val="ListParagraph"/>
        <w:numPr>
          <w:ilvl w:val="0"/>
          <w:numId w:val="2"/>
        </w:numPr>
        <w:spacing w:after="80" w:line="276"/>
      </w:pPr>
      <w:r>
        <w:rPr>
          <w:b/>
          <w:bCs/>
        </w:rPr>
        <w:t xml:space="preserve">Value disagreement</w:t>
      </w:r>
      <w:r>
        <w:rPr>
          <w:b w:val="false"/>
          <w:bCs w:val="false"/>
        </w:rPr>
        <w:t xml:space="preserve"> between BLE and a HealthKit backfill of the same sample: prefer BLE and log the discrepancy. Persistent disagreement indicates a timestamp-offset bug (§4.2.2), not a sensor problem.</w:t>
      </w:r>
    </w:p>
    <w:p>
      <w:pPr>
        <w:pStyle w:val="ListParagraph"/>
        <w:numPr>
          <w:ilvl w:val="0"/>
          <w:numId w:val="2"/>
        </w:numPr>
        <w:spacing w:after="80" w:line="276"/>
      </w:pPr>
      <w:r>
        <w:rPr>
          <w:b/>
          <w:bCs/>
        </w:rPr>
        <w:t xml:space="preserve">Provenance</w:t>
      </w:r>
      <w:r>
        <w:rPr>
          <w:b w:val="false"/>
          <w:bCs w:val="false"/>
        </w:rPr>
        <w:t xml:space="preserve"> is recorded per reading (</w:t>
      </w:r>
      <w:r>
        <w:rPr>
          <w:rFonts w:ascii="Consolas" w:cs="Consolas" w:eastAsia="Consolas" w:hAnsi="Consolas"/>
          <w:b w:val="false"/>
          <w:bCs w:val="false"/>
          <w:sz w:val="19"/>
          <w:szCs w:val="19"/>
        </w:rPr>
        <w:t xml:space="preserve">.bluetooth</w:t>
      </w:r>
      <w:r>
        <w:rPr>
          <w:b w:val="false"/>
          <w:bCs w:val="false"/>
        </w:rPr>
        <w:t xml:space="preserve">, </w:t>
      </w:r>
      <w:r>
        <w:rPr>
          <w:rFonts w:ascii="Consolas" w:cs="Consolas" w:eastAsia="Consolas" w:hAnsi="Consolas"/>
          <w:b w:val="false"/>
          <w:bCs w:val="false"/>
          <w:sz w:val="19"/>
          <w:szCs w:val="19"/>
        </w:rPr>
        <w:t xml:space="preserve">.healthKit</w:t>
      </w:r>
      <w:r>
        <w:rPr>
          <w:b w:val="false"/>
          <w:bCs w:val="false"/>
        </w:rPr>
        <w:t xml:space="preserve">, </w:t>
      </w:r>
      <w:r>
        <w:rPr>
          <w:rFonts w:ascii="Consolas" w:cs="Consolas" w:eastAsia="Consolas" w:hAnsi="Consolas"/>
          <w:b w:val="false"/>
          <w:bCs w:val="false"/>
          <w:sz w:val="19"/>
          <w:szCs w:val="19"/>
        </w:rPr>
        <w:t xml:space="preserve">.share</w:t>
      </w:r>
      <w:r>
        <w:rPr>
          <w:b w:val="false"/>
          <w:bCs w:val="false"/>
        </w:rPr>
        <w:t xml:space="preserve">, or merged) for the §3.1.2 badge and for diagnostics.</w:t>
      </w:r>
    </w:p>
    <w:p>
      <w:pPr>
        <w:pStyle w:val="Heading3"/>
        <w:spacing w:after="120" w:before="220"/>
      </w:pPr>
      <w:r>
        <w:rPr>
          <w:b w:val="false"/>
          <w:bCs w:val="false"/>
        </w:rPr>
        <w:t xml:space="preserve">4.2.6 Operating Modes</w:t>
      </w:r>
    </w:p>
    <w:p>
      <w:pPr>
        <w:pStyle w:val="ListParagraph"/>
        <w:numPr>
          <w:ilvl w:val="0"/>
          <w:numId w:val="2"/>
        </w:numPr>
        <w:spacing w:after="80" w:line="276"/>
      </w:pPr>
      <w:r>
        <w:rPr>
          <w:b/>
          <w:bCs/>
        </w:rPr>
        <w:t xml:space="preserve">Normal (default):</w:t>
      </w:r>
      <w:r>
        <w:rPr>
          <w:b w:val="false"/>
          <w:bCs w:val="false"/>
        </w:rPr>
        <w:t xml:space="preserve"> BLE connected. Live readings within seconds, no network required. HealthKit supplies history.</w:t>
      </w:r>
    </w:p>
    <w:p>
      <w:pPr>
        <w:pStyle w:val="ListParagraph"/>
        <w:numPr>
          <w:ilvl w:val="0"/>
          <w:numId w:val="2"/>
        </w:numPr>
        <w:spacing w:after="80" w:line="276"/>
      </w:pPr>
      <w:r>
        <w:rPr>
          <w:b/>
          <w:bCs/>
        </w:rPr>
        <w:t xml:space="preserve">Reconnecting:</w:t>
      </w:r>
      <w:r>
        <w:rPr>
          <w:b w:val="false"/>
          <w:bCs w:val="false"/>
        </w:rPr>
        <w:t xml:space="preserve"> BLE dropped. Last known value with an accurate age, staleness treatment per §3.1.3, automatic reconnection. The most common non-normal state and it must feel calm, not alarming.</w:t>
      </w:r>
    </w:p>
    <w:p>
      <w:pPr>
        <w:pStyle w:val="ListParagraph"/>
        <w:numPr>
          <w:ilvl w:val="0"/>
          <w:numId w:val="2"/>
        </w:numPr>
        <w:spacing w:after="80" w:line="276"/>
      </w:pPr>
      <w:r>
        <w:rPr>
          <w:b/>
          <w:bCs/>
        </w:rPr>
        <w:t xml:space="preserve">History-only:</w:t>
      </w:r>
      <w:r>
        <w:rPr>
          <w:b w:val="false"/>
          <w:bCs w:val="false"/>
        </w:rPr>
        <w:t xml:space="preserve"> BLE unavailable or permission denied. The app remains fully usable for reviewing and logging, and says plainly that it is not showing live data.</w:t>
      </w:r>
    </w:p>
    <w:p>
      <w:pPr>
        <w:pStyle w:val="ListParagraph"/>
        <w:numPr>
          <w:ilvl w:val="0"/>
          <w:numId w:val="2"/>
        </w:numPr>
        <w:spacing w:after="80" w:line="276"/>
      </w:pPr>
      <w:r>
        <w:rPr>
          <w:b/>
          <w:bCs/>
        </w:rPr>
        <w:t xml:space="preserve">No HealthKit:</w:t>
      </w:r>
      <w:r>
        <w:rPr>
          <w:b w:val="false"/>
          <w:bCs w:val="false"/>
        </w:rPr>
        <w:t xml:space="preserve"> permission denied. Everything works; history simply accumulates from install rather than backfilling 90 days.</w:t>
      </w:r>
    </w:p>
    <w:p>
      <w:pPr>
        <w:pStyle w:val="Heading3"/>
        <w:spacing w:after="120" w:before="220"/>
      </w:pPr>
      <w:r>
        <w:rPr>
          <w:b w:val="false"/>
          <w:bCs w:val="false"/>
        </w:rPr>
        <w:t xml:space="preserve">4.2.7 Trend Handling</w:t>
      </w:r>
    </w:p>
    <w:p>
      <w:pPr>
        <w:spacing w:after="120" w:line="276"/>
      </w:pPr>
      <w:r>
        <w:rPr>
          <w:b w:val="false"/>
          <w:bCs w:val="false"/>
        </w:rPr>
        <w:t xml:space="preserve">The sensor supplies trend directly as a signed rate of change, so the client-side computation specified in v1.2 becomes a fallback used only for HealthKit-sourced readings. The thresholds documented in v1.2 were independently confirmed against G7SensorKit's mapping and are unchanged:</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200"/>
        <w:gridCol w:w="6160"/>
      </w:tblGrid>
      <w:tr>
        <w:trPr>
          <w:tblHeader/>
        </w:trPr>
        <w:tc>
          <w:tcPr>
            <w:tcW w:type="dxa" w:w="3200"/>
            <w:shd w:fill="DEEAF6" w:color="auto" w:val="clear"/>
            <w:tcMar>
              <w:top w:type="dxa" w:w="60"/>
              <w:left w:type="dxa" w:w="100"/>
              <w:bottom w:type="dxa" w:w="60"/>
              <w:right w:type="dxa" w:w="100"/>
            </w:tcMar>
          </w:tcPr>
          <w:p>
            <w:pPr>
              <w:spacing w:after="0" w:line="250"/>
            </w:pPr>
            <w:r>
              <w:rPr>
                <w:b/>
                <w:bCs/>
                <w:sz w:val="20"/>
                <w:szCs w:val="20"/>
              </w:rPr>
              <w:t xml:space="preserve">State</w:t>
            </w:r>
          </w:p>
        </w:tc>
        <w:tc>
          <w:tcPr>
            <w:tcW w:type="dxa" w:w="6160"/>
            <w:shd w:fill="DEEAF6" w:color="auto" w:val="clear"/>
            <w:tcMar>
              <w:top w:type="dxa" w:w="60"/>
              <w:left w:type="dxa" w:w="100"/>
              <w:bottom w:type="dxa" w:w="60"/>
              <w:right w:type="dxa" w:w="100"/>
            </w:tcMar>
          </w:tcPr>
          <w:p>
            <w:pPr>
              <w:spacing w:after="0" w:line="250"/>
            </w:pPr>
            <w:r>
              <w:rPr>
                <w:b/>
                <w:bCs/>
                <w:sz w:val="20"/>
                <w:szCs w:val="20"/>
              </w:rPr>
              <w:t xml:space="preserve">Rate of change (mg/dL/min)</w:t>
            </w:r>
          </w:p>
        </w:tc>
      </w:tr>
      <w:tr>
        <w:tc>
          <w:tcPr>
            <w:tcW w:type="dxa" w:w="3200"/>
            <w:tcMar>
              <w:top w:type="dxa" w:w="60"/>
              <w:left w:type="dxa" w:w="100"/>
              <w:bottom w:type="dxa" w:w="60"/>
              <w:right w:type="dxa" w:w="100"/>
            </w:tcMar>
          </w:tcPr>
          <w:p>
            <w:pPr>
              <w:spacing w:after="0" w:line="250"/>
            </w:pPr>
            <w:r>
              <w:rPr>
                <w:b w:val="false"/>
                <w:bCs w:val="false"/>
                <w:sz w:val="20"/>
                <w:szCs w:val="20"/>
              </w:rPr>
              <w:t xml:space="preserve">Double up ⇈</w:t>
            </w:r>
          </w:p>
        </w:tc>
        <w:tc>
          <w:tcPr>
            <w:tcW w:type="dxa" w:w="6160"/>
            <w:tcMar>
              <w:top w:type="dxa" w:w="60"/>
              <w:left w:type="dxa" w:w="100"/>
              <w:bottom w:type="dxa" w:w="60"/>
              <w:right w:type="dxa" w:w="100"/>
            </w:tcMar>
          </w:tcPr>
          <w:p>
            <w:pPr>
              <w:spacing w:after="0" w:line="250"/>
            </w:pPr>
            <w:r>
              <w:rPr>
                <w:b w:val="false"/>
                <w:bCs w:val="false"/>
                <w:sz w:val="20"/>
                <w:szCs w:val="20"/>
              </w:rPr>
              <w:t xml:space="preserve">&gt; +3.0</w:t>
            </w:r>
          </w:p>
        </w:tc>
      </w:tr>
      <w:tr>
        <w:tc>
          <w:tcPr>
            <w:tcW w:type="dxa" w:w="3200"/>
            <w:shd w:fill="F5F8FC" w:color="auto" w:val="clear"/>
            <w:tcMar>
              <w:top w:type="dxa" w:w="60"/>
              <w:left w:type="dxa" w:w="100"/>
              <w:bottom w:type="dxa" w:w="60"/>
              <w:right w:type="dxa" w:w="100"/>
            </w:tcMar>
          </w:tcPr>
          <w:p>
            <w:pPr>
              <w:spacing w:after="0" w:line="250"/>
            </w:pPr>
            <w:r>
              <w:rPr>
                <w:b w:val="false"/>
                <w:bCs w:val="false"/>
                <w:sz w:val="20"/>
                <w:szCs w:val="20"/>
              </w:rPr>
              <w:t xml:space="preserve">Single up ↑</w:t>
            </w:r>
          </w:p>
        </w:tc>
        <w:tc>
          <w:tcPr>
            <w:tcW w:type="dxa" w:w="6160"/>
            <w:shd w:fill="F5F8FC" w:color="auto" w:val="clear"/>
            <w:tcMar>
              <w:top w:type="dxa" w:w="60"/>
              <w:left w:type="dxa" w:w="100"/>
              <w:bottom w:type="dxa" w:w="60"/>
              <w:right w:type="dxa" w:w="100"/>
            </w:tcMar>
          </w:tcPr>
          <w:p>
            <w:pPr>
              <w:spacing w:after="0" w:line="250"/>
            </w:pPr>
            <w:r>
              <w:rPr>
                <w:b w:val="false"/>
                <w:bCs w:val="false"/>
                <w:sz w:val="20"/>
                <w:szCs w:val="20"/>
              </w:rPr>
              <w:t xml:space="preserve">+2.0 to +3.0</w:t>
            </w:r>
          </w:p>
        </w:tc>
      </w:tr>
      <w:tr>
        <w:tc>
          <w:tcPr>
            <w:tcW w:type="dxa" w:w="3200"/>
            <w:tcMar>
              <w:top w:type="dxa" w:w="60"/>
              <w:left w:type="dxa" w:w="100"/>
              <w:bottom w:type="dxa" w:w="60"/>
              <w:right w:type="dxa" w:w="100"/>
            </w:tcMar>
          </w:tcPr>
          <w:p>
            <w:pPr>
              <w:spacing w:after="0" w:line="250"/>
            </w:pPr>
            <w:r>
              <w:rPr>
                <w:b w:val="false"/>
                <w:bCs w:val="false"/>
                <w:sz w:val="20"/>
                <w:szCs w:val="20"/>
              </w:rPr>
              <w:t xml:space="preserve">Forty-five up ↗</w:t>
            </w:r>
          </w:p>
        </w:tc>
        <w:tc>
          <w:tcPr>
            <w:tcW w:type="dxa" w:w="6160"/>
            <w:tcMar>
              <w:top w:type="dxa" w:w="60"/>
              <w:left w:type="dxa" w:w="100"/>
              <w:bottom w:type="dxa" w:w="60"/>
              <w:right w:type="dxa" w:w="100"/>
            </w:tcMar>
          </w:tcPr>
          <w:p>
            <w:pPr>
              <w:spacing w:after="0" w:line="250"/>
            </w:pPr>
            <w:r>
              <w:rPr>
                <w:b w:val="false"/>
                <w:bCs w:val="false"/>
                <w:sz w:val="20"/>
                <w:szCs w:val="20"/>
              </w:rPr>
              <w:t xml:space="preserve">+1.0 to +2.0</w:t>
            </w:r>
          </w:p>
        </w:tc>
      </w:tr>
      <w:tr>
        <w:tc>
          <w:tcPr>
            <w:tcW w:type="dxa" w:w="3200"/>
            <w:shd w:fill="F5F8FC" w:color="auto" w:val="clear"/>
            <w:tcMar>
              <w:top w:type="dxa" w:w="60"/>
              <w:left w:type="dxa" w:w="100"/>
              <w:bottom w:type="dxa" w:w="60"/>
              <w:right w:type="dxa" w:w="100"/>
            </w:tcMar>
          </w:tcPr>
          <w:p>
            <w:pPr>
              <w:spacing w:after="0" w:line="250"/>
            </w:pPr>
            <w:r>
              <w:rPr>
                <w:b w:val="false"/>
                <w:bCs w:val="false"/>
                <w:sz w:val="20"/>
                <w:szCs w:val="20"/>
              </w:rPr>
              <w:t xml:space="preserve">Flat →</w:t>
            </w:r>
          </w:p>
        </w:tc>
        <w:tc>
          <w:tcPr>
            <w:tcW w:type="dxa" w:w="6160"/>
            <w:shd w:fill="F5F8FC" w:color="auto" w:val="clear"/>
            <w:tcMar>
              <w:top w:type="dxa" w:w="60"/>
              <w:left w:type="dxa" w:w="100"/>
              <w:bottom w:type="dxa" w:w="60"/>
              <w:right w:type="dxa" w:w="100"/>
            </w:tcMar>
          </w:tcPr>
          <w:p>
            <w:pPr>
              <w:spacing w:after="0" w:line="250"/>
            </w:pPr>
            <w:r>
              <w:rPr>
                <w:b w:val="false"/>
                <w:bCs w:val="false"/>
                <w:sz w:val="20"/>
                <w:szCs w:val="20"/>
              </w:rPr>
              <w:t xml:space="preserve">−1.0 to +1.0</w:t>
            </w:r>
          </w:p>
        </w:tc>
      </w:tr>
      <w:tr>
        <w:tc>
          <w:tcPr>
            <w:tcW w:type="dxa" w:w="3200"/>
            <w:tcMar>
              <w:top w:type="dxa" w:w="60"/>
              <w:left w:type="dxa" w:w="100"/>
              <w:bottom w:type="dxa" w:w="60"/>
              <w:right w:type="dxa" w:w="100"/>
            </w:tcMar>
          </w:tcPr>
          <w:p>
            <w:pPr>
              <w:spacing w:after="0" w:line="250"/>
            </w:pPr>
            <w:r>
              <w:rPr>
                <w:b w:val="false"/>
                <w:bCs w:val="false"/>
                <w:sz w:val="20"/>
                <w:szCs w:val="20"/>
              </w:rPr>
              <w:t xml:space="preserve">Forty-five down ↘</w:t>
            </w:r>
          </w:p>
        </w:tc>
        <w:tc>
          <w:tcPr>
            <w:tcW w:type="dxa" w:w="6160"/>
            <w:tcMar>
              <w:top w:type="dxa" w:w="60"/>
              <w:left w:type="dxa" w:w="100"/>
              <w:bottom w:type="dxa" w:w="60"/>
              <w:right w:type="dxa" w:w="100"/>
            </w:tcMar>
          </w:tcPr>
          <w:p>
            <w:pPr>
              <w:spacing w:after="0" w:line="250"/>
            </w:pPr>
            <w:r>
              <w:rPr>
                <w:b w:val="false"/>
                <w:bCs w:val="false"/>
                <w:sz w:val="20"/>
                <w:szCs w:val="20"/>
              </w:rPr>
              <w:t xml:space="preserve">−2.0 to −1.0</w:t>
            </w:r>
          </w:p>
        </w:tc>
      </w:tr>
      <w:tr>
        <w:tc>
          <w:tcPr>
            <w:tcW w:type="dxa" w:w="3200"/>
            <w:shd w:fill="F5F8FC" w:color="auto" w:val="clear"/>
            <w:tcMar>
              <w:top w:type="dxa" w:w="60"/>
              <w:left w:type="dxa" w:w="100"/>
              <w:bottom w:type="dxa" w:w="60"/>
              <w:right w:type="dxa" w:w="100"/>
            </w:tcMar>
          </w:tcPr>
          <w:p>
            <w:pPr>
              <w:spacing w:after="0" w:line="250"/>
            </w:pPr>
            <w:r>
              <w:rPr>
                <w:b w:val="false"/>
                <w:bCs w:val="false"/>
                <w:sz w:val="20"/>
                <w:szCs w:val="20"/>
              </w:rPr>
              <w:t xml:space="preserve">Single down ↓</w:t>
            </w:r>
          </w:p>
        </w:tc>
        <w:tc>
          <w:tcPr>
            <w:tcW w:type="dxa" w:w="6160"/>
            <w:shd w:fill="F5F8FC" w:color="auto" w:val="clear"/>
            <w:tcMar>
              <w:top w:type="dxa" w:w="60"/>
              <w:left w:type="dxa" w:w="100"/>
              <w:bottom w:type="dxa" w:w="60"/>
              <w:right w:type="dxa" w:w="100"/>
            </w:tcMar>
          </w:tcPr>
          <w:p>
            <w:pPr>
              <w:spacing w:after="0" w:line="250"/>
            </w:pPr>
            <w:r>
              <w:rPr>
                <w:b w:val="false"/>
                <w:bCs w:val="false"/>
                <w:sz w:val="20"/>
                <w:szCs w:val="20"/>
              </w:rPr>
              <w:t xml:space="preserve">−3.0 to −2.0</w:t>
            </w:r>
          </w:p>
        </w:tc>
      </w:tr>
      <w:tr>
        <w:tc>
          <w:tcPr>
            <w:tcW w:type="dxa" w:w="3200"/>
            <w:tcMar>
              <w:top w:type="dxa" w:w="60"/>
              <w:left w:type="dxa" w:w="100"/>
              <w:bottom w:type="dxa" w:w="60"/>
              <w:right w:type="dxa" w:w="100"/>
            </w:tcMar>
          </w:tcPr>
          <w:p>
            <w:pPr>
              <w:spacing w:after="0" w:line="250"/>
            </w:pPr>
            <w:r>
              <w:rPr>
                <w:b w:val="false"/>
                <w:bCs w:val="false"/>
                <w:sz w:val="20"/>
                <w:szCs w:val="20"/>
              </w:rPr>
              <w:t xml:space="preserve">Double down ⇊</w:t>
            </w:r>
          </w:p>
        </w:tc>
        <w:tc>
          <w:tcPr>
            <w:tcW w:type="dxa" w:w="6160"/>
            <w:tcMar>
              <w:top w:type="dxa" w:w="60"/>
              <w:left w:type="dxa" w:w="100"/>
              <w:bottom w:type="dxa" w:w="60"/>
              <w:right w:type="dxa" w:w="100"/>
            </w:tcMar>
          </w:tcPr>
          <w:p>
            <w:pPr>
              <w:spacing w:after="0" w:line="250"/>
            </w:pPr>
            <w:r>
              <w:rPr>
                <w:b w:val="false"/>
                <w:bCs w:val="false"/>
                <w:sz w:val="20"/>
                <w:szCs w:val="20"/>
              </w:rPr>
              <w:t xml:space="preserve">&lt; −3.0</w:t>
            </w:r>
          </w:p>
        </w:tc>
      </w:tr>
      <w:tr>
        <w:tc>
          <w:tcPr>
            <w:tcW w:type="dxa" w:w="3200"/>
            <w:shd w:fill="F5F8FC" w:color="auto" w:val="clear"/>
            <w:tcMar>
              <w:top w:type="dxa" w:w="60"/>
              <w:left w:type="dxa" w:w="100"/>
              <w:bottom w:type="dxa" w:w="60"/>
              <w:right w:type="dxa" w:w="100"/>
            </w:tcMar>
          </w:tcPr>
          <w:p>
            <w:pPr>
              <w:spacing w:after="0" w:line="250"/>
            </w:pPr>
            <w:r>
              <w:rPr>
                <w:b w:val="false"/>
                <w:bCs w:val="false"/>
                <w:sz w:val="20"/>
                <w:szCs w:val="20"/>
              </w:rPr>
              <w:t xml:space="preserve">No trend</w:t>
            </w:r>
          </w:p>
        </w:tc>
        <w:tc>
          <w:tcPr>
            <w:tcW w:type="dxa" w:w="6160"/>
            <w:shd w:fill="F5F8FC" w:color="auto" w:val="clear"/>
            <w:tcMar>
              <w:top w:type="dxa" w:w="60"/>
              <w:left w:type="dxa" w:w="100"/>
              <w:bottom w:type="dxa" w:w="60"/>
              <w:right w:type="dxa" w:w="100"/>
            </w:tcMar>
          </w:tcPr>
          <w:p>
            <w:pPr>
              <w:spacing w:after="0" w:line="250"/>
            </w:pPr>
            <w:r>
              <w:rPr>
                <w:b w:val="false"/>
                <w:bCs w:val="false"/>
                <w:sz w:val="20"/>
                <w:szCs w:val="20"/>
              </w:rPr>
              <w:t xml:space="preserve">Sensor reports 0x7f, or fewer than 3 samples in a 15-minute window</w:t>
            </w:r>
          </w:p>
        </w:tc>
      </w:tr>
    </w:tbl>
    <w:p>
      <w:pPr>
        <w:spacing w:after="100"/>
      </w:pPr>
    </w:p>
    <w:p>
      <w:pPr>
        <w:pStyle w:val="Heading2"/>
        <w:spacing w:after="140" w:before="280"/>
      </w:pPr>
      <w:r>
        <w:rPr>
          <w:b w:val="false"/>
          <w:bCs w:val="false"/>
        </w:rPr>
        <w:t xml:space="preserve">4.3 Data Model (SwiftData)</w:t>
      </w:r>
    </w:p>
    <w:p>
      <w:pPr>
        <w:spacing w:after="100" w:before="180"/>
      </w:pPr>
      <w:r>
        <w:rPr>
          <w:b/>
          <w:bCs/>
          <w:color w:val="1F4D78"/>
        </w:rPr>
        <w:t xml:space="preserve">Entities</w:t>
      </w:r>
    </w:p>
    <w:p>
      <w:pPr>
        <w:pStyle w:val="ListParagraph"/>
        <w:numPr>
          <w:ilvl w:val="0"/>
          <w:numId w:val="2"/>
        </w:numPr>
        <w:spacing w:after="80" w:line="276"/>
      </w:pPr>
      <w:r>
        <w:rPr>
          <w:rFonts w:ascii="Consolas" w:cs="Consolas" w:eastAsia="Consolas" w:hAnsi="Consolas"/>
          <w:b/>
          <w:bCs/>
          <w:sz w:val="19"/>
          <w:szCs w:val="19"/>
        </w:rPr>
        <w:t xml:space="preserve">GlucoseReading</w:t>
      </w:r>
      <w:r>
        <w:rPr>
          <w:b w:val="false"/>
          <w:bCs w:val="false"/>
        </w:rPr>
        <w:t xml:space="preserve"> — </w:t>
      </w:r>
      <w:r>
        <w:rPr>
          <w:rFonts w:ascii="Consolas" w:cs="Consolas" w:eastAsia="Consolas" w:hAnsi="Consolas"/>
          <w:b w:val="false"/>
          <w:bCs w:val="false"/>
          <w:sz w:val="19"/>
          <w:szCs w:val="19"/>
        </w:rPr>
        <w:t xml:space="preserve">sampleTime</w:t>
      </w:r>
      <w:r>
        <w:rPr>
          <w:b w:val="false"/>
          <w:bCs w:val="false"/>
        </w:rPr>
        <w:t xml:space="preserve"> (indexed), </w:t>
      </w:r>
      <w:r>
        <w:rPr>
          <w:rFonts w:ascii="Consolas" w:cs="Consolas" w:eastAsia="Consolas" w:hAnsi="Consolas"/>
          <w:b w:val="false"/>
          <w:bCs w:val="false"/>
          <w:sz w:val="19"/>
          <w:szCs w:val="19"/>
        </w:rPr>
        <w:t xml:space="preserve">valueMgdl</w:t>
      </w:r>
      <w:r>
        <w:rPr>
          <w:b w:val="false"/>
          <w:bCs w:val="false"/>
        </w:rPr>
        <w:t xml:space="preserve"> (Int, canonical), </w:t>
      </w:r>
      <w:r>
        <w:rPr>
          <w:rFonts w:ascii="Consolas" w:cs="Consolas" w:eastAsia="Consolas" w:hAnsi="Consolas"/>
          <w:b w:val="false"/>
          <w:bCs w:val="false"/>
          <w:sz w:val="19"/>
          <w:szCs w:val="19"/>
        </w:rPr>
        <w:t xml:space="preserve">trend</w:t>
      </w:r>
      <w:r>
        <w:rPr>
          <w:b w:val="false"/>
          <w:bCs w:val="false"/>
        </w:rPr>
        <w:t xml:space="preserve"> (optional), </w:t>
      </w:r>
      <w:r>
        <w:rPr>
          <w:rFonts w:ascii="Consolas" w:cs="Consolas" w:eastAsia="Consolas" w:hAnsi="Consolas"/>
          <w:b w:val="false"/>
          <w:bCs w:val="false"/>
          <w:sz w:val="19"/>
          <w:szCs w:val="19"/>
        </w:rPr>
        <w:t xml:space="preserve">trendIsComputed</w:t>
      </w:r>
      <w:r>
        <w:rPr>
          <w:b w:val="false"/>
          <w:bCs w:val="false"/>
        </w:rPr>
        <w:t xml:space="preserve"> (Bool), </w:t>
      </w:r>
      <w:r>
        <w:rPr>
          <w:rFonts w:ascii="Consolas" w:cs="Consolas" w:eastAsia="Consolas" w:hAnsi="Consolas"/>
          <w:b w:val="false"/>
          <w:bCs w:val="false"/>
          <w:sz w:val="19"/>
          <w:szCs w:val="19"/>
        </w:rPr>
        <w:t xml:space="preserve">source</w:t>
      </w:r>
      <w:r>
        <w:rPr>
          <w:b w:val="false"/>
          <w:bCs w:val="false"/>
        </w:rPr>
        <w:t xml:space="preserve"> (.share/.healthKit/.both), </w:t>
      </w:r>
      <w:r>
        <w:rPr>
          <w:rFonts w:ascii="Consolas" w:cs="Consolas" w:eastAsia="Consolas" w:hAnsi="Consolas"/>
          <w:b w:val="false"/>
          <w:bCs w:val="false"/>
          <w:sz w:val="19"/>
          <w:szCs w:val="19"/>
        </w:rPr>
        <w:t xml:space="preserve">isSentinelLow</w:t>
      </w:r>
      <w:r>
        <w:rPr>
          <w:b w:val="false"/>
          <w:bCs w:val="false"/>
        </w:rPr>
        <w:t xml:space="preserve">/</w:t>
      </w:r>
      <w:r>
        <w:rPr>
          <w:rFonts w:ascii="Consolas" w:cs="Consolas" w:eastAsia="Consolas" w:hAnsi="Consolas"/>
          <w:b w:val="false"/>
          <w:bCs w:val="false"/>
          <w:sz w:val="19"/>
          <w:szCs w:val="19"/>
        </w:rPr>
        <w:t xml:space="preserve">isSentinelHigh</w:t>
      </w:r>
      <w:r>
        <w:rPr>
          <w:b w:val="false"/>
          <w:bCs w:val="false"/>
        </w:rPr>
        <w:t xml:space="preserve"> (Bool, for out-of-rail values), </w:t>
      </w:r>
      <w:r>
        <w:rPr>
          <w:rFonts w:ascii="Consolas" w:cs="Consolas" w:eastAsia="Consolas" w:hAnsi="Consolas"/>
          <w:b w:val="false"/>
          <w:bCs w:val="false"/>
          <w:sz w:val="19"/>
          <w:szCs w:val="19"/>
        </w:rPr>
        <w:t xml:space="preserve">dedupKey</w:t>
      </w:r>
      <w:r>
        <w:rPr>
          <w:b w:val="false"/>
          <w:bCs w:val="false"/>
        </w:rPr>
        <w:t xml:space="preserve"> (indexed String derived from the rounded sample time).</w:t>
      </w:r>
    </w:p>
    <w:p>
      <w:pPr>
        <w:pStyle w:val="ListParagraph"/>
        <w:numPr>
          <w:ilvl w:val="0"/>
          <w:numId w:val="2"/>
        </w:numPr>
        <w:spacing w:after="80" w:line="276"/>
      </w:pPr>
      <w:r>
        <w:rPr>
          <w:rFonts w:ascii="Consolas" w:cs="Consolas" w:eastAsia="Consolas" w:hAnsi="Consolas"/>
          <w:b/>
          <w:bCs/>
          <w:sz w:val="19"/>
          <w:szCs w:val="19"/>
        </w:rPr>
        <w:t xml:space="preserve">MealEvent</w:t>
      </w:r>
      <w:r>
        <w:rPr>
          <w:b w:val="false"/>
          <w:bCs w:val="false"/>
        </w:rPr>
        <w:t xml:space="preserve"> — </w:t>
      </w:r>
      <w:r>
        <w:rPr>
          <w:rFonts w:ascii="Consolas" w:cs="Consolas" w:eastAsia="Consolas" w:hAnsi="Consolas"/>
          <w:b w:val="false"/>
          <w:bCs w:val="false"/>
          <w:sz w:val="19"/>
          <w:szCs w:val="19"/>
        </w:rPr>
        <w:t xml:space="preserve">timestamp</w:t>
      </w:r>
      <w:r>
        <w:rPr>
          <w:b w:val="false"/>
          <w:bCs w:val="false"/>
        </w:rPr>
        <w:t xml:space="preserve">, </w:t>
      </w:r>
      <w:r>
        <w:rPr>
          <w:rFonts w:ascii="Consolas" w:cs="Consolas" w:eastAsia="Consolas" w:hAnsi="Consolas"/>
          <w:b w:val="false"/>
          <w:bCs w:val="false"/>
          <w:sz w:val="19"/>
          <w:szCs w:val="19"/>
        </w:rPr>
        <w:t xml:space="preserve">carbs</w:t>
      </w:r>
      <w:r>
        <w:rPr>
          <w:b w:val="false"/>
          <w:bCs w:val="false"/>
        </w:rPr>
        <w:t xml:space="preserve">, </w:t>
      </w:r>
      <w:r>
        <w:rPr>
          <w:rFonts w:ascii="Consolas" w:cs="Consolas" w:eastAsia="Consolas" w:hAnsi="Consolas"/>
          <w:b w:val="false"/>
          <w:bCs w:val="false"/>
          <w:sz w:val="19"/>
          <w:szCs w:val="19"/>
        </w:rPr>
        <w:t xml:space="preserve">photoData</w:t>
      </w:r>
      <w:r>
        <w:rPr>
          <w:b w:val="false"/>
          <w:bCs w:val="false"/>
        </w:rPr>
        <w:t xml:space="preserve"> with </w:t>
      </w:r>
      <w:r>
        <w:rPr>
          <w:rFonts w:ascii="Consolas" w:cs="Consolas" w:eastAsia="Consolas" w:hAnsi="Consolas"/>
          <w:b w:val="false"/>
          <w:bCs w:val="false"/>
          <w:sz w:val="19"/>
          <w:szCs w:val="19"/>
        </w:rPr>
        <w:t xml:space="preserve">@Attribute(.externalStorage)</w:t>
      </w:r>
      <w:r>
        <w:rPr>
          <w:b w:val="false"/>
          <w:bCs w:val="false"/>
        </w:rPr>
        <w:t xml:space="preserve">, </w:t>
      </w:r>
      <w:r>
        <w:rPr>
          <w:rFonts w:ascii="Consolas" w:cs="Consolas" w:eastAsia="Consolas" w:hAnsi="Consolas"/>
          <w:b w:val="false"/>
          <w:bCs w:val="false"/>
          <w:sz w:val="19"/>
          <w:szCs w:val="19"/>
        </w:rPr>
        <w:t xml:space="preserve">notes</w:t>
      </w:r>
      <w:r>
        <w:rPr>
          <w:b w:val="false"/>
          <w:bCs w:val="false"/>
        </w:rPr>
        <w:t xml:space="preserve">, </w:t>
      </w:r>
      <w:r>
        <w:rPr>
          <w:rFonts w:ascii="Consolas" w:cs="Consolas" w:eastAsia="Consolas" w:hAnsi="Consolas"/>
          <w:b w:val="false"/>
          <w:bCs w:val="false"/>
          <w:sz w:val="19"/>
          <w:szCs w:val="19"/>
        </w:rPr>
        <w:t xml:space="preserve">tag</w:t>
      </w:r>
      <w:r>
        <w:rPr>
          <w:b w:val="false"/>
          <w:bCs w:val="false"/>
        </w:rPr>
        <w:t xml:space="preserve">, </w:t>
      </w:r>
      <w:r>
        <w:rPr>
          <w:rFonts w:ascii="Consolas" w:cs="Consolas" w:eastAsia="Consolas" w:hAnsi="Consolas"/>
          <w:b w:val="false"/>
          <w:bCs w:val="false"/>
          <w:sz w:val="19"/>
          <w:szCs w:val="19"/>
        </w:rPr>
        <w:t xml:space="preserve">foodName</w:t>
      </w:r>
      <w:r>
        <w:rPr>
          <w:b w:val="false"/>
          <w:bCs w:val="false"/>
        </w:rPr>
        <w:t xml:space="preserve"> (links to </w:t>
      </w:r>
      <w:r>
        <w:rPr>
          <w:rFonts w:ascii="Consolas" w:cs="Consolas" w:eastAsia="Consolas" w:hAnsi="Consolas"/>
          <w:b w:val="false"/>
          <w:bCs w:val="false"/>
          <w:sz w:val="19"/>
          <w:szCs w:val="19"/>
        </w:rPr>
        <w:t xml:space="preserve">FoodRecord</w:t>
      </w:r>
      <w:r>
        <w:rPr>
          <w:b w:val="false"/>
          <w:bCs w:val="false"/>
        </w:rPr>
        <w:t xml:space="preserve">), </w:t>
      </w:r>
      <w:r>
        <w:rPr>
          <w:rFonts w:ascii="Consolas" w:cs="Consolas" w:eastAsia="Consolas" w:hAnsi="Consolas"/>
          <w:b w:val="false"/>
          <w:bCs w:val="false"/>
          <w:sz w:val="19"/>
          <w:szCs w:val="19"/>
        </w:rPr>
        <w:t xml:space="preserve">createdAt</w:t>
      </w:r>
      <w:r>
        <w:rPr>
          <w:b w:val="false"/>
          <w:bCs w:val="false"/>
        </w:rPr>
        <w:t xml:space="preserve">, </w:t>
      </w:r>
      <w:r>
        <w:rPr>
          <w:rFonts w:ascii="Consolas" w:cs="Consolas" w:eastAsia="Consolas" w:hAnsi="Consolas"/>
          <w:b w:val="false"/>
          <w:bCs w:val="false"/>
          <w:sz w:val="19"/>
          <w:szCs w:val="19"/>
        </w:rPr>
        <w:t xml:space="preserve">editedAt</w:t>
      </w:r>
      <w:r>
        <w:rPr>
          <w:b w:val="false"/>
          <w:bCs w:val="false"/>
        </w:rPr>
        <w:t xml:space="preserve">.</w:t>
      </w:r>
    </w:p>
    <w:p>
      <w:pPr>
        <w:pStyle w:val="ListParagraph"/>
        <w:numPr>
          <w:ilvl w:val="0"/>
          <w:numId w:val="2"/>
        </w:numPr>
        <w:spacing w:after="80" w:line="276"/>
      </w:pPr>
      <w:r>
        <w:rPr>
          <w:rFonts w:ascii="Consolas" w:cs="Consolas" w:eastAsia="Consolas" w:hAnsi="Consolas"/>
          <w:b/>
          <w:bCs/>
          <w:sz w:val="19"/>
          <w:szCs w:val="19"/>
        </w:rPr>
        <w:t xml:space="preserve">InsulinEvent</w:t>
      </w:r>
      <w:r>
        <w:rPr>
          <w:b w:val="false"/>
          <w:bCs w:val="false"/>
        </w:rPr>
        <w:t xml:space="preserve"> — </w:t>
      </w:r>
      <w:r>
        <w:rPr>
          <w:rFonts w:ascii="Consolas" w:cs="Consolas" w:eastAsia="Consolas" w:hAnsi="Consolas"/>
          <w:b w:val="false"/>
          <w:bCs w:val="false"/>
          <w:sz w:val="19"/>
          <w:szCs w:val="19"/>
        </w:rPr>
        <w:t xml:space="preserve">timestamp</w:t>
      </w:r>
      <w:r>
        <w:rPr>
          <w:b w:val="false"/>
          <w:bCs w:val="false"/>
        </w:rPr>
        <w:t xml:space="preserve">, </w:t>
      </w:r>
      <w:r>
        <w:rPr>
          <w:rFonts w:ascii="Consolas" w:cs="Consolas" w:eastAsia="Consolas" w:hAnsi="Consolas"/>
          <w:b w:val="false"/>
          <w:bCs w:val="false"/>
          <w:sz w:val="19"/>
          <w:szCs w:val="19"/>
        </w:rPr>
        <w:t xml:space="preserve">units</w:t>
      </w:r>
      <w:r>
        <w:rPr>
          <w:b w:val="false"/>
          <w:bCs w:val="false"/>
        </w:rPr>
        <w:t xml:space="preserve">, </w:t>
      </w:r>
      <w:r>
        <w:rPr>
          <w:rFonts w:ascii="Consolas" w:cs="Consolas" w:eastAsia="Consolas" w:hAnsi="Consolas"/>
          <w:b w:val="false"/>
          <w:bCs w:val="false"/>
          <w:sz w:val="19"/>
          <w:szCs w:val="19"/>
        </w:rPr>
        <w:t xml:space="preserve">insulinTypeId</w:t>
      </w:r>
      <w:r>
        <w:rPr>
          <w:b w:val="false"/>
          <w:bCs w:val="false"/>
        </w:rPr>
        <w:t xml:space="preserve">, </w:t>
      </w:r>
      <w:r>
        <w:rPr>
          <w:rFonts w:ascii="Consolas" w:cs="Consolas" w:eastAsia="Consolas" w:hAnsi="Consolas"/>
          <w:b w:val="false"/>
          <w:bCs w:val="false"/>
          <w:sz w:val="19"/>
          <w:szCs w:val="19"/>
        </w:rPr>
        <w:t xml:space="preserve">isBasal</w:t>
      </w:r>
      <w:r>
        <w:rPr>
          <w:b w:val="false"/>
          <w:bCs w:val="false"/>
        </w:rPr>
        <w:t xml:space="preserve"> (Bool, excluded from IOB), </w:t>
      </w:r>
      <w:r>
        <w:rPr>
          <w:rFonts w:ascii="Consolas" w:cs="Consolas" w:eastAsia="Consolas" w:hAnsi="Consolas"/>
          <w:b w:val="false"/>
          <w:bCs w:val="false"/>
          <w:sz w:val="19"/>
          <w:szCs w:val="19"/>
        </w:rPr>
        <w:t xml:space="preserve">site</w:t>
      </w:r>
      <w:r>
        <w:rPr>
          <w:b w:val="false"/>
          <w:bCs w:val="false"/>
        </w:rPr>
        <w:t xml:space="preserve">, </w:t>
      </w:r>
      <w:r>
        <w:rPr>
          <w:rFonts w:ascii="Consolas" w:cs="Consolas" w:eastAsia="Consolas" w:hAnsi="Consolas"/>
          <w:b w:val="false"/>
          <w:bCs w:val="false"/>
          <w:sz w:val="19"/>
          <w:szCs w:val="19"/>
        </w:rPr>
        <w:t xml:space="preserve">createdAt</w:t>
      </w:r>
      <w:r>
        <w:rPr>
          <w:b w:val="false"/>
          <w:bCs w:val="false"/>
        </w:rPr>
        <w:t xml:space="preserve">, </w:t>
      </w:r>
      <w:r>
        <w:rPr>
          <w:rFonts w:ascii="Consolas" w:cs="Consolas" w:eastAsia="Consolas" w:hAnsi="Consolas"/>
          <w:b w:val="false"/>
          <w:bCs w:val="false"/>
          <w:sz w:val="19"/>
          <w:szCs w:val="19"/>
        </w:rPr>
        <w:t xml:space="preserve">editedAt</w:t>
      </w:r>
      <w:r>
        <w:rPr>
          <w:b w:val="false"/>
          <w:bCs w:val="false"/>
        </w:rPr>
        <w:t xml:space="preserve">.</w:t>
      </w:r>
    </w:p>
    <w:p>
      <w:pPr>
        <w:pStyle w:val="ListParagraph"/>
        <w:numPr>
          <w:ilvl w:val="0"/>
          <w:numId w:val="2"/>
        </w:numPr>
        <w:spacing w:after="80" w:line="276"/>
      </w:pPr>
      <w:r>
        <w:rPr>
          <w:rFonts w:ascii="Consolas" w:cs="Consolas" w:eastAsia="Consolas" w:hAnsi="Consolas"/>
          <w:b/>
          <w:bCs/>
          <w:sz w:val="19"/>
          <w:szCs w:val="19"/>
        </w:rPr>
        <w:t xml:space="preserve">ExerciseEvent</w:t>
      </w:r>
      <w:r>
        <w:rPr>
          <w:b w:val="false"/>
          <w:bCs w:val="false"/>
        </w:rPr>
        <w:t xml:space="preserve"> — </w:t>
      </w:r>
      <w:r>
        <w:rPr>
          <w:rFonts w:ascii="Consolas" w:cs="Consolas" w:eastAsia="Consolas" w:hAnsi="Consolas"/>
          <w:b w:val="false"/>
          <w:bCs w:val="false"/>
          <w:sz w:val="19"/>
          <w:szCs w:val="19"/>
        </w:rPr>
        <w:t xml:space="preserve">timestamp</w:t>
      </w:r>
      <w:r>
        <w:rPr>
          <w:b w:val="false"/>
          <w:bCs w:val="false"/>
        </w:rPr>
        <w:t xml:space="preserve">, </w:t>
      </w:r>
      <w:r>
        <w:rPr>
          <w:rFonts w:ascii="Consolas" w:cs="Consolas" w:eastAsia="Consolas" w:hAnsi="Consolas"/>
          <w:b w:val="false"/>
          <w:bCs w:val="false"/>
          <w:sz w:val="19"/>
          <w:szCs w:val="19"/>
        </w:rPr>
        <w:t xml:space="preserve">type</w:t>
      </w:r>
      <w:r>
        <w:rPr>
          <w:b w:val="false"/>
          <w:bCs w:val="false"/>
        </w:rPr>
        <w:t xml:space="preserve">, </w:t>
      </w:r>
      <w:r>
        <w:rPr>
          <w:rFonts w:ascii="Consolas" w:cs="Consolas" w:eastAsia="Consolas" w:hAnsi="Consolas"/>
          <w:b w:val="false"/>
          <w:bCs w:val="false"/>
          <w:sz w:val="19"/>
          <w:szCs w:val="19"/>
        </w:rPr>
        <w:t xml:space="preserve">durationMinutes</w:t>
      </w:r>
      <w:r>
        <w:rPr>
          <w:b w:val="false"/>
          <w:bCs w:val="false"/>
        </w:rPr>
        <w:t xml:space="preserve">, </w:t>
      </w:r>
      <w:r>
        <w:rPr>
          <w:rFonts w:ascii="Consolas" w:cs="Consolas" w:eastAsia="Consolas" w:hAnsi="Consolas"/>
          <w:b w:val="false"/>
          <w:bCs w:val="false"/>
          <w:sz w:val="19"/>
          <w:szCs w:val="19"/>
        </w:rPr>
        <w:t xml:space="preserve">intensity</w:t>
      </w:r>
      <w:r>
        <w:rPr>
          <w:b w:val="false"/>
          <w:bCs w:val="false"/>
        </w:rPr>
        <w:t xml:space="preserve">, </w:t>
      </w:r>
      <w:r>
        <w:rPr>
          <w:rFonts w:ascii="Consolas" w:cs="Consolas" w:eastAsia="Consolas" w:hAnsi="Consolas"/>
          <w:b w:val="false"/>
          <w:bCs w:val="false"/>
          <w:sz w:val="19"/>
          <w:szCs w:val="19"/>
        </w:rPr>
        <w:t xml:space="preserve">wasAutoSuggested</w:t>
      </w:r>
      <w:r>
        <w:rPr>
          <w:b w:val="false"/>
          <w:bCs w:val="false"/>
        </w:rPr>
        <w:t xml:space="preserve"> (Bool).</w:t>
      </w:r>
    </w:p>
    <w:p>
      <w:pPr>
        <w:pStyle w:val="ListParagraph"/>
        <w:numPr>
          <w:ilvl w:val="0"/>
          <w:numId w:val="2"/>
        </w:numPr>
        <w:spacing w:after="80" w:line="276"/>
      </w:pPr>
      <w:r>
        <w:rPr>
          <w:rFonts w:ascii="Consolas" w:cs="Consolas" w:eastAsia="Consolas" w:hAnsi="Consolas"/>
          <w:b/>
          <w:bCs/>
          <w:sz w:val="19"/>
          <w:szCs w:val="19"/>
        </w:rPr>
        <w:t xml:space="preserve">FoodRecord</w:t>
      </w:r>
      <w:r>
        <w:rPr>
          <w:b w:val="false"/>
          <w:bCs w:val="false"/>
        </w:rPr>
        <w:t xml:space="preserve"> (v2) — </w:t>
      </w:r>
      <w:r>
        <w:rPr>
          <w:rFonts w:ascii="Consolas" w:cs="Consolas" w:eastAsia="Consolas" w:hAnsi="Consolas"/>
          <w:b w:val="false"/>
          <w:bCs w:val="false"/>
          <w:sz w:val="19"/>
          <w:szCs w:val="19"/>
        </w:rPr>
        <w:t xml:space="preserve">name</w:t>
      </w:r>
      <w:r>
        <w:rPr>
          <w:b w:val="false"/>
          <w:bCs w:val="false"/>
        </w:rPr>
        <w:t xml:space="preserve">, derived response statistics, cached from the linked meals.</w:t>
      </w:r>
    </w:p>
    <w:p>
      <w:pPr>
        <w:pStyle w:val="ListParagraph"/>
        <w:numPr>
          <w:ilvl w:val="0"/>
          <w:numId w:val="2"/>
        </w:numPr>
        <w:spacing w:after="80" w:line="276"/>
      </w:pPr>
      <w:r>
        <w:rPr>
          <w:rFonts w:ascii="Consolas" w:cs="Consolas" w:eastAsia="Consolas" w:hAnsi="Consolas"/>
          <w:b/>
          <w:bCs/>
          <w:sz w:val="19"/>
          <w:szCs w:val="19"/>
        </w:rPr>
        <w:t xml:space="preserve">InsulinType</w:t>
      </w:r>
      <w:r>
        <w:rPr>
          <w:b w:val="false"/>
          <w:bCs w:val="false"/>
        </w:rPr>
        <w:t xml:space="preserve"> — </w:t>
      </w:r>
      <w:r>
        <w:rPr>
          <w:rFonts w:ascii="Consolas" w:cs="Consolas" w:eastAsia="Consolas" w:hAnsi="Consolas"/>
          <w:b w:val="false"/>
          <w:bCs w:val="false"/>
          <w:sz w:val="19"/>
          <w:szCs w:val="19"/>
        </w:rPr>
        <w:t xml:space="preserve">name</w:t>
      </w:r>
      <w:r>
        <w:rPr>
          <w:b w:val="false"/>
          <w:bCs w:val="false"/>
        </w:rPr>
        <w:t xml:space="preserve">, </w:t>
      </w:r>
      <w:r>
        <w:rPr>
          <w:rFonts w:ascii="Consolas" w:cs="Consolas" w:eastAsia="Consolas" w:hAnsi="Consolas"/>
          <w:b w:val="false"/>
          <w:bCs w:val="false"/>
          <w:sz w:val="19"/>
          <w:szCs w:val="19"/>
        </w:rPr>
        <w:t xml:space="preserve">peakMinutes</w:t>
      </w:r>
      <w:r>
        <w:rPr>
          <w:b w:val="false"/>
          <w:bCs w:val="false"/>
        </w:rPr>
        <w:t xml:space="preserve">, </w:t>
      </w:r>
      <w:r>
        <w:rPr>
          <w:rFonts w:ascii="Consolas" w:cs="Consolas" w:eastAsia="Consolas" w:hAnsi="Consolas"/>
          <w:b w:val="false"/>
          <w:bCs w:val="false"/>
          <w:sz w:val="19"/>
          <w:szCs w:val="19"/>
        </w:rPr>
        <w:t xml:space="preserve">durationMinutes</w:t>
      </w:r>
      <w:r>
        <w:rPr>
          <w:b w:val="false"/>
          <w:bCs w:val="false"/>
        </w:rPr>
        <w:t xml:space="preserve">, </w:t>
      </w:r>
      <w:r>
        <w:rPr>
          <w:rFonts w:ascii="Consolas" w:cs="Consolas" w:eastAsia="Consolas" w:hAnsi="Consolas"/>
          <w:b w:val="false"/>
          <w:bCs w:val="false"/>
          <w:sz w:val="19"/>
          <w:szCs w:val="19"/>
        </w:rPr>
        <w:t xml:space="preserve">isBasal</w:t>
      </w:r>
      <w:r>
        <w:rPr>
          <w:b w:val="false"/>
          <w:bCs w:val="false"/>
        </w:rPr>
        <w:t xml:space="preserve">.</w:t>
      </w:r>
    </w:p>
    <w:p>
      <w:pPr>
        <w:pStyle w:val="ListParagraph"/>
        <w:numPr>
          <w:ilvl w:val="0"/>
          <w:numId w:val="2"/>
        </w:numPr>
        <w:spacing w:after="80" w:line="276"/>
      </w:pPr>
      <w:r>
        <w:rPr>
          <w:rFonts w:ascii="Consolas" w:cs="Consolas" w:eastAsia="Consolas" w:hAnsi="Consolas"/>
          <w:b/>
          <w:bCs/>
          <w:sz w:val="19"/>
          <w:szCs w:val="19"/>
        </w:rPr>
        <w:t xml:space="preserve">DailyAggregate</w:t>
      </w:r>
      <w:r>
        <w:rPr>
          <w:b w:val="false"/>
          <w:bCs w:val="false"/>
        </w:rPr>
        <w:t xml:space="preserve"> — pre-computed per-day statistics for fast long-window rendering (§4.5).</w:t>
      </w:r>
    </w:p>
    <w:p>
      <w:pPr>
        <w:pStyle w:val="ListParagraph"/>
        <w:numPr>
          <w:ilvl w:val="0"/>
          <w:numId w:val="2"/>
        </w:numPr>
        <w:spacing w:after="80" w:line="276"/>
      </w:pPr>
      <w:r>
        <w:rPr>
          <w:rFonts w:ascii="Consolas" w:cs="Consolas" w:eastAsia="Consolas" w:hAnsi="Consolas"/>
          <w:b/>
          <w:bCs/>
          <w:sz w:val="19"/>
          <w:szCs w:val="19"/>
        </w:rPr>
        <w:t xml:space="preserve">UserSettings</w:t>
      </w:r>
      <w:r>
        <w:rPr>
          <w:b w:val="false"/>
          <w:bCs w:val="false"/>
        </w:rPr>
        <w:t xml:space="preserve"> — </w:t>
      </w:r>
      <w:r>
        <w:rPr>
          <w:rFonts w:ascii="Consolas" w:cs="Consolas" w:eastAsia="Consolas" w:hAnsi="Consolas"/>
          <w:b w:val="false"/>
          <w:bCs w:val="false"/>
          <w:sz w:val="19"/>
          <w:szCs w:val="19"/>
        </w:rPr>
        <w:t xml:space="preserve">targetLow</w:t>
      </w:r>
      <w:r>
        <w:rPr>
          <w:b w:val="false"/>
          <w:bCs w:val="false"/>
        </w:rPr>
        <w:t xml:space="preserve">, </w:t>
      </w:r>
      <w:r>
        <w:rPr>
          <w:rFonts w:ascii="Consolas" w:cs="Consolas" w:eastAsia="Consolas" w:hAnsi="Consolas"/>
          <w:b w:val="false"/>
          <w:bCs w:val="false"/>
          <w:sz w:val="19"/>
          <w:szCs w:val="19"/>
        </w:rPr>
        <w:t xml:space="preserve">targetHigh</w:t>
      </w:r>
      <w:r>
        <w:rPr>
          <w:b w:val="false"/>
          <w:bCs w:val="false"/>
        </w:rPr>
        <w:t xml:space="preserve">, </w:t>
      </w:r>
      <w:r>
        <w:rPr>
          <w:rFonts w:ascii="Consolas" w:cs="Consolas" w:eastAsia="Consolas" w:hAnsi="Consolas"/>
          <w:b w:val="false"/>
          <w:bCs w:val="false"/>
          <w:sz w:val="19"/>
          <w:szCs w:val="19"/>
        </w:rPr>
        <w:t xml:space="preserve">units</w:t>
      </w:r>
      <w:r>
        <w:rPr>
          <w:b w:val="false"/>
          <w:bCs w:val="false"/>
        </w:rPr>
        <w:t xml:space="preserve">, </w:t>
      </w:r>
      <w:r>
        <w:rPr>
          <w:rFonts w:ascii="Consolas" w:cs="Consolas" w:eastAsia="Consolas" w:hAnsi="Consolas"/>
          <w:b w:val="false"/>
          <w:bCs w:val="false"/>
          <w:sz w:val="19"/>
          <w:szCs w:val="19"/>
        </w:rPr>
        <w:t xml:space="preserve">theme</w:t>
      </w:r>
      <w:r>
        <w:rPr>
          <w:b w:val="false"/>
          <w:bCs w:val="false"/>
        </w:rPr>
        <w:t xml:space="preserve">, </w:t>
      </w:r>
      <w:r>
        <w:rPr>
          <w:rFonts w:ascii="Consolas" w:cs="Consolas" w:eastAsia="Consolas" w:hAnsi="Consolas"/>
          <w:b w:val="false"/>
          <w:bCs w:val="false"/>
          <w:sz w:val="19"/>
          <w:szCs w:val="19"/>
        </w:rPr>
        <w:t xml:space="preserve">bedsideSchedule</w:t>
      </w:r>
      <w:r>
        <w:rPr>
          <w:b w:val="false"/>
          <w:bCs w:val="false"/>
        </w:rPr>
        <w:t xml:space="preserve">, </w:t>
      </w:r>
      <w:r>
        <w:rPr>
          <w:rFonts w:ascii="Consolas" w:cs="Consolas" w:eastAsia="Consolas" w:hAnsi="Consolas"/>
          <w:b w:val="false"/>
          <w:bCs w:val="false"/>
          <w:sz w:val="19"/>
          <w:szCs w:val="19"/>
        </w:rPr>
        <w:t xml:space="preserve">dexcomRegion</w:t>
      </w:r>
      <w:r>
        <w:rPr>
          <w:b w:val="false"/>
          <w:bCs w:val="false"/>
        </w:rPr>
        <w:t xml:space="preserve">, </w:t>
      </w:r>
      <w:r>
        <w:rPr>
          <w:rFonts w:ascii="Consolas" w:cs="Consolas" w:eastAsia="Consolas" w:hAnsi="Consolas"/>
          <w:b w:val="false"/>
          <w:bCs w:val="false"/>
          <w:sz w:val="19"/>
          <w:szCs w:val="19"/>
        </w:rPr>
        <w:t xml:space="preserve">isf</w:t>
      </w:r>
      <w:r>
        <w:rPr>
          <w:b w:val="false"/>
          <w:bCs w:val="false"/>
        </w:rPr>
        <w:t xml:space="preserve">, </w:t>
      </w:r>
      <w:r>
        <w:rPr>
          <w:rFonts w:ascii="Consolas" w:cs="Consolas" w:eastAsia="Consolas" w:hAnsi="Consolas"/>
          <w:b w:val="false"/>
          <w:bCs w:val="false"/>
          <w:sz w:val="19"/>
          <w:szCs w:val="19"/>
        </w:rPr>
        <w:t xml:space="preserve">icr</w:t>
      </w:r>
      <w:r>
        <w:rPr>
          <w:b w:val="false"/>
          <w:bCs w:val="false"/>
        </w:rPr>
        <w:t xml:space="preserve">, </w:t>
      </w:r>
      <w:r>
        <w:rPr>
          <w:rFonts w:ascii="Consolas" w:cs="Consolas" w:eastAsia="Consolas" w:hAnsi="Consolas"/>
          <w:b w:val="false"/>
          <w:bCs w:val="false"/>
          <w:sz w:val="19"/>
          <w:szCs w:val="19"/>
        </w:rPr>
        <w:t xml:space="preserve">carbAbsorptionMinutes</w:t>
      </w:r>
      <w:r>
        <w:rPr>
          <w:b w:val="false"/>
          <w:bCs w:val="false"/>
        </w:rPr>
        <w:t xml:space="preserve">.</w:t>
      </w:r>
    </w:p>
    <w:p>
      <w:pPr>
        <w:spacing w:after="100" w:before="180"/>
      </w:pPr>
      <w:r>
        <w:rPr>
          <w:b/>
          <w:bCs/>
          <w:color w:val="1F4D78"/>
        </w:rPr>
        <w:t xml:space="preserve">Constraints that shape the schema from day one</w:t>
      </w:r>
    </w:p>
    <w:p>
      <w:pPr>
        <w:pStyle w:val="ListParagraph"/>
        <w:numPr>
          <w:ilvl w:val="0"/>
          <w:numId w:val="2"/>
        </w:numPr>
        <w:spacing w:after="80" w:line="276"/>
      </w:pPr>
      <w:r>
        <w:rPr>
          <w:b/>
          <w:bCs/>
        </w:rPr>
        <w:t xml:space="preserve">No </w:t>
      </w:r>
      <w:r>
        <w:rPr>
          <w:rFonts w:ascii="Consolas" w:cs="Consolas" w:eastAsia="Consolas" w:hAnsi="Consolas"/>
          <w:b/>
          <w:bCs/>
          <w:sz w:val="19"/>
          <w:szCs w:val="19"/>
        </w:rPr>
        <w:t xml:space="preserve">@Attribute(.unique)</w:t>
      </w:r>
      <w:r>
        <w:rPr>
          <w:b/>
          <w:bCs/>
        </w:rPr>
        <w:t xml:space="preserve"> anywhere.</w:t>
      </w:r>
      <w:r>
        <w:rPr>
          <w:b w:val="false"/>
          <w:bCs w:val="false"/>
        </w:rPr>
        <w:t xml:space="preserve"> SwiftData's CloudKit backing does not support unique constraints, and v3 (§3.3) commits to CloudKit sync. v1.1's </w:t>
      </w:r>
      <w:r>
        <w:rPr>
          <w:rFonts w:ascii="Consolas" w:cs="Consolas" w:eastAsia="Consolas" w:hAnsi="Consolas"/>
          <w:b w:val="false"/>
          <w:bCs w:val="false"/>
          <w:sz w:val="19"/>
          <w:szCs w:val="19"/>
        </w:rPr>
        <w:t xml:space="preserve">syncId (for dedup)</w:t>
      </w:r>
      <w:r>
        <w:rPr>
          <w:b w:val="false"/>
          <w:bCs w:val="false"/>
        </w:rPr>
        <w:t xml:space="preserve"> implied a unique attribute; deduplication is instead enforced in the coordinator (§4.2.4) with </w:t>
      </w:r>
      <w:r>
        <w:rPr>
          <w:rFonts w:ascii="Consolas" w:cs="Consolas" w:eastAsia="Consolas" w:hAnsi="Consolas"/>
          <w:b w:val="false"/>
          <w:bCs w:val="false"/>
          <w:sz w:val="19"/>
          <w:szCs w:val="19"/>
        </w:rPr>
        <w:t xml:space="preserve">dedupKey</w:t>
      </w:r>
      <w:r>
        <w:rPr>
          <w:b w:val="false"/>
          <w:bCs w:val="false"/>
        </w:rPr>
        <w:t xml:space="preserve"> as a plain indexed attribute and an explicit fetch-then-upsert. Discovering this at v3 would mean a migration of the entire history.</w:t>
      </w:r>
    </w:p>
    <w:p>
      <w:pPr>
        <w:pStyle w:val="ListParagraph"/>
        <w:numPr>
          <w:ilvl w:val="0"/>
          <w:numId w:val="2"/>
        </w:numPr>
        <w:spacing w:after="80" w:line="276"/>
      </w:pPr>
      <w:r>
        <w:rPr>
          <w:b/>
          <w:bCs/>
        </w:rPr>
        <w:t xml:space="preserve">Every property is optional or has a default, and no relationship uses a </w:t>
      </w:r>
      <w:r>
        <w:rPr>
          <w:rFonts w:ascii="Consolas" w:cs="Consolas" w:eastAsia="Consolas" w:hAnsi="Consolas"/>
          <w:b/>
          <w:bCs/>
          <w:sz w:val="19"/>
          <w:szCs w:val="19"/>
        </w:rPr>
        <w:t xml:space="preserve">.deny</w:t>
      </w:r>
      <w:r>
        <w:rPr>
          <w:b/>
          <w:bCs/>
        </w:rPr>
        <w:t xml:space="preserve"> delete rule</w:t>
      </w:r>
      <w:r>
        <w:rPr>
          <w:b w:val="false"/>
          <w:bCs w:val="false"/>
        </w:rPr>
        <w:t xml:space="preserve"> — the other two CloudKit requirements. Adopting them now costs nothing; retrofitting them costs a migration.</w:t>
      </w:r>
    </w:p>
    <w:p>
      <w:pPr>
        <w:pStyle w:val="ListParagraph"/>
        <w:numPr>
          <w:ilvl w:val="0"/>
          <w:numId w:val="2"/>
        </w:numPr>
        <w:spacing w:after="80" w:line="276"/>
      </w:pPr>
      <w:r>
        <w:rPr>
          <w:rFonts w:ascii="Consolas" w:cs="Consolas" w:eastAsia="Consolas" w:hAnsi="Consolas"/>
          <w:b/>
          <w:bCs/>
          <w:sz w:val="19"/>
          <w:szCs w:val="19"/>
        </w:rPr>
        <w:t xml:space="preserve">VersionedSchema</w:t>
      </w:r>
      <w:r>
        <w:rPr>
          <w:b/>
          <w:bCs/>
        </w:rPr>
        <w:t xml:space="preserve"> and a </w:t>
      </w:r>
      <w:r>
        <w:rPr>
          <w:rFonts w:ascii="Consolas" w:cs="Consolas" w:eastAsia="Consolas" w:hAnsi="Consolas"/>
          <w:b/>
          <w:bCs/>
          <w:sz w:val="19"/>
          <w:szCs w:val="19"/>
        </w:rPr>
        <w:t xml:space="preserve">SchemaMigrationPlan</w:t>
      </w:r>
      <w:r>
        <w:rPr>
          <w:b/>
          <w:bCs/>
        </w:rPr>
        <w:t xml:space="preserve"> from v1.</w:t>
      </w:r>
      <w:r>
        <w:rPr>
          <w:b w:val="false"/>
          <w:bCs w:val="false"/>
        </w:rPr>
        <w:t xml:space="preserve"> SwiftData was chosen partly for migrations, and v1.1 then had no migration plan despite committing to model changes at v2 (logging) and v3 (CloudKit). By the time v2 ships there will be months of irreplaceable readings in the store. Each schema version gets a migration test that loads a fixture store from the previous version.</w:t>
      </w:r>
    </w:p>
    <w:p>
      <w:pPr>
        <w:pStyle w:val="ListParagraph"/>
        <w:numPr>
          <w:ilvl w:val="0"/>
          <w:numId w:val="2"/>
        </w:numPr>
        <w:spacing w:after="80" w:line="276"/>
      </w:pPr>
      <w:r>
        <w:rPr>
          <w:b/>
          <w:bCs/>
        </w:rPr>
        <w:t xml:space="preserve">Store lives in the App Group container.</w:t>
      </w:r>
      <w:r>
        <w:rPr>
          <w:b w:val="false"/>
          <w:bCs w:val="false"/>
        </w:rPr>
        <w:t xml:space="preserve"> Widgets, the Live Activity, and the Watch app cannot read the default container.</w:t>
      </w:r>
    </w:p>
    <w:p>
      <w:pPr>
        <w:pStyle w:val="ListParagraph"/>
        <w:numPr>
          <w:ilvl w:val="0"/>
          <w:numId w:val="2"/>
        </w:numPr>
        <w:spacing w:after="80" w:line="276"/>
      </w:pPr>
      <w:r>
        <w:rPr>
          <w:b/>
          <w:bCs/>
        </w:rPr>
        <w:t xml:space="preserve">All writes go through a </w:t>
      </w:r>
      <w:r>
        <w:rPr>
          <w:rFonts w:ascii="Consolas" w:cs="Consolas" w:eastAsia="Consolas" w:hAnsi="Consolas"/>
          <w:b/>
          <w:bCs/>
          <w:sz w:val="19"/>
          <w:szCs w:val="19"/>
        </w:rPr>
        <w:t xml:space="preserve">@ModelActor</w:t>
      </w:r>
      <w:r>
        <w:rPr>
          <w:b/>
          <w:bCs/>
        </w:rPr>
        <w:t xml:space="preserve">.</w:t>
      </w:r>
      <w:r>
        <w:rPr>
          <w:b w:val="false"/>
          <w:bCs w:val="false"/>
        </w:rPr>
        <w:t xml:space="preserve"> </w:t>
      </w:r>
      <w:r>
        <w:rPr>
          <w:rFonts w:ascii="Consolas" w:cs="Consolas" w:eastAsia="Consolas" w:hAnsi="Consolas"/>
          <w:b w:val="false"/>
          <w:bCs w:val="false"/>
          <w:sz w:val="19"/>
          <w:szCs w:val="19"/>
        </w:rPr>
        <w:t xml:space="preserve">ModelContext</w:t>
      </w:r>
      <w:r>
        <w:rPr>
          <w:b w:val="false"/>
          <w:bCs w:val="false"/>
        </w:rPr>
        <w:t xml:space="preserve"> is not </w:t>
      </w:r>
      <w:r>
        <w:rPr>
          <w:rFonts w:ascii="Consolas" w:cs="Consolas" w:eastAsia="Consolas" w:hAnsi="Consolas"/>
          <w:b w:val="false"/>
          <w:bCs w:val="false"/>
          <w:sz w:val="19"/>
          <w:szCs w:val="19"/>
        </w:rPr>
        <w:t xml:space="preserve">Sendable</w:t>
      </w:r>
      <w:r>
        <w:rPr>
          <w:b w:val="false"/>
          <w:bCs w:val="false"/>
        </w:rPr>
        <w:t xml:space="preserve">; under Swift 6 strict concurrency, sharing one across the source actors will not compile — and working around it with </w:t>
      </w:r>
      <w:r>
        <w:rPr>
          <w:rFonts w:ascii="Consolas" w:cs="Consolas" w:eastAsia="Consolas" w:hAnsi="Consolas"/>
          <w:b w:val="false"/>
          <w:bCs w:val="false"/>
          <w:sz w:val="19"/>
          <w:szCs w:val="19"/>
        </w:rPr>
        <w:t xml:space="preserve">@unchecked Sendable</w:t>
      </w:r>
      <w:r>
        <w:rPr>
          <w:b w:val="false"/>
          <w:bCs w:val="false"/>
        </w:rPr>
        <w:t xml:space="preserve"> produces data races that surface as store corruption.</w:t>
      </w:r>
    </w:p>
    <w:p>
      <w:pPr>
        <w:pStyle w:val="ListParagraph"/>
        <w:numPr>
          <w:ilvl w:val="0"/>
          <w:numId w:val="2"/>
        </w:numPr>
        <w:spacing w:after="80" w:line="276"/>
      </w:pPr>
      <w:r>
        <w:rPr>
          <w:b/>
          <w:bCs/>
        </w:rPr>
        <w:t xml:space="preserve">Photos use </w:t>
      </w:r>
      <w:r>
        <w:rPr>
          <w:rFonts w:ascii="Consolas" w:cs="Consolas" w:eastAsia="Consolas" w:hAnsi="Consolas"/>
          <w:b/>
          <w:bCs/>
          <w:sz w:val="19"/>
          <w:szCs w:val="19"/>
        </w:rPr>
        <w:t xml:space="preserve">.externalStorage</w:t>
      </w:r>
      <w:r>
        <w:rPr>
          <w:b/>
          <w:bCs/>
        </w:rPr>
        <w:t xml:space="preserve">.</w:t>
      </w:r>
      <w:r>
        <w:rPr>
          <w:b w:val="false"/>
          <w:bCs w:val="false"/>
        </w:rPr>
        <w:t xml:space="preserve"> Inline blobs bloat the store and slow every unrelated query. v1.1 stored </w:t>
      </w:r>
      <w:r>
        <w:rPr>
          <w:rFonts w:ascii="Consolas" w:cs="Consolas" w:eastAsia="Consolas" w:hAnsi="Consolas"/>
          <w:b w:val="false"/>
          <w:bCs w:val="false"/>
          <w:sz w:val="19"/>
          <w:szCs w:val="19"/>
        </w:rPr>
        <w:t xml:space="preserve">photoData</w:t>
      </w:r>
      <w:r>
        <w:rPr>
          <w:b w:val="false"/>
          <w:bCs w:val="false"/>
        </w:rPr>
        <w:t xml:space="preserve"> directly.</w:t>
      </w:r>
    </w:p>
    <w:p>
      <w:pPr>
        <w:spacing w:after="100" w:before="180"/>
      </w:pPr>
      <w:r>
        <w:rPr>
          <w:b/>
          <w:bCs/>
          <w:color w:val="1F4D78"/>
        </w:rPr>
        <w:t xml:space="preserve">Retention</w:t>
      </w:r>
    </w:p>
    <w:p>
      <w:pPr>
        <w:spacing w:after="120" w:line="276"/>
      </w:pPr>
      <w:r>
        <w:rPr>
          <w:b w:val="false"/>
          <w:bCs w:val="false"/>
        </w:rPr>
        <w:t xml:space="preserve">v1.1 had no retention policy, and its 90-day HealthKit backfill window means data older than 90 days exists only if the app was running to capture it. Policy:</w:t>
      </w:r>
    </w:p>
    <w:p>
      <w:pPr>
        <w:pStyle w:val="ListParagraph"/>
        <w:numPr>
          <w:ilvl w:val="0"/>
          <w:numId w:val="2"/>
        </w:numPr>
        <w:spacing w:after="80" w:line="276"/>
      </w:pPr>
      <w:r>
        <w:rPr>
          <w:b w:val="false"/>
          <w:bCs w:val="false"/>
        </w:rPr>
        <w:t xml:space="preserve">Raw readings are retained indefinitely — roughly 105,000 rows per year at 5-minute cadence, which is a few tens of megabytes and not a problem.</w:t>
      </w:r>
    </w:p>
    <w:p>
      <w:pPr>
        <w:pStyle w:val="ListParagraph"/>
        <w:numPr>
          <w:ilvl w:val="0"/>
          <w:numId w:val="2"/>
        </w:numPr>
        <w:spacing w:after="80" w:line="276"/>
      </w:pPr>
      <w:r>
        <w:rPr>
          <w:rFonts w:ascii="Consolas" w:cs="Consolas" w:eastAsia="Consolas" w:hAnsi="Consolas"/>
          <w:b w:val="false"/>
          <w:bCs w:val="false"/>
          <w:sz w:val="19"/>
          <w:szCs w:val="19"/>
        </w:rPr>
        <w:t xml:space="preserve">DailyAggregate</w:t>
      </w:r>
      <w:r>
        <w:rPr>
          <w:b w:val="false"/>
          <w:bCs w:val="false"/>
        </w:rPr>
        <w:t xml:space="preserve"> rows are computed nightly and retained indefinitely; they are what long-window views actually read.</w:t>
      </w:r>
    </w:p>
    <w:p>
      <w:pPr>
        <w:pStyle w:val="ListParagraph"/>
        <w:numPr>
          <w:ilvl w:val="0"/>
          <w:numId w:val="2"/>
        </w:numPr>
        <w:spacing w:after="80" w:line="276"/>
      </w:pPr>
      <w:r>
        <w:rPr>
          <w:b w:val="false"/>
          <w:bCs w:val="false"/>
        </w:rPr>
        <w:t xml:space="preserve">Meal photos are the only real storage pressure. Offer an optional “compress photos older than 1 year” maintenance action.</w:t>
      </w:r>
    </w:p>
    <w:p>
      <w:pPr>
        <w:pStyle w:val="ListParagraph"/>
        <w:numPr>
          <w:ilvl w:val="0"/>
          <w:numId w:val="2"/>
        </w:numPr>
        <w:spacing w:after="80" w:line="276"/>
      </w:pPr>
      <w:r>
        <w:rPr>
          <w:b w:val="false"/>
          <w:bCs w:val="false"/>
        </w:rPr>
        <w:t xml:space="preserve">Nothing is ever auto-deleted without explicit user action.</w:t>
      </w:r>
    </w:p>
    <w:p>
      <w:pPr>
        <w:pStyle w:val="Heading2"/>
        <w:spacing w:after="140" w:before="280"/>
      </w:pPr>
      <w:r>
        <w:rPr>
          <w:b w:val="false"/>
          <w:bCs w:val="false"/>
        </w:rPr>
        <w:t xml:space="preserve">4.4 Prediction Engine</w:t>
      </w:r>
    </w:p>
    <w:p>
      <w:pPr>
        <w:spacing w:after="120" w:line="276"/>
      </w:pPr>
      <w:r>
        <w:rPr>
          <w:b w:val="false"/>
          <w:bCs w:val="false"/>
        </w:rPr>
        <w:t xml:space="preserve">Implemented as a pure Swift module with no UI dependencies, fully unit-testable against synthetic input.</w:t>
      </w:r>
    </w:p>
    <w:p>
      <w:pPr>
        <w:spacing w:after="100" w:before="180"/>
      </w:pPr>
      <w:r>
        <w:rPr>
          <w:b/>
          <w:bCs/>
          <w:color w:val="1F4D78"/>
        </w:rPr>
        <w:t xml:space="preserve">IOBCalculator — corrected model</w:t>
      </w:r>
    </w:p>
    <w:p>
      <w:pPr>
        <w:spacing w:after="120" w:line="276"/>
      </w:pPr>
      <w:r>
        <w:rPr>
          <w:b/>
          <w:bCs/>
        </w:rPr>
        <w:t xml:space="preserve">v1.1 specified linear decay over 4 hours for rapid-acting insulin. This is wrong in both shape and duration</w:t>
      </w:r>
      <w:r>
        <w:rPr>
          <w:b w:val="false"/>
          <w:bCs w:val="false"/>
        </w:rPr>
        <w:t xml:space="preserve">, and because IOB feeds the meal-response estimator, the error propagates into every prediction the app makes.</w:t>
      </w:r>
    </w:p>
    <w:p>
      <w:pPr>
        <w:pStyle w:val="ListParagraph"/>
        <w:numPr>
          <w:ilvl w:val="0"/>
          <w:numId w:val="2"/>
        </w:numPr>
        <w:spacing w:after="80" w:line="276"/>
      </w:pPr>
      <w:r>
        <w:rPr>
          <w:b/>
          <w:bCs/>
        </w:rPr>
        <w:t xml:space="preserve">Shape:</w:t>
      </w:r>
      <w:r>
        <w:rPr>
          <w:b w:val="false"/>
          <w:bCs w:val="false"/>
        </w:rPr>
        <w:t xml:space="preserve"> insulin activity is not linear. It rises to a peak at roughly 60–90 minutes and decays with a long tail. Linear decay overestimates IOB through the first hour and underestimates it for the last two.</w:t>
      </w:r>
    </w:p>
    <w:p>
      <w:pPr>
        <w:pStyle w:val="ListParagraph"/>
        <w:numPr>
          <w:ilvl w:val="0"/>
          <w:numId w:val="2"/>
        </w:numPr>
        <w:spacing w:after="80" w:line="276"/>
      </w:pPr>
      <w:r>
        <w:rPr>
          <w:b/>
          <w:bCs/>
        </w:rPr>
        <w:t xml:space="preserve">Duration:</w:t>
      </w:r>
      <w:r>
        <w:rPr>
          <w:b w:val="false"/>
          <w:bCs w:val="false"/>
        </w:rPr>
        <w:t xml:space="preserve"> the duration of action for rapid analogues is 5–6 hours, not 4. The Loop/AAPS community consensus is 360 minutes.</w:t>
      </w:r>
    </w:p>
    <w:p>
      <w:pPr>
        <w:spacing w:after="120" w:line="276"/>
      </w:pPr>
      <w:r>
        <w:rPr>
          <w:b w:val="false"/>
          <w:bCs w:val="false"/>
        </w:rPr>
        <w:t xml:space="preserve">GlucoNoir uses the bi-exponential model from LoopKit, parameterised by peak time and duration:</w:t>
      </w:r>
    </w:p>
    <w:p>
      <w:pPr>
        <w:spacing w:after="60"/>
        <w:ind w:left="360"/>
      </w:pPr>
      <w:r>
        <w:rPr>
          <w:rFonts w:ascii="Consolas" w:cs="Consolas" w:eastAsia="Consolas" w:hAnsi="Consolas"/>
          <w:b w:val="false"/>
          <w:bCs w:val="false"/>
          <w:sz w:val="19"/>
          <w:szCs w:val="19"/>
        </w:rPr>
        <w:t xml:space="preserve">τ = tp · (1 − tp/td) / (1 − 2·tp/td)</w:t>
      </w:r>
    </w:p>
    <w:p>
      <w:pPr>
        <w:spacing w:after="60"/>
        <w:ind w:left="360"/>
      </w:pPr>
      <w:r>
        <w:rPr>
          <w:rFonts w:ascii="Consolas" w:cs="Consolas" w:eastAsia="Consolas" w:hAnsi="Consolas"/>
          <w:b w:val="false"/>
          <w:bCs w:val="false"/>
          <w:sz w:val="19"/>
          <w:szCs w:val="19"/>
        </w:rPr>
        <w:t xml:space="preserve">a = 2τ / td</w:t>
      </w:r>
    </w:p>
    <w:p>
      <w:pPr>
        <w:spacing w:after="60"/>
        <w:ind w:left="360"/>
      </w:pPr>
      <w:r>
        <w:rPr>
          <w:rFonts w:ascii="Consolas" w:cs="Consolas" w:eastAsia="Consolas" w:hAnsi="Consolas"/>
          <w:b w:val="false"/>
          <w:bCs w:val="false"/>
          <w:sz w:val="19"/>
          <w:szCs w:val="19"/>
        </w:rPr>
        <w:t xml:space="preserve">S = 1 / (1 − a + (1 + a)·e^(−td/τ))</w:t>
      </w:r>
    </w:p>
    <w:p>
      <w:pPr>
        <w:spacing w:after="160"/>
        <w:ind w:left="360"/>
      </w:pPr>
      <w:r>
        <w:rPr>
          <w:rFonts w:ascii="Consolas" w:cs="Consolas" w:eastAsia="Consolas" w:hAnsi="Consolas"/>
          <w:b w:val="false"/>
          <w:bCs w:val="false"/>
          <w:sz w:val="19"/>
          <w:szCs w:val="19"/>
        </w:rPr>
        <w:t xml:space="preserve">IOB(t) = 1 − S·(1 − a)·((t²/(τ·td·(1−a)) − t/τ − 1)·e^(−t/τ) + 1)</w:t>
      </w:r>
    </w:p>
    <w:p>
      <w:pPr>
        <w:spacing w:after="120" w:line="276"/>
      </w:pPr>
      <w:r>
        <w:rPr>
          <w:b w:val="false"/>
          <w:bCs w:val="false"/>
        </w:rPr>
        <w:t xml:space="preserve">where </w:t>
      </w:r>
      <w:r>
        <w:rPr>
          <w:rFonts w:ascii="Consolas" w:cs="Consolas" w:eastAsia="Consolas" w:hAnsi="Consolas"/>
          <w:b w:val="false"/>
          <w:bCs w:val="false"/>
          <w:sz w:val="19"/>
          <w:szCs w:val="19"/>
        </w:rPr>
        <w:t xml:space="preserve">tp</w:t>
      </w:r>
      <w:r>
        <w:rPr>
          <w:b w:val="false"/>
          <w:bCs w:val="false"/>
        </w:rPr>
        <w:t xml:space="preserve"> is peak time, </w:t>
      </w:r>
      <w:r>
        <w:rPr>
          <w:rFonts w:ascii="Consolas" w:cs="Consolas" w:eastAsia="Consolas" w:hAnsi="Consolas"/>
          <w:b w:val="false"/>
          <w:bCs w:val="false"/>
          <w:sz w:val="19"/>
          <w:szCs w:val="19"/>
        </w:rPr>
        <w:t xml:space="preserve">td</w:t>
      </w:r>
      <w:r>
        <w:rPr>
          <w:b w:val="false"/>
          <w:bCs w:val="false"/>
        </w:rPr>
        <w:t xml:space="preserve"> is duration of action, and </w:t>
      </w:r>
      <w:r>
        <w:rPr>
          <w:rFonts w:ascii="Consolas" w:cs="Consolas" w:eastAsia="Consolas" w:hAnsi="Consolas"/>
          <w:b w:val="false"/>
          <w:bCs w:val="false"/>
          <w:sz w:val="19"/>
          <w:szCs w:val="19"/>
        </w:rPr>
        <w:t xml:space="preserve">t</w:t>
      </w:r>
      <w:r>
        <w:rPr>
          <w:b w:val="false"/>
          <w:bCs w:val="false"/>
        </w:rPr>
        <w:t xml:space="preserve"> is minutes since the dose. </w:t>
      </w:r>
      <w:r>
        <w:rPr>
          <w:rFonts w:ascii="Consolas" w:cs="Consolas" w:eastAsia="Consolas" w:hAnsi="Consolas"/>
          <w:b w:val="false"/>
          <w:bCs w:val="false"/>
          <w:sz w:val="19"/>
          <w:szCs w:val="19"/>
        </w:rPr>
        <w:t xml:space="preserve">IOB(t)</w:t>
      </w:r>
      <w:r>
        <w:rPr>
          <w:b w:val="false"/>
          <w:bCs w:val="false"/>
        </w:rPr>
        <w:t xml:space="preserve"> is the fraction of the dose still active.</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200"/>
        <w:gridCol w:w="1700"/>
        <w:gridCol w:w="1900"/>
        <w:gridCol w:w="2560"/>
      </w:tblGrid>
      <w:tr>
        <w:trPr>
          <w:tblHeader/>
        </w:trPr>
        <w:tc>
          <w:tcPr>
            <w:tcW w:type="dxa" w:w="3200"/>
            <w:shd w:fill="DEEAF6" w:color="auto" w:val="clear"/>
            <w:tcMar>
              <w:top w:type="dxa" w:w="60"/>
              <w:left w:type="dxa" w:w="100"/>
              <w:bottom w:type="dxa" w:w="60"/>
              <w:right w:type="dxa" w:w="100"/>
            </w:tcMar>
          </w:tcPr>
          <w:p>
            <w:pPr>
              <w:spacing w:after="0" w:line="250"/>
            </w:pPr>
            <w:r>
              <w:rPr>
                <w:b/>
                <w:bCs/>
                <w:sz w:val="20"/>
                <w:szCs w:val="20"/>
              </w:rPr>
              <w:t xml:space="preserve">Insulin</w:t>
            </w:r>
          </w:p>
        </w:tc>
        <w:tc>
          <w:tcPr>
            <w:tcW w:type="dxa" w:w="1700"/>
            <w:shd w:fill="DEEAF6" w:color="auto" w:val="clear"/>
            <w:tcMar>
              <w:top w:type="dxa" w:w="60"/>
              <w:left w:type="dxa" w:w="100"/>
              <w:bottom w:type="dxa" w:w="60"/>
              <w:right w:type="dxa" w:w="100"/>
            </w:tcMar>
          </w:tcPr>
          <w:p>
            <w:pPr>
              <w:spacing w:after="0" w:line="250"/>
            </w:pPr>
            <w:r>
              <w:rPr>
                <w:b/>
                <w:bCs/>
                <w:sz w:val="20"/>
                <w:szCs w:val="20"/>
              </w:rPr>
              <w:t xml:space="preserve">Peak (tp)</w:t>
            </w:r>
          </w:p>
        </w:tc>
        <w:tc>
          <w:tcPr>
            <w:tcW w:type="dxa" w:w="1900"/>
            <w:shd w:fill="DEEAF6" w:color="auto" w:val="clear"/>
            <w:tcMar>
              <w:top w:type="dxa" w:w="60"/>
              <w:left w:type="dxa" w:w="100"/>
              <w:bottom w:type="dxa" w:w="60"/>
              <w:right w:type="dxa" w:w="100"/>
            </w:tcMar>
          </w:tcPr>
          <w:p>
            <w:pPr>
              <w:spacing w:after="0" w:line="250"/>
            </w:pPr>
            <w:r>
              <w:rPr>
                <w:b/>
                <w:bCs/>
                <w:sz w:val="20"/>
                <w:szCs w:val="20"/>
              </w:rPr>
              <w:t xml:space="preserve">Duration (td)</w:t>
            </w:r>
          </w:p>
        </w:tc>
        <w:tc>
          <w:tcPr>
            <w:tcW w:type="dxa" w:w="2560"/>
            <w:shd w:fill="DEEAF6" w:color="auto" w:val="clear"/>
            <w:tcMar>
              <w:top w:type="dxa" w:w="60"/>
              <w:left w:type="dxa" w:w="100"/>
              <w:bottom w:type="dxa" w:w="60"/>
              <w:right w:type="dxa" w:w="100"/>
            </w:tcMar>
          </w:tcPr>
          <w:p>
            <w:pPr>
              <w:spacing w:after="0" w:line="250"/>
            </w:pPr>
            <w:r>
              <w:rPr>
                <w:b/>
                <w:bCs/>
                <w:sz w:val="20"/>
                <w:szCs w:val="20"/>
              </w:rPr>
              <w:t xml:space="preserve">Notes</w:t>
            </w:r>
          </w:p>
        </w:tc>
      </w:tr>
      <w:tr>
        <w:tc>
          <w:tcPr>
            <w:tcW w:type="dxa" w:w="3200"/>
            <w:tcMar>
              <w:top w:type="dxa" w:w="60"/>
              <w:left w:type="dxa" w:w="100"/>
              <w:bottom w:type="dxa" w:w="60"/>
              <w:right w:type="dxa" w:w="100"/>
            </w:tcMar>
          </w:tcPr>
          <w:p>
            <w:pPr>
              <w:spacing w:after="0" w:line="250"/>
            </w:pPr>
            <w:r>
              <w:rPr>
                <w:b w:val="false"/>
                <w:bCs w:val="false"/>
                <w:sz w:val="20"/>
                <w:szCs w:val="20"/>
              </w:rPr>
              <w:t xml:space="preserve">Rapid-acting (Humalog, Novolog, Apidra)</w:t>
            </w:r>
          </w:p>
        </w:tc>
        <w:tc>
          <w:tcPr>
            <w:tcW w:type="dxa" w:w="1700"/>
            <w:tcMar>
              <w:top w:type="dxa" w:w="60"/>
              <w:left w:type="dxa" w:w="100"/>
              <w:bottom w:type="dxa" w:w="60"/>
              <w:right w:type="dxa" w:w="100"/>
            </w:tcMar>
          </w:tcPr>
          <w:p>
            <w:pPr>
              <w:spacing w:after="0" w:line="250"/>
            </w:pPr>
            <w:r>
              <w:rPr>
                <w:b w:val="false"/>
                <w:bCs w:val="false"/>
                <w:sz w:val="20"/>
                <w:szCs w:val="20"/>
              </w:rPr>
              <w:t xml:space="preserve">75 min</w:t>
            </w:r>
          </w:p>
        </w:tc>
        <w:tc>
          <w:tcPr>
            <w:tcW w:type="dxa" w:w="1900"/>
            <w:tcMar>
              <w:top w:type="dxa" w:w="60"/>
              <w:left w:type="dxa" w:w="100"/>
              <w:bottom w:type="dxa" w:w="60"/>
              <w:right w:type="dxa" w:w="100"/>
            </w:tcMar>
          </w:tcPr>
          <w:p>
            <w:pPr>
              <w:spacing w:after="0" w:line="250"/>
            </w:pPr>
            <w:r>
              <w:rPr>
                <w:b w:val="false"/>
                <w:bCs w:val="false"/>
                <w:sz w:val="20"/>
                <w:szCs w:val="20"/>
              </w:rPr>
              <w:t xml:space="preserve">360 min</w:t>
            </w:r>
          </w:p>
        </w:tc>
        <w:tc>
          <w:tcPr>
            <w:tcW w:type="dxa" w:w="2560"/>
            <w:tcMar>
              <w:top w:type="dxa" w:w="60"/>
              <w:left w:type="dxa" w:w="100"/>
              <w:bottom w:type="dxa" w:w="60"/>
              <w:right w:type="dxa" w:w="100"/>
            </w:tcMar>
          </w:tcPr>
          <w:p>
            <w:pPr>
              <w:spacing w:after="0" w:line="250"/>
            </w:pPr>
            <w:r>
              <w:rPr>
                <w:b w:val="false"/>
                <w:bCs w:val="false"/>
                <w:sz w:val="20"/>
                <w:szCs w:val="20"/>
              </w:rPr>
              <w:t xml:space="preserve">Default.</w:t>
            </w:r>
          </w:p>
        </w:tc>
      </w:tr>
      <w:tr>
        <w:tc>
          <w:tcPr>
            <w:tcW w:type="dxa" w:w="3200"/>
            <w:shd w:fill="F5F8FC" w:color="auto" w:val="clear"/>
            <w:tcMar>
              <w:top w:type="dxa" w:w="60"/>
              <w:left w:type="dxa" w:w="100"/>
              <w:bottom w:type="dxa" w:w="60"/>
              <w:right w:type="dxa" w:w="100"/>
            </w:tcMar>
          </w:tcPr>
          <w:p>
            <w:pPr>
              <w:spacing w:after="0" w:line="250"/>
            </w:pPr>
            <w:r>
              <w:rPr>
                <w:b w:val="false"/>
                <w:bCs w:val="false"/>
                <w:sz w:val="20"/>
                <w:szCs w:val="20"/>
              </w:rPr>
              <w:t xml:space="preserve">Ultra-rapid (Fiasp, Lyumjev)</w:t>
            </w:r>
          </w:p>
        </w:tc>
        <w:tc>
          <w:tcPr>
            <w:tcW w:type="dxa" w:w="1700"/>
            <w:shd w:fill="F5F8FC" w:color="auto" w:val="clear"/>
            <w:tcMar>
              <w:top w:type="dxa" w:w="60"/>
              <w:left w:type="dxa" w:w="100"/>
              <w:bottom w:type="dxa" w:w="60"/>
              <w:right w:type="dxa" w:w="100"/>
            </w:tcMar>
          </w:tcPr>
          <w:p>
            <w:pPr>
              <w:spacing w:after="0" w:line="250"/>
            </w:pPr>
            <w:r>
              <w:rPr>
                <w:b w:val="false"/>
                <w:bCs w:val="false"/>
                <w:sz w:val="20"/>
                <w:szCs w:val="20"/>
              </w:rPr>
              <w:t xml:space="preserve">55 min</w:t>
            </w:r>
          </w:p>
        </w:tc>
        <w:tc>
          <w:tcPr>
            <w:tcW w:type="dxa" w:w="1900"/>
            <w:shd w:fill="F5F8FC" w:color="auto" w:val="clear"/>
            <w:tcMar>
              <w:top w:type="dxa" w:w="60"/>
              <w:left w:type="dxa" w:w="100"/>
              <w:bottom w:type="dxa" w:w="60"/>
              <w:right w:type="dxa" w:w="100"/>
            </w:tcMar>
          </w:tcPr>
          <w:p>
            <w:pPr>
              <w:spacing w:after="0" w:line="250"/>
            </w:pPr>
            <w:r>
              <w:rPr>
                <w:b w:val="false"/>
                <w:bCs w:val="false"/>
                <w:sz w:val="20"/>
                <w:szCs w:val="20"/>
              </w:rPr>
              <w:t xml:space="preserve">300 min</w:t>
            </w:r>
          </w:p>
        </w:tc>
        <w:tc>
          <w:tcPr>
            <w:tcW w:type="dxa" w:w="2560"/>
            <w:shd w:fill="F5F8FC" w:color="auto" w:val="clear"/>
            <w:tcMar>
              <w:top w:type="dxa" w:w="60"/>
              <w:left w:type="dxa" w:w="100"/>
              <w:bottom w:type="dxa" w:w="60"/>
              <w:right w:type="dxa" w:w="100"/>
            </w:tcMar>
          </w:tcPr>
          <w:p>
            <w:pPr>
              <w:spacing w:after="0" w:line="250"/>
            </w:pPr>
            <w:r>
              <w:rPr>
                <w:b w:val="false"/>
                <w:bCs w:val="false"/>
                <w:sz w:val="20"/>
                <w:szCs w:val="20"/>
              </w:rPr>
              <w:t xml:space="preserve">Faster onset, shorter tail.</w:t>
            </w:r>
          </w:p>
        </w:tc>
      </w:tr>
      <w:tr>
        <w:tc>
          <w:tcPr>
            <w:tcW w:type="dxa" w:w="3200"/>
            <w:tcMar>
              <w:top w:type="dxa" w:w="60"/>
              <w:left w:type="dxa" w:w="100"/>
              <w:bottom w:type="dxa" w:w="60"/>
              <w:right w:type="dxa" w:w="100"/>
            </w:tcMar>
          </w:tcPr>
          <w:p>
            <w:pPr>
              <w:spacing w:after="0" w:line="250"/>
            </w:pPr>
            <w:r>
              <w:rPr>
                <w:b w:val="false"/>
                <w:bCs w:val="false"/>
                <w:sz w:val="20"/>
                <w:szCs w:val="20"/>
              </w:rPr>
              <w:t xml:space="preserve">Long-acting (Tresiba, Lantus, Levemir)</w:t>
            </w:r>
          </w:p>
        </w:tc>
        <w:tc>
          <w:tcPr>
            <w:tcW w:type="dxa" w:w="1700"/>
            <w:tcMar>
              <w:top w:type="dxa" w:w="60"/>
              <w:left w:type="dxa" w:w="100"/>
              <w:bottom w:type="dxa" w:w="60"/>
              <w:right w:type="dxa" w:w="100"/>
            </w:tcMar>
          </w:tcPr>
          <w:p>
            <w:pPr>
              <w:spacing w:after="0" w:line="250"/>
            </w:pPr>
            <w:r>
              <w:rPr>
                <w:b w:val="false"/>
                <w:bCs w:val="false"/>
                <w:sz w:val="20"/>
                <w:szCs w:val="20"/>
              </w:rPr>
              <w:t xml:space="preserve">—</w:t>
            </w:r>
          </w:p>
        </w:tc>
        <w:tc>
          <w:tcPr>
            <w:tcW w:type="dxa" w:w="1900"/>
            <w:tcMar>
              <w:top w:type="dxa" w:w="60"/>
              <w:left w:type="dxa" w:w="100"/>
              <w:bottom w:type="dxa" w:w="60"/>
              <w:right w:type="dxa" w:w="100"/>
            </w:tcMar>
          </w:tcPr>
          <w:p>
            <w:pPr>
              <w:spacing w:after="0" w:line="250"/>
            </w:pPr>
            <w:r>
              <w:rPr>
                <w:b w:val="false"/>
                <w:bCs w:val="false"/>
                <w:sz w:val="20"/>
                <w:szCs w:val="20"/>
              </w:rPr>
              <w:t xml:space="preserve">—</w:t>
            </w:r>
          </w:p>
        </w:tc>
        <w:tc>
          <w:tcPr>
            <w:tcW w:type="dxa" w:w="2560"/>
            <w:tcMar>
              <w:top w:type="dxa" w:w="60"/>
              <w:left w:type="dxa" w:w="100"/>
              <w:bottom w:type="dxa" w:w="60"/>
              <w:right w:type="dxa" w:w="100"/>
            </w:tcMar>
          </w:tcPr>
          <w:p>
            <w:pPr>
              <w:spacing w:after="0" w:line="250"/>
            </w:pPr>
            <w:r>
              <w:rPr>
                <w:b/>
                <w:bCs/>
                <w:sz w:val="20"/>
                <w:szCs w:val="20"/>
              </w:rPr>
              <w:t xml:space="preserve">Excluded from IOB entirely.</w:t>
            </w:r>
            <w:r>
              <w:rPr>
                <w:b w:val="false"/>
                <w:bCs w:val="false"/>
                <w:sz w:val="20"/>
                <w:szCs w:val="20"/>
              </w:rPr>
              <w:t xml:space="preserve"> Logged and displayed separately.</w:t>
            </w:r>
          </w:p>
        </w:tc>
      </w:tr>
    </w:tbl>
    <w:p>
      <w:pPr>
        <w:spacing w:after="100"/>
      </w:pPr>
    </w:p>
    <w:p>
      <w:pPr>
        <w:spacing w:after="120" w:line="276"/>
      </w:pPr>
      <w:r>
        <w:rPr>
          <w:b w:val="false"/>
          <w:bCs w:val="false"/>
        </w:rPr>
        <w:t xml:space="preserve">All parameters are user-editable (§3.1.6). The defaults are a starting point, not a claim about this user's physiology.</w:t>
      </w:r>
    </w:p>
    <w:p>
      <w:pPr>
        <w:spacing w:after="100" w:before="180"/>
      </w:pPr>
      <w:r>
        <w:rPr>
          <w:b/>
          <w:bCs/>
          <w:color w:val="1F4D78"/>
        </w:rPr>
        <w:t xml:space="preserve">COBCalculator</w:t>
      </w:r>
    </w:p>
    <w:p>
      <w:pPr>
        <w:spacing w:after="120" w:line="276"/>
      </w:pPr>
      <w:r>
        <w:rPr>
          <w:b w:val="false"/>
          <w:bCs w:val="false"/>
        </w:rPr>
        <w:t xml:space="preserve">New in v1.2 — v1.1 referenced a “textbook glucose-rise curve scaled by carbs” without defining it. Carbs on board use linear absorption over a user-configured window (default 180 minutes), which is the standard simple model and is transparent enough to explain in one sentence, satisfying §3.2.3's no-black-boxes requirement:</w:t>
      </w:r>
    </w:p>
    <w:p>
      <w:pPr>
        <w:spacing w:after="160"/>
        <w:ind w:left="360"/>
      </w:pPr>
      <w:r>
        <w:rPr>
          <w:rFonts w:ascii="Consolas" w:cs="Consolas" w:eastAsia="Consolas" w:hAnsi="Consolas"/>
          <w:b w:val="false"/>
          <w:bCs w:val="false"/>
          <w:sz w:val="19"/>
          <w:szCs w:val="19"/>
        </w:rPr>
        <w:t xml:space="preserve">COB(t) = carbs · max(0, 1 − t/ta)</w:t>
      </w:r>
    </w:p>
    <w:p>
      <w:pPr>
        <w:spacing w:after="120" w:line="276"/>
      </w:pPr>
      <w:r>
        <w:rPr>
          <w:b w:val="false"/>
          <w:bCs w:val="false"/>
        </w:rPr>
        <w:t xml:space="preserve">where </w:t>
      </w:r>
      <w:r>
        <w:rPr>
          <w:rFonts w:ascii="Consolas" w:cs="Consolas" w:eastAsia="Consolas" w:hAnsi="Consolas"/>
          <w:b w:val="false"/>
          <w:bCs w:val="false"/>
          <w:sz w:val="19"/>
          <w:szCs w:val="19"/>
        </w:rPr>
        <w:t xml:space="preserve">ta</w:t>
      </w:r>
      <w:r>
        <w:rPr>
          <w:b w:val="false"/>
          <w:bCs w:val="false"/>
        </w:rPr>
        <w:t xml:space="preserve"> is the absorption time. Dynamic absorption modelling (as Loop performs) is explicitly out of scope: it requires closed-loop-grade tuning and its failure modes are opaque.</w:t>
      </w:r>
    </w:p>
    <w:p>
      <w:pPr>
        <w:spacing w:after="100" w:before="180"/>
      </w:pPr>
      <w:r>
        <w:rPr>
          <w:b/>
          <w:bCs/>
          <w:color w:val="1F4D78"/>
        </w:rPr>
        <w:t xml:space="preserve">MealResponseEstimator</w:t>
      </w:r>
    </w:p>
    <w:p>
      <w:pPr>
        <w:spacing w:after="120" w:line="276"/>
      </w:pPr>
      <w:r>
        <w:rPr>
          <w:b/>
          <w:bCs/>
        </w:rPr>
        <w:t xml:space="preserve">v1.1 defined this as taking a meal and IOB and returning an expected mg/dL curve. That computation is impossible as specified</w:t>
      </w:r>
      <w:r>
        <w:rPr>
          <w:b w:val="false"/>
          <w:bCs w:val="false"/>
        </w:rPr>
        <w:t xml:space="preserve"> — converting grams of carbohydrate to mg/dL requires an insulin-to-carb ratio, and converting units of insulin to mg/dL requires an insulin sensitivity factor. Neither parameter existed anywhere in v1.1. Both are now required settings (§3.1.6), and the forecast is disabled until they are entered.</w:t>
      </w:r>
    </w:p>
    <w:p>
      <w:pPr>
        <w:spacing w:after="160"/>
        <w:ind w:left="360"/>
      </w:pPr>
      <w:r>
        <w:rPr>
          <w:rFonts w:ascii="Consolas" w:cs="Consolas" w:eastAsia="Consolas" w:hAnsi="Consolas"/>
          <w:b w:val="false"/>
          <w:bCs w:val="false"/>
          <w:sz w:val="19"/>
          <w:szCs w:val="19"/>
        </w:rPr>
        <w:t xml:space="preserve">predicted(t) = current + carbsAbsorbed(t) · (ISF / ICR) − insulinDelivered(t) · ISF · exerciseFactor</w:t>
      </w:r>
    </w:p>
    <w:p>
      <w:pPr>
        <w:pStyle w:val="ListParagraph"/>
        <w:numPr>
          <w:ilvl w:val="0"/>
          <w:numId w:val="2"/>
        </w:numPr>
        <w:spacing w:after="80" w:line="276"/>
      </w:pPr>
      <w:r>
        <w:rPr>
          <w:rFonts w:ascii="Consolas" w:cs="Consolas" w:eastAsia="Consolas" w:hAnsi="Consolas"/>
          <w:b w:val="false"/>
          <w:bCs w:val="false"/>
          <w:sz w:val="19"/>
          <w:szCs w:val="19"/>
        </w:rPr>
        <w:t xml:space="preserve">carbsAbsorbed(t)</w:t>
      </w:r>
      <w:r>
        <w:rPr>
          <w:b w:val="false"/>
          <w:bCs w:val="false"/>
        </w:rPr>
        <w:t xml:space="preserve"> = total carbs − COB(t).</w:t>
      </w:r>
    </w:p>
    <w:p>
      <w:pPr>
        <w:pStyle w:val="ListParagraph"/>
        <w:numPr>
          <w:ilvl w:val="0"/>
          <w:numId w:val="2"/>
        </w:numPr>
        <w:spacing w:after="80" w:line="276"/>
      </w:pPr>
      <w:r>
        <w:rPr>
          <w:rFonts w:ascii="Consolas" w:cs="Consolas" w:eastAsia="Consolas" w:hAnsi="Consolas"/>
          <w:b w:val="false"/>
          <w:bCs w:val="false"/>
          <w:sz w:val="19"/>
          <w:szCs w:val="19"/>
        </w:rPr>
        <w:t xml:space="preserve">insulinDelivered(t)</w:t>
      </w:r>
      <w:r>
        <w:rPr>
          <w:b w:val="false"/>
          <w:bCs w:val="false"/>
        </w:rPr>
        <w:t xml:space="preserve"> = total units − IOB(t), summed across all active bolus doses.</w:t>
      </w:r>
    </w:p>
    <w:p>
      <w:pPr>
        <w:pStyle w:val="ListParagraph"/>
        <w:numPr>
          <w:ilvl w:val="0"/>
          <w:numId w:val="2"/>
        </w:numPr>
        <w:spacing w:after="80" w:line="276"/>
      </w:pPr>
      <w:r>
        <w:rPr>
          <w:rFonts w:ascii="Consolas" w:cs="Consolas" w:eastAsia="Consolas" w:hAnsi="Consolas"/>
          <w:b w:val="false"/>
          <w:bCs w:val="false"/>
          <w:sz w:val="19"/>
          <w:szCs w:val="19"/>
        </w:rPr>
        <w:t xml:space="preserve">exerciseFactor</w:t>
      </w:r>
      <w:r>
        <w:rPr>
          <w:b w:val="false"/>
          <w:bCs w:val="false"/>
        </w:rPr>
        <w:t xml:space="preserve"> is 1.0 at rest, and a documented multiplier (default 1.5, editable) for the duration of a logged exercise event plus a configurable tail. v1.1 logged exercise and never used it.</w:t>
      </w:r>
    </w:p>
    <w:p>
      <w:pPr>
        <w:spacing w:after="100" w:before="180"/>
      </w:pPr>
      <w:r>
        <w:rPr>
          <w:b/>
          <w:bCs/>
          <w:color w:val="1F4D78"/>
        </w:rPr>
        <w:t xml:space="preserve">ShortTermForecaster</w:t>
      </w:r>
    </w:p>
    <w:p>
      <w:pPr>
        <w:pStyle w:val="ListParagraph"/>
        <w:numPr>
          <w:ilvl w:val="0"/>
          <w:numId w:val="2"/>
        </w:numPr>
        <w:spacing w:after="80" w:line="276"/>
      </w:pPr>
      <w:r>
        <w:rPr>
          <w:b w:val="false"/>
          <w:bCs w:val="false"/>
        </w:rPr>
        <w:t xml:space="preserve">Ordinary least-squares fit over the last 30 minutes (typically six samples), producing slope </w:t>
      </w:r>
      <w:r>
        <w:rPr>
          <w:rFonts w:ascii="Consolas" w:cs="Consolas" w:eastAsia="Consolas" w:hAnsi="Consolas"/>
          <w:b w:val="false"/>
          <w:bCs w:val="false"/>
          <w:sz w:val="19"/>
          <w:szCs w:val="19"/>
        </w:rPr>
        <w:t xml:space="preserve">m</w:t>
      </w:r>
      <w:r>
        <w:rPr>
          <w:b w:val="false"/>
          <w:bCs w:val="false"/>
        </w:rPr>
        <w:t xml:space="preserve"> in mg/dL/min.</w:t>
      </w:r>
    </w:p>
    <w:p>
      <w:pPr>
        <w:pStyle w:val="ListParagraph"/>
        <w:numPr>
          <w:ilvl w:val="0"/>
          <w:numId w:val="2"/>
        </w:numPr>
        <w:spacing w:after="80" w:line="276"/>
      </w:pPr>
      <w:r>
        <w:rPr>
          <w:b/>
          <w:bCs/>
        </w:rPr>
        <w:t xml:space="preserve">Clamp</w:t>
      </w:r>
      <w:r>
        <w:rPr>
          <w:b w:val="false"/>
          <w:bCs w:val="false"/>
        </w:rPr>
        <w:t xml:space="preserve"> </w:t>
      </w:r>
      <w:r>
        <w:rPr>
          <w:rFonts w:ascii="Consolas" w:cs="Consolas" w:eastAsia="Consolas" w:hAnsi="Consolas"/>
          <w:b w:val="false"/>
          <w:bCs w:val="false"/>
          <w:sz w:val="19"/>
          <w:szCs w:val="19"/>
        </w:rPr>
        <w:t xml:space="preserve">m</w:t>
      </w:r>
      <w:r>
        <w:rPr>
          <w:b w:val="false"/>
          <w:bCs w:val="false"/>
        </w:rPr>
        <w:t xml:space="preserve"> to ±4.0 mg/dL/min. Outside that range the input is sensor noise, not glucose.</w:t>
      </w:r>
    </w:p>
    <w:p>
      <w:pPr>
        <w:pStyle w:val="ListParagraph"/>
        <w:numPr>
          <w:ilvl w:val="0"/>
          <w:numId w:val="2"/>
        </w:numPr>
        <w:spacing w:after="80" w:line="276"/>
      </w:pPr>
      <w:r>
        <w:rPr>
          <w:b/>
          <w:bCs/>
        </w:rPr>
        <w:t xml:space="preserve">Damped projection:</w:t>
      </w:r>
      <w:r>
        <w:rPr>
          <w:b w:val="false"/>
          <w:bCs w:val="false"/>
        </w:rPr>
        <w:t xml:space="preserve"> </w:t>
      </w:r>
      <w:r>
        <w:rPr>
          <w:rFonts w:ascii="Consolas" w:cs="Consolas" w:eastAsia="Consolas" w:hAnsi="Consolas"/>
          <w:b w:val="false"/>
          <w:bCs w:val="false"/>
          <w:sz w:val="19"/>
          <w:szCs w:val="19"/>
        </w:rPr>
        <w:t xml:space="preserve">v(h) = current + m · τd · (1 − e^(−h/τd))</w:t>
      </w:r>
      <w:r>
        <w:rPr>
          <w:b w:val="false"/>
          <w:bCs w:val="false"/>
        </w:rPr>
        <w:t xml:space="preserve"> with damping constant </w:t>
      </w:r>
      <w:r>
        <w:rPr>
          <w:rFonts w:ascii="Consolas" w:cs="Consolas" w:eastAsia="Consolas" w:hAnsi="Consolas"/>
          <w:b w:val="false"/>
          <w:bCs w:val="false"/>
          <w:sz w:val="19"/>
          <w:szCs w:val="19"/>
        </w:rPr>
        <w:t xml:space="preserve">τd</w:t>
      </w:r>
      <w:r>
        <w:rPr>
          <w:b w:val="false"/>
          <w:bCs w:val="false"/>
        </w:rPr>
        <w:t xml:space="preserve"> = 15 minutes. Undamped linear extrapolation (v1.1) flies straight through post-meal peaks and post-correction nadirs — the two moments when a forecast is actually consulted. Damping makes the projection flatten as the horizon extends, which is both more accurate and more honestly humble.</w:t>
      </w:r>
    </w:p>
    <w:p>
      <w:pPr>
        <w:pStyle w:val="ListParagraph"/>
        <w:numPr>
          <w:ilvl w:val="0"/>
          <w:numId w:val="2"/>
        </w:numPr>
        <w:spacing w:after="80" w:line="276"/>
      </w:pPr>
      <w:r>
        <w:rPr>
          <w:b/>
          <w:bCs/>
        </w:rPr>
        <w:t xml:space="preserve">Confidence band:</w:t>
      </w:r>
      <w:r>
        <w:rPr>
          <w:b w:val="false"/>
          <w:bCs w:val="false"/>
        </w:rPr>
        <w:t xml:space="preserve"> the 10th and 90th percentiles of the app's own realised forecast errors at the same horizon, computed by backtesting over the user's stored history and recomputed weekly. Not ±1 SD of residuals: that assumes stationarity and normality, and glucose forecast residuals are strongly heteroscedastic — errors are far larger when glucose is moving. The empirical band widens automatically in exactly those conditions.</w:t>
      </w:r>
    </w:p>
    <w:p>
      <w:pPr>
        <w:pStyle w:val="ListParagraph"/>
        <w:numPr>
          <w:ilvl w:val="0"/>
          <w:numId w:val="2"/>
        </w:numPr>
        <w:spacing w:after="80" w:line="276"/>
      </w:pPr>
      <w:r>
        <w:rPr>
          <w:b w:val="false"/>
          <w:bCs w:val="false"/>
        </w:rPr>
        <w:t xml:space="preserve">The band is asymmetric by construction, which is correct: the distribution of forecast errors is not symmetric around zero.</w:t>
      </w:r>
    </w:p>
    <w:p>
      <w:pPr>
        <w:spacing w:after="100" w:before="180"/>
      </w:pPr>
      <w:r>
        <w:rPr>
          <w:b/>
          <w:bCs/>
          <w:color w:val="1F4D78"/>
        </w:rPr>
        <w:t xml:space="preserve">Validation</w:t>
      </w:r>
    </w:p>
    <w:p>
      <w:pPr>
        <w:spacing w:after="120" w:line="276"/>
      </w:pPr>
      <w:r>
        <w:rPr>
          <w:b/>
          <w:bCs/>
        </w:rPr>
        <w:t xml:space="preserve">v1.1's acceptance criterion — 15-minute prediction error within ±20 mg/dL, 80% of the time — is passed by a naive baseline that predicts “the same as now.”</w:t>
      </w:r>
      <w:r>
        <w:rPr>
          <w:b w:val="false"/>
          <w:bCs w:val="false"/>
        </w:rPr>
        <w:t xml:space="preserve"> Glucose rarely moves more than 20 mg/dL in 15 minutes, so the criterion demonstrates nothing about whether the model adds value. Replaced with:</w:t>
      </w:r>
    </w:p>
    <w:p>
      <w:pPr>
        <w:pStyle w:val="ListParagraph"/>
        <w:numPr>
          <w:ilvl w:val="0"/>
          <w:numId w:val="2"/>
        </w:numPr>
        <w:spacing w:after="80" w:line="276"/>
      </w:pPr>
      <w:r>
        <w:rPr>
          <w:b/>
          <w:bCs/>
        </w:rPr>
        <w:t xml:space="preserve">Baseline comparison (mandatory).</w:t>
      </w:r>
      <w:r>
        <w:rPr>
          <w:b w:val="false"/>
          <w:bCs w:val="false"/>
        </w:rPr>
        <w:t xml:space="preserve"> Backtest against a persistence baseline on the same data. The model must reduce RMSE by at least 15% at a 15-minute horizon and 20% at 30 minutes. If it does not beat persistence, ship persistence — it is simpler and more honest.</w:t>
      </w:r>
    </w:p>
    <w:p>
      <w:pPr>
        <w:pStyle w:val="ListParagraph"/>
        <w:numPr>
          <w:ilvl w:val="0"/>
          <w:numId w:val="2"/>
        </w:numPr>
        <w:spacing w:after="80" w:line="276"/>
      </w:pPr>
      <w:r>
        <w:rPr>
          <w:b/>
          <w:bCs/>
        </w:rPr>
        <w:t xml:space="preserve">Zone-stratified error.</w:t>
      </w:r>
      <w:r>
        <w:rPr>
          <w:b w:val="false"/>
          <w:bCs w:val="false"/>
        </w:rPr>
        <w:t xml:space="preserve"> Report RMSE and the 90th-percentile absolute error separately for readings below 70, 70–180, and above 180 mg/dL. A 20 mg/dL error at 60 is a materially different event from a 20 mg/dL error at 200, and a single aggregate figure hides exactly the case that matters.</w:t>
      </w:r>
    </w:p>
    <w:p>
      <w:pPr>
        <w:pStyle w:val="ListParagraph"/>
        <w:numPr>
          <w:ilvl w:val="0"/>
          <w:numId w:val="2"/>
        </w:numPr>
        <w:spacing w:after="80" w:line="276"/>
      </w:pPr>
      <w:r>
        <w:rPr>
          <w:b/>
          <w:bCs/>
        </w:rPr>
        <w:t xml:space="preserve">Parkes error grid.</w:t>
      </w:r>
      <w:r>
        <w:rPr>
          <w:b w:val="false"/>
          <w:bCs w:val="false"/>
        </w:rPr>
        <w:t xml:space="preserve"> Plot forecast against actual on a Parkes (consensus) error grid. The pass condition is zero points in zones C, D, or E. This is the clinical-significance check that a raw error threshold cannot provide.</w:t>
      </w:r>
    </w:p>
    <w:p>
      <w:pPr>
        <w:pStyle w:val="ListParagraph"/>
        <w:numPr>
          <w:ilvl w:val="0"/>
          <w:numId w:val="2"/>
        </w:numPr>
        <w:spacing w:after="80" w:line="276"/>
      </w:pPr>
      <w:r>
        <w:rPr>
          <w:b/>
          <w:bCs/>
        </w:rPr>
        <w:t xml:space="preserve">Backtesting harness.</w:t>
      </w:r>
      <w:r>
        <w:rPr>
          <w:b w:val="false"/>
          <w:bCs w:val="false"/>
        </w:rPr>
        <w:t xml:space="preserve"> Replays stored history through the engine with a fixed seed and an injectable clock, so accuracy is a regression test rather than a one-off measurement.</w:t>
      </w:r>
    </w:p>
    <w:p>
      <w:pPr>
        <w:pStyle w:val="ListParagraph"/>
        <w:numPr>
          <w:ilvl w:val="0"/>
          <w:numId w:val="2"/>
        </w:numPr>
        <w:spacing w:after="80" w:line="276"/>
      </w:pPr>
      <w:r>
        <w:rPr>
          <w:b/>
          <w:bCs/>
        </w:rPr>
        <w:t xml:space="preserve">Exclusions.</w:t>
      </w:r>
      <w:r>
        <w:rPr>
          <w:b w:val="false"/>
          <w:bCs w:val="false"/>
        </w:rPr>
        <w:t xml:space="preserve"> Readings flagged as suspected compression lows (§3.2.6) are excluded from error statistics — they are sensor artifacts, and including them makes a correct model look wrong.</w:t>
      </w:r>
    </w:p>
    <w:p>
      <w:pPr>
        <w:pStyle w:val="Heading2"/>
        <w:spacing w:after="140" w:before="280"/>
      </w:pPr>
      <w:r>
        <w:rPr>
          <w:b w:val="false"/>
          <w:bCs w:val="false"/>
        </w:rPr>
        <w:t xml:space="preserve">4.5 Performance &amp; Data Volume</w:t>
      </w:r>
    </w:p>
    <w:p>
      <w:pPr>
        <w:pBdr>
          <w:left w:val="single" w:color="BFD3E6" w:sz="12" w:space="8"/>
        </w:pBdr>
        <w:spacing w:after="160" w:line="260"/>
        <w:ind w:left="180"/>
      </w:pPr>
      <w:r>
        <w:rPr>
          <w:b w:val="false"/>
          <w:bCs w:val="false"/>
          <w:i/>
          <w:iCs/>
          <w:color w:val="595959"/>
          <w:sz w:val="20"/>
          <w:szCs w:val="20"/>
        </w:rPr>
        <w:t xml:space="preserve">New in v1.2. v1.1 specified 90-day windows without addressing what that means for the chart or the query layer.</w:t>
      </w:r>
    </w:p>
    <w:p>
      <w:pPr>
        <w:pStyle w:val="ListParagraph"/>
        <w:numPr>
          <w:ilvl w:val="0"/>
          <w:numId w:val="2"/>
        </w:numPr>
        <w:spacing w:after="80" w:line="276"/>
      </w:pPr>
      <w:r>
        <w:rPr>
          <w:b/>
          <w:bCs/>
        </w:rPr>
        <w:t xml:space="preserve">Volume.</w:t>
      </w:r>
      <w:r>
        <w:rPr>
          <w:b w:val="false"/>
          <w:bCs w:val="false"/>
        </w:rPr>
        <w:t xml:space="preserve"> 5-minute cadence is 288 readings/day, ~2,016 per week, ~8,640 per month, ~25,920 per 90-day window, ~105,000 per year.</w:t>
      </w:r>
    </w:p>
    <w:p>
      <w:pPr>
        <w:pStyle w:val="ListParagraph"/>
        <w:numPr>
          <w:ilvl w:val="0"/>
          <w:numId w:val="2"/>
        </w:numPr>
        <w:spacing w:after="80" w:line="276"/>
      </w:pPr>
      <w:r>
        <w:rPr>
          <w:b/>
          <w:bCs/>
        </w:rPr>
        <w:t xml:space="preserve">Downsample above ~2,000 points.</w:t>
      </w:r>
      <w:r>
        <w:rPr>
          <w:b w:val="false"/>
          <w:bCs w:val="false"/>
        </w:rPr>
        <w:t xml:space="preserve"> Handing Swift Charts 26,000 points produces visible stutter on scroll and zoom. Windows over 24 hours render from bucketed means (15-minute buckets for 7d, hourly for 30d and 90d) computed from </w:t>
      </w:r>
      <w:r>
        <w:rPr>
          <w:rFonts w:ascii="Consolas" w:cs="Consolas" w:eastAsia="Consolas" w:hAnsi="Consolas"/>
          <w:b w:val="false"/>
          <w:bCs w:val="false"/>
          <w:sz w:val="19"/>
          <w:szCs w:val="19"/>
        </w:rPr>
        <w:t xml:space="preserve">DailyAggregate</w:t>
      </w:r>
      <w:r>
        <w:rPr>
          <w:b w:val="false"/>
          <w:bCs w:val="false"/>
        </w:rPr>
        <w:t xml:space="preserve"> rather than from raw rows. Min/max per bucket is retained so excursions are not smoothed away — a chart that hides a hypo because of downsampling is worse than no chart.</w:t>
      </w:r>
    </w:p>
    <w:p>
      <w:pPr>
        <w:pStyle w:val="ListParagraph"/>
        <w:numPr>
          <w:ilvl w:val="0"/>
          <w:numId w:val="2"/>
        </w:numPr>
        <w:spacing w:after="80" w:line="276"/>
      </w:pPr>
      <w:r>
        <w:rPr>
          <w:b/>
          <w:bCs/>
        </w:rPr>
        <w:t xml:space="preserve">Never bind a </w:t>
      </w:r>
      <w:r>
        <w:rPr>
          <w:rFonts w:ascii="Consolas" w:cs="Consolas" w:eastAsia="Consolas" w:hAnsi="Consolas"/>
          <w:b/>
          <w:bCs/>
          <w:sz w:val="19"/>
          <w:szCs w:val="19"/>
        </w:rPr>
        <w:t xml:space="preserve">@Query</w:t>
      </w:r>
      <w:r>
        <w:rPr>
          <w:b/>
          <w:bCs/>
        </w:rPr>
        <w:t xml:space="preserve"> to an unbounded reading set.</w:t>
      </w:r>
      <w:r>
        <w:rPr>
          <w:b w:val="false"/>
          <w:bCs w:val="false"/>
        </w:rPr>
        <w:t xml:space="preserve"> Every view fetches an explicit, bounded predicate. A </w:t>
      </w:r>
      <w:r>
        <w:rPr>
          <w:rFonts w:ascii="Consolas" w:cs="Consolas" w:eastAsia="Consolas" w:hAnsi="Consolas"/>
          <w:b w:val="false"/>
          <w:bCs w:val="false"/>
          <w:sz w:val="19"/>
          <w:szCs w:val="19"/>
        </w:rPr>
        <w:t xml:space="preserve">@Query</w:t>
      </w:r>
      <w:r>
        <w:rPr>
          <w:b w:val="false"/>
          <w:bCs w:val="false"/>
        </w:rPr>
        <w:t xml:space="preserve"> over all readings materialises the entire store into a SwiftUI view body.</w:t>
      </w:r>
    </w:p>
    <w:p>
      <w:pPr>
        <w:pStyle w:val="ListParagraph"/>
        <w:numPr>
          <w:ilvl w:val="0"/>
          <w:numId w:val="2"/>
        </w:numPr>
        <w:spacing w:after="80" w:line="276"/>
      </w:pPr>
      <w:r>
        <w:rPr>
          <w:b/>
          <w:bCs/>
        </w:rPr>
        <w:t xml:space="preserve">Aggregates are computed once, nightly</w:t>
      </w:r>
      <w:r>
        <w:rPr>
          <w:b w:val="false"/>
          <w:bCs w:val="false"/>
        </w:rPr>
        <w:t xml:space="preserve">, on the </w:t>
      </w:r>
      <w:r>
        <w:rPr>
          <w:rFonts w:ascii="Consolas" w:cs="Consolas" w:eastAsia="Consolas" w:hAnsi="Consolas"/>
          <w:b w:val="false"/>
          <w:bCs w:val="false"/>
          <w:sz w:val="19"/>
          <w:szCs w:val="19"/>
        </w:rPr>
        <w:t xml:space="preserve">BGAppRefreshTask</w:t>
      </w:r>
      <w:r>
        <w:rPr>
          <w:b w:val="false"/>
          <w:bCs w:val="false"/>
        </w:rPr>
        <w:t xml:space="preserve"> janitor pass (§4.2.1), and incrementally on write for the current day.</w:t>
      </w:r>
    </w:p>
    <w:p>
      <w:pPr>
        <w:pStyle w:val="ListParagraph"/>
        <w:numPr>
          <w:ilvl w:val="0"/>
          <w:numId w:val="2"/>
        </w:numPr>
        <w:spacing w:after="80" w:line="276"/>
      </w:pPr>
      <w:r>
        <w:rPr>
          <w:b/>
          <w:bCs/>
        </w:rPr>
        <w:t xml:space="preserve">AGP percentile bands</w:t>
      </w:r>
      <w:r>
        <w:rPr>
          <w:b w:val="false"/>
          <w:bCs w:val="false"/>
        </w:rPr>
        <w:t xml:space="preserve"> (§3.1.5) are computed from bucketed data, not raw readings — a 90-day AGP over raw rows is a sort of 26,000 elements per bin on every render.</w:t>
      </w:r>
    </w:p>
    <w:p>
      <w:pPr>
        <w:spacing w:after="100" w:before="180"/>
      </w:pPr>
      <w:r>
        <w:rPr>
          <w:b/>
          <w:bCs/>
          <w:color w:val="1F4D78"/>
        </w:rPr>
        <w:t xml:space="preserve">Replay &amp; simulator mode</w:t>
      </w:r>
    </w:p>
    <w:p>
      <w:pPr>
        <w:spacing w:after="120" w:line="276"/>
      </w:pPr>
      <w:r>
        <w:rPr>
          <w:b w:val="false"/>
          <w:bCs w:val="false"/>
        </w:rPr>
        <w:t xml:space="preserve">A synthetic data generator plus a library of recorded Share responses (including malformed ones), selectable from the diagnostics screen. This is needed to develop during sensor warmup, to build the UI without a live sensor, and — critically — to make §7 Phase 2's exit criterion (“survives 24h with simulated source failures”) an automated test rather than a vigil.</w:t>
      </w:r>
    </w:p>
    <w:p>
      <w:pPr>
        <w:pStyle w:val="Heading2"/>
        <w:spacing w:after="140" w:before="280"/>
      </w:pPr>
      <w:r>
        <w:rPr>
          <w:b w:val="false"/>
          <w:bCs w:val="false"/>
        </w:rPr>
        <w:t xml:space="preserve">4.6 Project Structure</w:t>
      </w:r>
    </w:p>
    <w:p>
      <w:pPr>
        <w:pStyle w:val="ListParagraph"/>
        <w:numPr>
          <w:ilvl w:val="0"/>
          <w:numId w:val="2"/>
        </w:numPr>
        <w:spacing w:after="80" w:line="276"/>
      </w:pPr>
      <w:r>
        <w:rPr>
          <w:rFonts w:ascii="Consolas" w:cs="Consolas" w:eastAsia="Consolas" w:hAnsi="Consolas"/>
          <w:b w:val="false"/>
          <w:bCs w:val="false"/>
          <w:sz w:val="19"/>
          <w:szCs w:val="19"/>
        </w:rPr>
        <w:t xml:space="preserve">GlucoNoir/</w:t>
      </w:r>
      <w:r>
        <w:rPr>
          <w:b w:val="false"/>
          <w:bCs w:val="false"/>
        </w:rPr>
        <w:t xml:space="preserve"> — app target.</w:t>
      </w:r>
    </w:p>
    <w:p>
      <w:pPr>
        <w:pStyle w:val="ListParagraph"/>
        <w:numPr>
          <w:ilvl w:val="0"/>
          <w:numId w:val="2"/>
        </w:numPr>
        <w:spacing w:after="80" w:line="276"/>
      </w:pPr>
      <w:r>
        <w:rPr>
          <w:rFonts w:ascii="Consolas" w:cs="Consolas" w:eastAsia="Consolas" w:hAnsi="Consolas"/>
          <w:b w:val="false"/>
          <w:bCs w:val="false"/>
          <w:sz w:val="19"/>
          <w:szCs w:val="19"/>
        </w:rPr>
        <w:t xml:space="preserve">GlucoNoirCore/</w:t>
      </w:r>
      <w:r>
        <w:rPr>
          <w:b w:val="false"/>
          <w:bCs w:val="false"/>
        </w:rPr>
        <w:t xml:space="preserve"> (Swift Package) — models, persistence actor, prediction engine, source actors, coordinator.</w:t>
      </w:r>
    </w:p>
    <w:p>
      <w:pPr>
        <w:pStyle w:val="ListParagraph"/>
        <w:numPr>
          <w:ilvl w:val="0"/>
          <w:numId w:val="2"/>
        </w:numPr>
        <w:spacing w:after="80" w:line="276"/>
      </w:pPr>
      <w:r>
        <w:rPr>
          <w:rFonts w:ascii="Consolas" w:cs="Consolas" w:eastAsia="Consolas" w:hAnsi="Consolas"/>
          <w:b w:val="false"/>
          <w:bCs w:val="false"/>
          <w:sz w:val="19"/>
          <w:szCs w:val="19"/>
        </w:rPr>
        <w:t xml:space="preserve">G7SensorKit</w:t>
      </w:r>
      <w:r>
        <w:rPr>
          <w:b w:val="false"/>
          <w:bCs w:val="false"/>
        </w:rPr>
        <w:t xml:space="preserve"> — external Swift package dependency (LoopKit, MIT). Pinned to a specific commit, not a floating branch: it tracks a reverse-engineered protocol and an unreviewed update could break the live data path silently.</w:t>
      </w:r>
    </w:p>
    <w:p>
      <w:pPr>
        <w:pStyle w:val="ListParagraph"/>
        <w:numPr>
          <w:ilvl w:val="0"/>
          <w:numId w:val="2"/>
        </w:numPr>
        <w:spacing w:after="80" w:line="276"/>
      </w:pPr>
      <w:r>
        <w:rPr>
          <w:rFonts w:ascii="Consolas" w:cs="Consolas" w:eastAsia="Consolas" w:hAnsi="Consolas"/>
          <w:b w:val="false"/>
          <w:bCs w:val="false"/>
          <w:sz w:val="19"/>
          <w:szCs w:val="19"/>
        </w:rPr>
        <w:t xml:space="preserve">GlucoNoirUI/</w:t>
      </w:r>
      <w:r>
        <w:rPr>
          <w:b w:val="false"/>
          <w:bCs w:val="false"/>
        </w:rPr>
        <w:t xml:space="preserve"> (Swift Package) — theme system, reusable views, charts.</w:t>
      </w:r>
    </w:p>
    <w:p>
      <w:pPr>
        <w:pStyle w:val="ListParagraph"/>
        <w:numPr>
          <w:ilvl w:val="0"/>
          <w:numId w:val="2"/>
        </w:numPr>
        <w:spacing w:after="80" w:line="276"/>
      </w:pPr>
      <w:r>
        <w:rPr>
          <w:rFonts w:ascii="Consolas" w:cs="Consolas" w:eastAsia="Consolas" w:hAnsi="Consolas"/>
          <w:b w:val="false"/>
          <w:bCs w:val="false"/>
          <w:sz w:val="19"/>
          <w:szCs w:val="19"/>
        </w:rPr>
        <w:t xml:space="preserve">GlucoNoirWidgets/</w:t>
      </w:r>
      <w:r>
        <w:rPr>
          <w:b w:val="false"/>
          <w:bCs w:val="false"/>
        </w:rPr>
        <w:t xml:space="preserve"> — widget extension and Live Activity (</w:t>
      </w:r>
      <w:r>
        <w:rPr>
          <w:b/>
          <w:bCs/>
        </w:rPr>
        <w:t xml:space="preserve">Phase 9, requires paid membership</w:t>
      </w:r>
      <w:r>
        <w:rPr>
          <w:b w:val="false"/>
          <w:bCs w:val="false"/>
        </w:rPr>
        <w:t xml:space="preserve">).</w:t>
      </w:r>
    </w:p>
    <w:p>
      <w:pPr>
        <w:pStyle w:val="ListParagraph"/>
        <w:numPr>
          <w:ilvl w:val="0"/>
          <w:numId w:val="2"/>
        </w:numPr>
        <w:spacing w:after="80" w:line="276"/>
      </w:pPr>
      <w:r>
        <w:rPr>
          <w:rFonts w:ascii="Consolas" w:cs="Consolas" w:eastAsia="Consolas" w:hAnsi="Consolas"/>
          <w:b w:val="false"/>
          <w:bCs w:val="false"/>
          <w:sz w:val="19"/>
          <w:szCs w:val="19"/>
        </w:rPr>
        <w:t xml:space="preserve">GlucoNoirWatch/</w:t>
      </w:r>
      <w:r>
        <w:rPr>
          <w:b w:val="false"/>
          <w:bCs w:val="false"/>
        </w:rPr>
        <w:t xml:space="preserve"> — watchOS complication (</w:t>
      </w:r>
      <w:r>
        <w:rPr>
          <w:b/>
          <w:bCs/>
        </w:rPr>
        <w:t xml:space="preserve">Phase 9</w:t>
      </w:r>
      <w:r>
        <w:rPr>
          <w:b w:val="false"/>
          <w:bCs w:val="false"/>
        </w:rPr>
        <w:t xml:space="preserve">).</w:t>
      </w:r>
    </w:p>
    <w:p>
      <w:pPr>
        <w:pStyle w:val="ListParagraph"/>
        <w:numPr>
          <w:ilvl w:val="0"/>
          <w:numId w:val="2"/>
        </w:numPr>
        <w:spacing w:after="80" w:line="276"/>
      </w:pPr>
      <w:r>
        <w:rPr>
          <w:rFonts w:ascii="Consolas" w:cs="Consolas" w:eastAsia="Consolas" w:hAnsi="Consolas"/>
          <w:b w:val="false"/>
          <w:bCs w:val="false"/>
          <w:sz w:val="19"/>
          <w:szCs w:val="19"/>
        </w:rPr>
        <w:t xml:space="preserve">GlucoNoirIntents/</w:t>
      </w:r>
      <w:r>
        <w:rPr>
          <w:b w:val="false"/>
          <w:bCs w:val="false"/>
        </w:rPr>
        <w:t xml:space="preserve"> — App Intents extension (</w:t>
      </w:r>
      <w:r>
        <w:rPr>
          <w:b/>
          <w:bCs/>
        </w:rPr>
        <w:t xml:space="preserve">Phase 9</w:t>
      </w:r>
      <w:r>
        <w:rPr>
          <w:b w:val="false"/>
          <w:bCs w:val="false"/>
        </w:rPr>
        <w:t xml:space="preserve">).</w:t>
      </w:r>
    </w:p>
    <w:p>
      <w:pPr>
        <w:pStyle w:val="ListParagraph"/>
        <w:numPr>
          <w:ilvl w:val="0"/>
          <w:numId w:val="2"/>
        </w:numPr>
        <w:spacing w:after="80" w:line="276"/>
      </w:pPr>
      <w:r>
        <w:rPr>
          <w:rFonts w:ascii="Consolas" w:cs="Consolas" w:eastAsia="Consolas" w:hAnsi="Consolas"/>
          <w:b w:val="false"/>
          <w:bCs w:val="false"/>
          <w:sz w:val="19"/>
          <w:szCs w:val="19"/>
        </w:rPr>
        <w:t xml:space="preserve">Tests/</w:t>
      </w:r>
      <w:r>
        <w:rPr>
          <w:b w:val="false"/>
          <w:bCs w:val="false"/>
        </w:rPr>
        <w:t xml:space="preserve"> — test targets per package, including the backtesting harness and recorded BLE message fixtures.</w:t>
      </w:r>
    </w:p>
    <w:p>
      <w:pPr>
        <w:pBdr>
          <w:left w:val="single" w:color="BFD3E6" w:sz="12" w:space="8"/>
        </w:pBdr>
        <w:spacing w:after="160" w:line="260"/>
        <w:ind w:left="180"/>
      </w:pPr>
      <w:r>
        <w:rPr>
          <w:b w:val="false"/>
          <w:bCs w:val="false"/>
          <w:i/>
          <w:iCs/>
          <w:color w:val="595959"/>
          <w:sz w:val="20"/>
          <w:szCs w:val="20"/>
        </w:rPr>
        <w:t xml:space="preserve">Changed in v1.3: the App Group is no longer a Phase 0 requirement, because free-team signing cannot create one (§6.1). The SwiftData store path is therefore abstracted behind a single accessor from day one, so moving it into a shared container at Phase 9 is a one-line change plus a migration, not a refactor.</w:t>
      </w:r>
    </w:p>
    <w:p>
      <w:pPr>
        <w:pStyle w:val="Heading1"/>
        <w:spacing w:after="160" w:before="360"/>
      </w:pPr>
      <w:r>
        <w:rPr>
          <w:b w:val="false"/>
          <w:bCs w:val="false"/>
        </w:rPr>
        <w:t xml:space="preserve">5. Design System</w:t>
      </w:r>
    </w:p>
    <w:p>
      <w:pPr>
        <w:pStyle w:val="Heading2"/>
        <w:spacing w:after="140" w:before="280"/>
      </w:pPr>
      <w:r>
        <w:rPr>
          <w:b w:val="false"/>
          <w:bCs w:val="false"/>
        </w:rPr>
        <w:t xml:space="preserve">5.1 Color Tokens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800"/>
        <w:gridCol w:w="1500"/>
        <w:gridCol w:w="1500"/>
        <w:gridCol w:w="1400"/>
        <w:gridCol w:w="3160"/>
      </w:tblGrid>
      <w:tr>
        <w:trPr>
          <w:tblHeader/>
        </w:trPr>
        <w:tc>
          <w:tcPr>
            <w:tcW w:type="dxa" w:w="1800"/>
            <w:shd w:fill="DEEAF6" w:color="auto" w:val="clear"/>
            <w:tcMar>
              <w:top w:type="dxa" w:w="60"/>
              <w:left w:type="dxa" w:w="100"/>
              <w:bottom w:type="dxa" w:w="60"/>
              <w:right w:type="dxa" w:w="100"/>
            </w:tcMar>
          </w:tcPr>
          <w:p>
            <w:pPr>
              <w:spacing w:after="0" w:line="250"/>
            </w:pPr>
            <w:r>
              <w:rPr>
                <w:b/>
                <w:bCs/>
                <w:sz w:val="20"/>
                <w:szCs w:val="20"/>
              </w:rPr>
              <w:t xml:space="preserve">Token</w:t>
            </w:r>
          </w:p>
        </w:tc>
        <w:tc>
          <w:tcPr>
            <w:tcW w:type="dxa" w:w="1500"/>
            <w:shd w:fill="DEEAF6" w:color="auto" w:val="clear"/>
            <w:tcMar>
              <w:top w:type="dxa" w:w="60"/>
              <w:left w:type="dxa" w:w="100"/>
              <w:bottom w:type="dxa" w:w="60"/>
              <w:right w:type="dxa" w:w="100"/>
            </w:tcMar>
          </w:tcPr>
          <w:p>
            <w:pPr>
              <w:spacing w:after="0" w:line="250"/>
            </w:pPr>
            <w:r>
              <w:rPr>
                <w:b/>
                <w:bCs/>
                <w:sz w:val="20"/>
                <w:szCs w:val="20"/>
              </w:rPr>
              <w:t xml:space="preserve">True Black</w:t>
            </w:r>
          </w:p>
        </w:tc>
        <w:tc>
          <w:tcPr>
            <w:tcW w:type="dxa" w:w="1500"/>
            <w:shd w:fill="DEEAF6" w:color="auto" w:val="clear"/>
            <w:tcMar>
              <w:top w:type="dxa" w:w="60"/>
              <w:left w:type="dxa" w:w="100"/>
              <w:bottom w:type="dxa" w:w="60"/>
              <w:right w:type="dxa" w:w="100"/>
            </w:tcMar>
          </w:tcPr>
          <w:p>
            <w:pPr>
              <w:spacing w:after="0" w:line="250"/>
            </w:pPr>
            <w:r>
              <w:rPr>
                <w:b/>
                <w:bCs/>
                <w:sz w:val="20"/>
                <w:szCs w:val="20"/>
              </w:rPr>
              <w:t xml:space="preserve">Soft Dark</w:t>
            </w:r>
          </w:p>
        </w:tc>
        <w:tc>
          <w:tcPr>
            <w:tcW w:type="dxa" w:w="1400"/>
            <w:shd w:fill="DEEAF6" w:color="auto" w:val="clear"/>
            <w:tcMar>
              <w:top w:type="dxa" w:w="60"/>
              <w:left w:type="dxa" w:w="100"/>
              <w:bottom w:type="dxa" w:w="60"/>
              <w:right w:type="dxa" w:w="100"/>
            </w:tcMar>
          </w:tcPr>
          <w:p>
            <w:pPr>
              <w:spacing w:after="0" w:line="250"/>
            </w:pPr>
            <w:r>
              <w:rPr>
                <w:b/>
                <w:bCs/>
                <w:sz w:val="20"/>
                <w:szCs w:val="20"/>
              </w:rPr>
              <w:t xml:space="preserve">Light</w:t>
            </w:r>
          </w:p>
        </w:tc>
        <w:tc>
          <w:tcPr>
            <w:tcW w:type="dxa" w:w="3160"/>
            <w:shd w:fill="DEEAF6" w:color="auto" w:val="clear"/>
            <w:tcMar>
              <w:top w:type="dxa" w:w="60"/>
              <w:left w:type="dxa" w:w="100"/>
              <w:bottom w:type="dxa" w:w="60"/>
              <w:right w:type="dxa" w:w="100"/>
            </w:tcMar>
          </w:tcPr>
          <w:p>
            <w:pPr>
              <w:spacing w:after="0" w:line="250"/>
            </w:pPr>
            <w:r>
              <w:rPr>
                <w:b/>
                <w:bCs/>
                <w:sz w:val="20"/>
                <w:szCs w:val="20"/>
              </w:rPr>
              <w:t xml:space="preserve">Use</w:t>
            </w:r>
          </w:p>
        </w:tc>
      </w:tr>
      <w:tr>
        <w:tc>
          <w:tcPr>
            <w:tcW w:type="dxa" w:w="1800"/>
            <w:tcMar>
              <w:top w:type="dxa" w:w="60"/>
              <w:left w:type="dxa" w:w="100"/>
              <w:bottom w:type="dxa" w:w="60"/>
              <w:right w:type="dxa" w:w="100"/>
            </w:tcMar>
          </w:tcPr>
          <w:p>
            <w:pPr>
              <w:spacing w:after="0" w:line="250"/>
            </w:pPr>
            <w:r>
              <w:rPr>
                <w:b w:val="false"/>
                <w:bCs w:val="false"/>
                <w:sz w:val="20"/>
                <w:szCs w:val="20"/>
              </w:rPr>
              <w:t xml:space="preserve">bg.primary</w:t>
            </w:r>
          </w:p>
        </w:tc>
        <w:tc>
          <w:tcPr>
            <w:tcW w:type="dxa" w:w="1500"/>
            <w:tcMar>
              <w:top w:type="dxa" w:w="60"/>
              <w:left w:type="dxa" w:w="100"/>
              <w:bottom w:type="dxa" w:w="60"/>
              <w:right w:type="dxa" w:w="100"/>
            </w:tcMar>
          </w:tcPr>
          <w:p>
            <w:pPr>
              <w:spacing w:after="0" w:line="250"/>
            </w:pPr>
            <w:r>
              <w:rPr>
                <w:b w:val="false"/>
                <w:bCs w:val="false"/>
                <w:sz w:val="20"/>
                <w:szCs w:val="20"/>
              </w:rPr>
              <w:t xml:space="preserve">#000000</w:t>
            </w:r>
          </w:p>
        </w:tc>
        <w:tc>
          <w:tcPr>
            <w:tcW w:type="dxa" w:w="1500"/>
            <w:tcMar>
              <w:top w:type="dxa" w:w="60"/>
              <w:left w:type="dxa" w:w="100"/>
              <w:bottom w:type="dxa" w:w="60"/>
              <w:right w:type="dxa" w:w="100"/>
            </w:tcMar>
          </w:tcPr>
          <w:p>
            <w:pPr>
              <w:spacing w:after="0" w:line="250"/>
            </w:pPr>
            <w:r>
              <w:rPr>
                <w:b w:val="false"/>
                <w:bCs w:val="false"/>
                <w:sz w:val="20"/>
                <w:szCs w:val="20"/>
              </w:rPr>
              <w:t xml:space="preserve">#1C1C1E</w:t>
            </w:r>
          </w:p>
        </w:tc>
        <w:tc>
          <w:tcPr>
            <w:tcW w:type="dxa" w:w="1400"/>
            <w:tcMar>
              <w:top w:type="dxa" w:w="60"/>
              <w:left w:type="dxa" w:w="100"/>
              <w:bottom w:type="dxa" w:w="60"/>
              <w:right w:type="dxa" w:w="100"/>
            </w:tcMar>
          </w:tcPr>
          <w:p>
            <w:pPr>
              <w:spacing w:after="0" w:line="250"/>
            </w:pPr>
            <w:r>
              <w:rPr>
                <w:b w:val="false"/>
                <w:bCs w:val="false"/>
                <w:sz w:val="20"/>
                <w:szCs w:val="20"/>
              </w:rPr>
              <w:t xml:space="preserve">#FFFFFF</w:t>
            </w:r>
          </w:p>
        </w:tc>
        <w:tc>
          <w:tcPr>
            <w:tcW w:type="dxa" w:w="3160"/>
            <w:tcMar>
              <w:top w:type="dxa" w:w="60"/>
              <w:left w:type="dxa" w:w="100"/>
              <w:bottom w:type="dxa" w:w="60"/>
              <w:right w:type="dxa" w:w="100"/>
            </w:tcMar>
          </w:tcPr>
          <w:p>
            <w:pPr>
              <w:spacing w:after="0" w:line="250"/>
            </w:pPr>
            <w:r>
              <w:rPr>
                <w:b w:val="false"/>
                <w:bCs w:val="false"/>
                <w:sz w:val="20"/>
                <w:szCs w:val="20"/>
              </w:rPr>
              <w:t xml:space="preserve">Screen background</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bg.secondary</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#0A0A0A</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#2C2C2E</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#F2F2F7</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Cards, sheets</w:t>
            </w:r>
          </w:p>
        </w:tc>
      </w:tr>
      <w:tr>
        <w:tc>
          <w:tcPr>
            <w:tcW w:type="dxa" w:w="1800"/>
            <w:tcMar>
              <w:top w:type="dxa" w:w="60"/>
              <w:left w:type="dxa" w:w="100"/>
              <w:bottom w:type="dxa" w:w="60"/>
              <w:right w:type="dxa" w:w="100"/>
            </w:tcMar>
          </w:tcPr>
          <w:p>
            <w:pPr>
              <w:spacing w:after="0" w:line="250"/>
            </w:pPr>
            <w:r>
              <w:rPr>
                <w:b w:val="false"/>
                <w:bCs w:val="false"/>
                <w:sz w:val="20"/>
                <w:szCs w:val="20"/>
              </w:rPr>
              <w:t xml:space="preserve">text.primary</w:t>
            </w:r>
          </w:p>
        </w:tc>
        <w:tc>
          <w:tcPr>
            <w:tcW w:type="dxa" w:w="1500"/>
            <w:tcMar>
              <w:top w:type="dxa" w:w="60"/>
              <w:left w:type="dxa" w:w="100"/>
              <w:bottom w:type="dxa" w:w="60"/>
              <w:right w:type="dxa" w:w="100"/>
            </w:tcMar>
          </w:tcPr>
          <w:p>
            <w:pPr>
              <w:spacing w:after="0" w:line="250"/>
            </w:pPr>
            <w:r>
              <w:rPr>
                <w:b w:val="false"/>
                <w:bCs w:val="false"/>
                <w:sz w:val="20"/>
                <w:szCs w:val="20"/>
              </w:rPr>
              <w:t xml:space="preserve">#FFFFFF</w:t>
            </w:r>
          </w:p>
        </w:tc>
        <w:tc>
          <w:tcPr>
            <w:tcW w:type="dxa" w:w="1500"/>
            <w:tcMar>
              <w:top w:type="dxa" w:w="60"/>
              <w:left w:type="dxa" w:w="100"/>
              <w:bottom w:type="dxa" w:w="60"/>
              <w:right w:type="dxa" w:w="100"/>
            </w:tcMar>
          </w:tcPr>
          <w:p>
            <w:pPr>
              <w:spacing w:after="0" w:line="250"/>
            </w:pPr>
            <w:r>
              <w:rPr>
                <w:b w:val="false"/>
                <w:bCs w:val="false"/>
                <w:sz w:val="20"/>
                <w:szCs w:val="20"/>
              </w:rPr>
              <w:t xml:space="preserve">#FFFFFF</w:t>
            </w:r>
          </w:p>
        </w:tc>
        <w:tc>
          <w:tcPr>
            <w:tcW w:type="dxa" w:w="1400"/>
            <w:tcMar>
              <w:top w:type="dxa" w:w="60"/>
              <w:left w:type="dxa" w:w="100"/>
              <w:bottom w:type="dxa" w:w="60"/>
              <w:right w:type="dxa" w:w="100"/>
            </w:tcMar>
          </w:tcPr>
          <w:p>
            <w:pPr>
              <w:spacing w:after="0" w:line="250"/>
            </w:pPr>
            <w:r>
              <w:rPr>
                <w:b w:val="false"/>
                <w:bCs w:val="false"/>
                <w:sz w:val="20"/>
                <w:szCs w:val="20"/>
              </w:rPr>
              <w:t xml:space="preserve">#000000</w:t>
            </w:r>
          </w:p>
        </w:tc>
        <w:tc>
          <w:tcPr>
            <w:tcW w:type="dxa" w:w="3160"/>
            <w:tcMar>
              <w:top w:type="dxa" w:w="60"/>
              <w:left w:type="dxa" w:w="100"/>
              <w:bottom w:type="dxa" w:w="60"/>
              <w:right w:type="dxa" w:w="100"/>
            </w:tcMar>
          </w:tcPr>
          <w:p>
            <w:pPr>
              <w:spacing w:after="0" w:line="250"/>
            </w:pPr>
            <w:r>
              <w:rPr>
                <w:b w:val="false"/>
                <w:bCs w:val="false"/>
                <w:sz w:val="20"/>
                <w:szCs w:val="20"/>
              </w:rPr>
              <w:t xml:space="preserve">Headings, hero number</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text.secondary</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#8E8E93</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#8E8E93</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#3C3C43</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Labels, non-critical captions</w:t>
            </w:r>
          </w:p>
        </w:tc>
      </w:tr>
      <w:tr>
        <w:tc>
          <w:tcPr>
            <w:tcW w:type="dxa" w:w="1800"/>
            <w:tcMar>
              <w:top w:type="dxa" w:w="60"/>
              <w:left w:type="dxa" w:w="100"/>
              <w:bottom w:type="dxa" w:w="60"/>
              <w:right w:type="dxa" w:w="100"/>
            </w:tcMar>
          </w:tcPr>
          <w:p>
            <w:pPr>
              <w:spacing w:after="0" w:line="250"/>
            </w:pPr>
            <w:r>
              <w:rPr>
                <w:b w:val="false"/>
                <w:bCs w:val="false"/>
                <w:sz w:val="20"/>
                <w:szCs w:val="20"/>
              </w:rPr>
              <w:t xml:space="preserve">text.freshness</w:t>
            </w:r>
          </w:p>
        </w:tc>
        <w:tc>
          <w:tcPr>
            <w:tcW w:type="dxa" w:w="1500"/>
            <w:tcMar>
              <w:top w:type="dxa" w:w="60"/>
              <w:left w:type="dxa" w:w="100"/>
              <w:bottom w:type="dxa" w:w="60"/>
              <w:right w:type="dxa" w:w="100"/>
            </w:tcMar>
          </w:tcPr>
          <w:p>
            <w:pPr>
              <w:spacing w:after="0" w:line="250"/>
            </w:pPr>
            <w:r>
              <w:rPr>
                <w:b w:val="false"/>
                <w:bCs w:val="false"/>
                <w:sz w:val="20"/>
                <w:szCs w:val="20"/>
              </w:rPr>
              <w:t xml:space="preserve">#C7C7CC</w:t>
            </w:r>
          </w:p>
        </w:tc>
        <w:tc>
          <w:tcPr>
            <w:tcW w:type="dxa" w:w="1500"/>
            <w:tcMar>
              <w:top w:type="dxa" w:w="60"/>
              <w:left w:type="dxa" w:w="100"/>
              <w:bottom w:type="dxa" w:w="60"/>
              <w:right w:type="dxa" w:w="100"/>
            </w:tcMar>
          </w:tcPr>
          <w:p>
            <w:pPr>
              <w:spacing w:after="0" w:line="250"/>
            </w:pPr>
            <w:r>
              <w:rPr>
                <w:b w:val="false"/>
                <w:bCs w:val="false"/>
                <w:sz w:val="20"/>
                <w:szCs w:val="20"/>
              </w:rPr>
              <w:t xml:space="preserve">#C7C7CC</w:t>
            </w:r>
          </w:p>
        </w:tc>
        <w:tc>
          <w:tcPr>
            <w:tcW w:type="dxa" w:w="1400"/>
            <w:tcMar>
              <w:top w:type="dxa" w:w="60"/>
              <w:left w:type="dxa" w:w="100"/>
              <w:bottom w:type="dxa" w:w="60"/>
              <w:right w:type="dxa" w:w="100"/>
            </w:tcMar>
          </w:tcPr>
          <w:p>
            <w:pPr>
              <w:spacing w:after="0" w:line="250"/>
            </w:pPr>
            <w:r>
              <w:rPr>
                <w:b w:val="false"/>
                <w:bCs w:val="false"/>
                <w:sz w:val="20"/>
                <w:szCs w:val="20"/>
              </w:rPr>
              <w:t xml:space="preserve">#1C1C1E</w:t>
            </w:r>
          </w:p>
        </w:tc>
        <w:tc>
          <w:tcPr>
            <w:tcW w:type="dxa" w:w="3160"/>
            <w:tcMar>
              <w:top w:type="dxa" w:w="60"/>
              <w:left w:type="dxa" w:w="100"/>
              <w:bottom w:type="dxa" w:w="60"/>
              <w:right w:type="dxa" w:w="100"/>
            </w:tcMar>
          </w:tcPr>
          <w:p>
            <w:pPr>
              <w:spacing w:after="0" w:line="250"/>
            </w:pPr>
            <w:r>
              <w:rPr>
                <w:b w:val="false"/>
                <w:bCs w:val="false"/>
                <w:sz w:val="20"/>
                <w:szCs w:val="20"/>
              </w:rPr>
              <w:t xml:space="preserve">New in v1.2. Data-age text only.</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accent</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#0A84FF</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#0A84FF</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#007AFF</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Interactive elements</w:t>
            </w:r>
          </w:p>
        </w:tc>
      </w:tr>
      <w:tr>
        <w:tc>
          <w:tcPr>
            <w:tcW w:type="dxa" w:w="1800"/>
            <w:tcMar>
              <w:top w:type="dxa" w:w="60"/>
              <w:left w:type="dxa" w:w="100"/>
              <w:bottom w:type="dxa" w:w="60"/>
              <w:right w:type="dxa" w:w="100"/>
            </w:tcMar>
          </w:tcPr>
          <w:p>
            <w:pPr>
              <w:spacing w:after="0" w:line="250"/>
            </w:pPr>
            <w:r>
              <w:rPr>
                <w:b w:val="false"/>
                <w:bCs w:val="false"/>
                <w:sz w:val="20"/>
                <w:szCs w:val="20"/>
              </w:rPr>
              <w:t xml:space="preserve">range.in</w:t>
            </w:r>
          </w:p>
        </w:tc>
        <w:tc>
          <w:tcPr>
            <w:tcW w:type="dxa" w:w="1500"/>
            <w:tcMar>
              <w:top w:type="dxa" w:w="60"/>
              <w:left w:type="dxa" w:w="100"/>
              <w:bottom w:type="dxa" w:w="60"/>
              <w:right w:type="dxa" w:w="100"/>
            </w:tcMar>
          </w:tcPr>
          <w:p>
            <w:pPr>
              <w:spacing w:after="0" w:line="250"/>
            </w:pPr>
            <w:r>
              <w:rPr>
                <w:b w:val="false"/>
                <w:bCs w:val="false"/>
                <w:sz w:val="20"/>
                <w:szCs w:val="20"/>
              </w:rPr>
              <w:t xml:space="preserve">#30D158</w:t>
            </w:r>
          </w:p>
        </w:tc>
        <w:tc>
          <w:tcPr>
            <w:tcW w:type="dxa" w:w="1500"/>
            <w:tcMar>
              <w:top w:type="dxa" w:w="60"/>
              <w:left w:type="dxa" w:w="100"/>
              <w:bottom w:type="dxa" w:w="60"/>
              <w:right w:type="dxa" w:w="100"/>
            </w:tcMar>
          </w:tcPr>
          <w:p>
            <w:pPr>
              <w:spacing w:after="0" w:line="250"/>
            </w:pPr>
            <w:r>
              <w:rPr>
                <w:b w:val="false"/>
                <w:bCs w:val="false"/>
                <w:sz w:val="20"/>
                <w:szCs w:val="20"/>
              </w:rPr>
              <w:t xml:space="preserve">#30D158</w:t>
            </w:r>
          </w:p>
        </w:tc>
        <w:tc>
          <w:tcPr>
            <w:tcW w:type="dxa" w:w="1400"/>
            <w:tcMar>
              <w:top w:type="dxa" w:w="60"/>
              <w:left w:type="dxa" w:w="100"/>
              <w:bottom w:type="dxa" w:w="60"/>
              <w:right w:type="dxa" w:w="100"/>
            </w:tcMar>
          </w:tcPr>
          <w:p>
            <w:pPr>
              <w:spacing w:after="0" w:line="250"/>
            </w:pPr>
            <w:r>
              <w:rPr>
                <w:b w:val="false"/>
                <w:bCs w:val="false"/>
                <w:sz w:val="20"/>
                <w:szCs w:val="20"/>
              </w:rPr>
              <w:t xml:space="preserve">#34C759</w:t>
            </w:r>
          </w:p>
        </w:tc>
        <w:tc>
          <w:tcPr>
            <w:tcW w:type="dxa" w:w="3160"/>
            <w:tcMar>
              <w:top w:type="dxa" w:w="60"/>
              <w:left w:type="dxa" w:w="100"/>
              <w:bottom w:type="dxa" w:w="60"/>
              <w:right w:type="dxa" w:w="100"/>
            </w:tcMar>
          </w:tcPr>
          <w:p>
            <w:pPr>
              <w:spacing w:after="0" w:line="250"/>
            </w:pPr>
            <w:r>
              <w:rPr>
                <w:b w:val="false"/>
                <w:bCs w:val="false"/>
                <w:sz w:val="20"/>
                <w:szCs w:val="20"/>
              </w:rPr>
              <w:t xml:space="preserve">In-range glucose</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range.low</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#FF453A</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#FF453A</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#FF3B30</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Below target</w:t>
            </w:r>
          </w:p>
        </w:tc>
      </w:tr>
      <w:tr>
        <w:tc>
          <w:tcPr>
            <w:tcW w:type="dxa" w:w="1800"/>
            <w:tcMar>
              <w:top w:type="dxa" w:w="60"/>
              <w:left w:type="dxa" w:w="100"/>
              <w:bottom w:type="dxa" w:w="60"/>
              <w:right w:type="dxa" w:w="100"/>
            </w:tcMar>
          </w:tcPr>
          <w:p>
            <w:pPr>
              <w:spacing w:after="0" w:line="250"/>
            </w:pPr>
            <w:r>
              <w:rPr>
                <w:b w:val="false"/>
                <w:bCs w:val="false"/>
                <w:sz w:val="20"/>
                <w:szCs w:val="20"/>
              </w:rPr>
              <w:t xml:space="preserve">range.high</w:t>
            </w:r>
          </w:p>
        </w:tc>
        <w:tc>
          <w:tcPr>
            <w:tcW w:type="dxa" w:w="1500"/>
            <w:tcMar>
              <w:top w:type="dxa" w:w="60"/>
              <w:left w:type="dxa" w:w="100"/>
              <w:bottom w:type="dxa" w:w="60"/>
              <w:right w:type="dxa" w:w="100"/>
            </w:tcMar>
          </w:tcPr>
          <w:p>
            <w:pPr>
              <w:spacing w:after="0" w:line="250"/>
            </w:pPr>
            <w:r>
              <w:rPr>
                <w:b w:val="false"/>
                <w:bCs w:val="false"/>
                <w:sz w:val="20"/>
                <w:szCs w:val="20"/>
              </w:rPr>
              <w:t xml:space="preserve">#FFD60A</w:t>
            </w:r>
          </w:p>
        </w:tc>
        <w:tc>
          <w:tcPr>
            <w:tcW w:type="dxa" w:w="1500"/>
            <w:tcMar>
              <w:top w:type="dxa" w:w="60"/>
              <w:left w:type="dxa" w:w="100"/>
              <w:bottom w:type="dxa" w:w="60"/>
              <w:right w:type="dxa" w:w="100"/>
            </w:tcMar>
          </w:tcPr>
          <w:p>
            <w:pPr>
              <w:spacing w:after="0" w:line="250"/>
            </w:pPr>
            <w:r>
              <w:rPr>
                <w:b w:val="false"/>
                <w:bCs w:val="false"/>
                <w:sz w:val="20"/>
                <w:szCs w:val="20"/>
              </w:rPr>
              <w:t xml:space="preserve">#FFD60A</w:t>
            </w:r>
          </w:p>
        </w:tc>
        <w:tc>
          <w:tcPr>
            <w:tcW w:type="dxa" w:w="1400"/>
            <w:tcMar>
              <w:top w:type="dxa" w:w="60"/>
              <w:left w:type="dxa" w:w="100"/>
              <w:bottom w:type="dxa" w:w="60"/>
              <w:right w:type="dxa" w:w="100"/>
            </w:tcMar>
          </w:tcPr>
          <w:p>
            <w:pPr>
              <w:spacing w:after="0" w:line="250"/>
            </w:pPr>
            <w:r>
              <w:rPr>
                <w:b w:val="false"/>
                <w:bCs w:val="false"/>
                <w:sz w:val="20"/>
                <w:szCs w:val="20"/>
              </w:rPr>
              <w:t xml:space="preserve">#FFCC00</w:t>
            </w:r>
          </w:p>
        </w:tc>
        <w:tc>
          <w:tcPr>
            <w:tcW w:type="dxa" w:w="3160"/>
            <w:tcMar>
              <w:top w:type="dxa" w:w="60"/>
              <w:left w:type="dxa" w:w="100"/>
              <w:bottom w:type="dxa" w:w="60"/>
              <w:right w:type="dxa" w:w="100"/>
            </w:tcMar>
          </w:tcPr>
          <w:p>
            <w:pPr>
              <w:spacing w:after="0" w:line="250"/>
            </w:pPr>
            <w:r>
              <w:rPr>
                <w:b w:val="false"/>
                <w:bCs w:val="false"/>
                <w:sz w:val="20"/>
                <w:szCs w:val="20"/>
              </w:rPr>
              <w:t xml:space="preserve">Above target</w:t>
            </w:r>
          </w:p>
        </w:tc>
      </w:tr>
      <w:tr>
        <w:tc>
          <w:tcPr>
            <w:tcW w:type="dxa" w:w="1800"/>
            <w:shd w:fill="F5F8FC" w:color="auto" w:val="clear"/>
            <w:tcMar>
              <w:top w:type="dxa" w:w="60"/>
              <w:left w:type="dxa" w:w="100"/>
              <w:bottom w:type="dxa" w:w="60"/>
              <w:right w:type="dxa" w:w="100"/>
            </w:tcMar>
          </w:tcPr>
          <w:p>
            <w:pPr>
              <w:spacing w:after="0" w:line="250"/>
            </w:pPr>
            <w:r>
              <w:rPr>
                <w:b w:val="false"/>
                <w:bCs w:val="false"/>
                <w:sz w:val="20"/>
                <w:szCs w:val="20"/>
              </w:rPr>
              <w:t xml:space="preserve">range.urgent</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#FF375F</w:t>
            </w:r>
          </w:p>
        </w:tc>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#FF375F</w:t>
            </w:r>
          </w:p>
        </w:tc>
        <w:tc>
          <w:tcPr>
            <w:tcW w:type="dxa" w:w="1400"/>
            <w:shd w:fill="F5F8FC" w:color="auto" w:val="clear"/>
            <w:tcMar>
              <w:top w:type="dxa" w:w="60"/>
              <w:left w:type="dxa" w:w="100"/>
              <w:bottom w:type="dxa" w:w="60"/>
              <w:right w:type="dxa" w:w="100"/>
            </w:tcMar>
          </w:tcPr>
          <w:p>
            <w:pPr>
              <w:spacing w:after="0" w:line="250"/>
            </w:pPr>
            <w:r>
              <w:rPr>
                <w:b w:val="false"/>
                <w:bCs w:val="false"/>
                <w:sz w:val="20"/>
                <w:szCs w:val="20"/>
              </w:rPr>
              <w:t xml:space="preserve">#FF2D55</w:t>
            </w:r>
          </w:p>
        </w:tc>
        <w:tc>
          <w:tcPr>
            <w:tcW w:type="dxa" w:w="3160"/>
            <w:shd w:fill="F5F8FC" w:color="auto" w:val="clear"/>
            <w:tcMar>
              <w:top w:type="dxa" w:w="60"/>
              <w:left w:type="dxa" w:w="100"/>
              <w:bottom w:type="dxa" w:w="60"/>
              <w:right w:type="dxa" w:w="100"/>
            </w:tcMar>
          </w:tcPr>
          <w:p>
            <w:pPr>
              <w:spacing w:after="0" w:line="250"/>
            </w:pPr>
            <w:r>
              <w:rPr>
                <w:b w:val="false"/>
                <w:bCs w:val="false"/>
                <w:sz w:val="20"/>
                <w:szCs w:val="20"/>
              </w:rPr>
              <w:t xml:space="preserve">Urgent low/high — fill only, never text</w:t>
            </w:r>
          </w:p>
        </w:tc>
      </w:tr>
    </w:tbl>
    <w:p>
      <w:pPr>
        <w:spacing w:after="100"/>
      </w:pPr>
    </w:p>
    <w:p>
      <w:pPr>
        <w:spacing w:after="100" w:before="180"/>
      </w:pPr>
      <w:r>
        <w:rPr>
          <w:b/>
          <w:bCs/>
          <w:color w:val="1F4D78"/>
        </w:rPr>
        <w:t xml:space="preserve">Two corrections in v1.2</w:t>
      </w:r>
    </w:p>
    <w:p>
      <w:pPr>
        <w:pStyle w:val="ListParagraph"/>
        <w:numPr>
          <w:ilvl w:val="0"/>
          <w:numId w:val="2"/>
        </w:numPr>
        <w:spacing w:after="80" w:line="276"/>
      </w:pPr>
      <w:r>
        <w:rPr>
          <w:b/>
          <w:bCs/>
        </w:rPr>
        <w:t xml:space="preserve">Urgent is distinguished by treatment, not hue.</w:t>
      </w:r>
      <w:r>
        <w:rPr>
          <w:b w:val="false"/>
          <w:bCs w:val="false"/>
        </w:rPr>
        <w:t xml:space="preserve"> v1.1's </w:t>
      </w:r>
      <w:r>
        <w:rPr>
          <w:rFonts w:ascii="Consolas" w:cs="Consolas" w:eastAsia="Consolas" w:hAnsi="Consolas"/>
          <w:b w:val="false"/>
          <w:bCs w:val="false"/>
          <w:sz w:val="19"/>
          <w:szCs w:val="19"/>
        </w:rPr>
        <w:t xml:space="preserve">range.urgent</w:t>
      </w:r>
      <w:r>
        <w:rPr>
          <w:b w:val="false"/>
          <w:bCs w:val="false"/>
        </w:rPr>
        <w:t xml:space="preserve"> (#FF2D55) and </w:t>
      </w:r>
      <w:r>
        <w:rPr>
          <w:rFonts w:ascii="Consolas" w:cs="Consolas" w:eastAsia="Consolas" w:hAnsi="Consolas"/>
          <w:b w:val="false"/>
          <w:bCs w:val="false"/>
          <w:sz w:val="19"/>
          <w:szCs w:val="19"/>
        </w:rPr>
        <w:t xml:space="preserve">range.low</w:t>
      </w:r>
      <w:r>
        <w:rPr>
          <w:b w:val="false"/>
          <w:bCs w:val="false"/>
        </w:rPr>
        <w:t xml:space="preserve"> (#FF453A) are near-identical in hue, and low-versus-urgent-low is the single most safety-critical distinction the app makes. Chasing a distinguishable adjacent red is the wrong fix. Instead: </w:t>
      </w:r>
      <w:r>
        <w:rPr>
          <w:rFonts w:ascii="Consolas" w:cs="Consolas" w:eastAsia="Consolas" w:hAnsi="Consolas"/>
          <w:b/>
          <w:bCs/>
          <w:sz w:val="19"/>
          <w:szCs w:val="19"/>
        </w:rPr>
        <w:t xml:space="preserve">range.low</w:t>
      </w:r>
      <w:r>
        <w:rPr>
          <w:b/>
          <w:bCs/>
        </w:rPr>
        <w:t xml:space="preserve"> is applied as a text colour; </w:t>
      </w:r>
      <w:r>
        <w:rPr>
          <w:rFonts w:ascii="Consolas" w:cs="Consolas" w:eastAsia="Consolas" w:hAnsi="Consolas"/>
          <w:b/>
          <w:bCs/>
          <w:sz w:val="19"/>
          <w:szCs w:val="19"/>
        </w:rPr>
        <w:t xml:space="preserve">range.urgent</w:t>
      </w:r>
      <w:r>
        <w:rPr>
          <w:b/>
          <w:bCs/>
        </w:rPr>
        <w:t xml:space="preserve"> is applied only as a filled background with #FFFFFF text</w:t>
      </w:r>
      <w:r>
        <w:rPr>
          <w:b w:val="false"/>
          <w:bCs w:val="false"/>
        </w:rPr>
        <w:t xml:space="preserve">, plus a distinct glyph. The distinction becomes fill-versus-text — unmissable at a glance, at complication size, and under any colour-vision deficiency.</w:t>
      </w:r>
    </w:p>
    <w:p>
      <w:pPr>
        <w:pStyle w:val="ListParagraph"/>
        <w:numPr>
          <w:ilvl w:val="0"/>
          <w:numId w:val="2"/>
        </w:numPr>
        <w:spacing w:after="80" w:line="276"/>
      </w:pPr>
      <w:r>
        <w:rPr>
          <w:b/>
          <w:bCs/>
        </w:rPr>
        <w:t xml:space="preserve">Freshness text gets its own brighter token.</w:t>
      </w:r>
      <w:r>
        <w:rPr>
          <w:b w:val="false"/>
          <w:bCs w:val="false"/>
        </w:rPr>
        <w:t xml:space="preserve"> </w:t>
      </w:r>
      <w:r>
        <w:rPr>
          <w:rFonts w:ascii="Consolas" w:cs="Consolas" w:eastAsia="Consolas" w:hAnsi="Consolas"/>
          <w:b w:val="false"/>
          <w:bCs w:val="false"/>
          <w:sz w:val="19"/>
          <w:szCs w:val="19"/>
        </w:rPr>
        <w:t xml:space="preserve">text.secondary</w:t>
      </w:r>
      <w:r>
        <w:rPr>
          <w:b w:val="false"/>
          <w:bCs w:val="false"/>
        </w:rPr>
        <w:t xml:space="preserve"> (#8E8E93) measures roughly 6.4:1 against #000000 and 5.2:1 against #1C1C1E. Both pass WCAG AA for body text, but “Updated 3 min ago” is the most safety-relevant string on the screen and was rendering at 13pt in the dimmest colour in the system. </w:t>
      </w:r>
      <w:r>
        <w:rPr>
          <w:rFonts w:ascii="Consolas" w:cs="Consolas" w:eastAsia="Consolas" w:hAnsi="Consolas"/>
          <w:b w:val="false"/>
          <w:bCs w:val="false"/>
          <w:sz w:val="19"/>
          <w:szCs w:val="19"/>
        </w:rPr>
        <w:t xml:space="preserve">text.freshness</w:t>
      </w:r>
      <w:r>
        <w:rPr>
          <w:b w:val="false"/>
          <w:bCs w:val="false"/>
        </w:rPr>
        <w:t xml:space="preserve"> (#C7C7CC) measures roughly 12.5:1 on true black and 10.1:1 on Soft Dark.</w:t>
      </w:r>
    </w:p>
    <w:p>
      <w:pPr>
        <w:spacing w:after="120" w:line="276"/>
      </w:pPr>
      <w:r>
        <w:rPr>
          <w:b w:val="false"/>
          <w:bCs w:val="false"/>
        </w:rPr>
        <w:t xml:space="preserve">Range colouring is always paired with a glyph (§3.1.4). In-range green and low red are the deuteranopia-confusable pair, so the glyph carries the meaning and the colour reinforces it — not the other way around.</w:t>
      </w:r>
    </w:p>
    <w:p>
      <w:pPr>
        <w:pStyle w:val="Heading2"/>
        <w:spacing w:after="140" w:before="280"/>
      </w:pPr>
      <w:r>
        <w:rPr>
          <w:b w:val="false"/>
          <w:bCs w:val="false"/>
        </w:rPr>
        <w:t xml:space="preserve">5.2 Typography</w:t>
      </w:r>
    </w:p>
    <w:p>
      <w:pPr>
        <w:pStyle w:val="ListParagraph"/>
        <w:numPr>
          <w:ilvl w:val="0"/>
          <w:numId w:val="2"/>
        </w:numPr>
        <w:spacing w:after="80" w:line="276"/>
      </w:pPr>
      <w:r>
        <w:rPr>
          <w:b/>
          <w:bCs/>
        </w:rPr>
        <w:t xml:space="preserve">Hero glucose number:</w:t>
      </w:r>
      <w:r>
        <w:rPr>
          <w:b w:val="false"/>
          <w:bCs w:val="false"/>
        </w:rPr>
        <w:t xml:space="preserve"> SF Pro Rounded, 96pt, Bold at default Dynamic Type.</w:t>
      </w:r>
    </w:p>
    <w:p>
      <w:pPr>
        <w:pStyle w:val="ListParagraph"/>
        <w:numPr>
          <w:ilvl w:val="0"/>
          <w:numId w:val="2"/>
        </w:numPr>
        <w:spacing w:after="80" w:line="276"/>
      </w:pPr>
      <w:r>
        <w:rPr>
          <w:b/>
          <w:bCs/>
        </w:rPr>
        <w:t xml:space="preserve">Section titles:</w:t>
      </w:r>
      <w:r>
        <w:rPr>
          <w:b w:val="false"/>
          <w:bCs w:val="false"/>
        </w:rPr>
        <w:t xml:space="preserve"> SF Pro, 22pt, Semibold.</w:t>
      </w:r>
    </w:p>
    <w:p>
      <w:pPr>
        <w:pStyle w:val="ListParagraph"/>
        <w:numPr>
          <w:ilvl w:val="0"/>
          <w:numId w:val="2"/>
        </w:numPr>
        <w:spacing w:after="80" w:line="276"/>
      </w:pPr>
      <w:r>
        <w:rPr>
          <w:b/>
          <w:bCs/>
        </w:rPr>
        <w:t xml:space="preserve">Body:</w:t>
      </w:r>
      <w:r>
        <w:rPr>
          <w:b w:val="false"/>
          <w:bCs w:val="false"/>
        </w:rPr>
        <w:t xml:space="preserve"> SF Pro, 17pt, Regular.</w:t>
      </w:r>
    </w:p>
    <w:p>
      <w:pPr>
        <w:pStyle w:val="ListParagraph"/>
        <w:numPr>
          <w:ilvl w:val="0"/>
          <w:numId w:val="2"/>
        </w:numPr>
        <w:spacing w:after="80" w:line="276"/>
      </w:pPr>
      <w:r>
        <w:rPr>
          <w:b/>
          <w:bCs/>
        </w:rPr>
        <w:t xml:space="preserve">Captions:</w:t>
      </w:r>
      <w:r>
        <w:rPr>
          <w:b w:val="false"/>
          <w:bCs w:val="false"/>
        </w:rPr>
        <w:t xml:space="preserve"> SF Pro, 13pt, Regular, secondary colour — except data-age text, which uses </w:t>
      </w:r>
      <w:r>
        <w:rPr>
          <w:rFonts w:ascii="Consolas" w:cs="Consolas" w:eastAsia="Consolas" w:hAnsi="Consolas"/>
          <w:b w:val="false"/>
          <w:bCs w:val="false"/>
          <w:sz w:val="19"/>
          <w:szCs w:val="19"/>
        </w:rPr>
        <w:t xml:space="preserve">text.freshness</w:t>
      </w:r>
      <w:r>
        <w:rPr>
          <w:b w:val="false"/>
          <w:bCs w:val="false"/>
        </w:rPr>
        <w:t xml:space="preserve"> (§5.1).</w:t>
      </w:r>
    </w:p>
    <w:p>
      <w:pPr>
        <w:pStyle w:val="ListParagraph"/>
        <w:numPr>
          <w:ilvl w:val="0"/>
          <w:numId w:val="2"/>
        </w:numPr>
        <w:spacing w:after="80" w:line="276"/>
      </w:pPr>
      <w:r>
        <w:rPr>
          <w:b/>
          <w:bCs/>
        </w:rPr>
        <w:t xml:space="preserve">Dynamic Type:</w:t>
      </w:r>
      <w:r>
        <w:rPr>
          <w:b w:val="false"/>
          <w:bCs w:val="false"/>
        </w:rPr>
        <w:t xml:space="preserve"> all text scales. The hero number is the exception that needs a strategy rather than a rule: at accessibility sizes a scaled 96pt value will not fit on any iPhone. It scales up to a cap of roughly 120pt, then holds; the surrounding layout reflows and the 3h chart collapses to give it room. Verify at AX5.</w:t>
      </w:r>
    </w:p>
    <w:p>
      <w:pPr>
        <w:pBdr>
          <w:left w:val="single" w:color="BFD3E6" w:sz="12" w:space="8"/>
        </w:pBdr>
        <w:spacing w:after="160" w:line="260"/>
        <w:ind w:left="180"/>
      </w:pPr>
      <w:r>
        <w:rPr>
          <w:b w:val="false"/>
          <w:bCs w:val="false"/>
          <w:i/>
          <w:iCs/>
          <w:color w:val="595959"/>
          <w:sz w:val="20"/>
          <w:szCs w:val="20"/>
        </w:rPr>
        <w:t xml:space="preserve">Correction in v1.2: v1.1 justified 96pt Bold as “true OLED-friendly weight.” The rationale is backwards. A pure black background saves power on OLED because unlit pixels draw nothing; a heavy white glyph lights more pixels than a lighter one and increases glare during night checks. Bold is retained because it is the right choice for legibility at a glance — but for legibility, not for OLED efficiency. Bedside Mode (§5.3) drops the hero to Medium weight for exactly this reason.</w:t>
      </w:r>
    </w:p>
    <w:p>
      <w:pPr>
        <w:pStyle w:val="Heading2"/>
        <w:spacing w:after="140" w:before="280"/>
      </w:pPr>
      <w:r>
        <w:rPr>
          <w:b w:val="false"/>
          <w:bCs w:val="false"/>
        </w:rPr>
        <w:t xml:space="preserve">5.3 Bedside Mode Specifics</w:t>
      </w:r>
    </w:p>
    <w:p>
      <w:pPr>
        <w:pStyle w:val="ListParagraph"/>
        <w:numPr>
          <w:ilvl w:val="0"/>
          <w:numId w:val="2"/>
        </w:numPr>
        <w:spacing w:after="80" w:line="276"/>
      </w:pPr>
      <w:r>
        <w:rPr>
          <w:b w:val="false"/>
          <w:bCs w:val="false"/>
        </w:rPr>
        <w:t xml:space="preserve">Background: pure #000000.</w:t>
      </w:r>
    </w:p>
    <w:p>
      <w:pPr>
        <w:pStyle w:val="ListParagraph"/>
        <w:numPr>
          <w:ilvl w:val="0"/>
          <w:numId w:val="2"/>
        </w:numPr>
        <w:spacing w:after="80" w:line="276"/>
      </w:pPr>
      <w:r>
        <w:rPr>
          <w:b w:val="false"/>
          <w:bCs w:val="false"/>
        </w:rPr>
        <w:t xml:space="preserve">All text and accents shifted toward the red end of the spectrum (#FF6B6B, #FF9F43) to preserve dark adaptation.</w:t>
      </w:r>
    </w:p>
    <w:p>
      <w:pPr>
        <w:pStyle w:val="ListParagraph"/>
        <w:numPr>
          <w:ilvl w:val="0"/>
          <w:numId w:val="2"/>
        </w:numPr>
        <w:spacing w:after="80" w:line="276"/>
      </w:pPr>
      <w:r>
        <w:rPr>
          <w:b w:val="false"/>
          <w:bCs w:val="false"/>
        </w:rPr>
        <w:t xml:space="preserve">Hero number drops from Bold to Medium weight — fewer lit pixels, less glare, still legible at 96pt.</w:t>
      </w:r>
    </w:p>
    <w:p>
      <w:pPr>
        <w:pStyle w:val="ListParagraph"/>
        <w:numPr>
          <w:ilvl w:val="0"/>
          <w:numId w:val="2"/>
        </w:numPr>
        <w:spacing w:after="80" w:line="276"/>
      </w:pPr>
      <w:r>
        <w:rPr>
          <w:b w:val="false"/>
          <w:bCs w:val="false"/>
        </w:rPr>
        <w:t xml:space="preserve">All animations disabled.</w:t>
      </w:r>
    </w:p>
    <w:p>
      <w:pPr>
        <w:spacing w:after="100" w:before="180"/>
      </w:pPr>
      <w:r>
        <w:rPr>
          <w:b/>
          <w:bCs/>
          <w:color w:val="1F4D78"/>
        </w:rPr>
        <w:t xml:space="preserve">Dimming — corrected implementation</w:t>
      </w:r>
    </w:p>
    <w:p>
      <w:pPr>
        <w:spacing w:after="120" w:line="276"/>
      </w:pPr>
      <w:r>
        <w:rPr>
          <w:b/>
          <w:bCs/>
        </w:rPr>
        <w:t xml:space="preserve">v1.1 specified “maximum brightness on screen: 30% of system brightness setting.” An iOS app cannot do this.</w:t>
      </w:r>
      <w:r>
        <w:rPr>
          <w:b w:val="false"/>
          <w:bCs w:val="false"/>
        </w:rPr>
        <w:t xml:space="preserve"> There is no per-app or per-window brightness. </w:t>
      </w:r>
      <w:r>
        <w:rPr>
          <w:rFonts w:ascii="Consolas" w:cs="Consolas" w:eastAsia="Consolas" w:hAnsi="Consolas"/>
          <w:b w:val="false"/>
          <w:bCs w:val="false"/>
          <w:sz w:val="19"/>
          <w:szCs w:val="19"/>
        </w:rPr>
        <w:t xml:space="preserve">UIScreen.main.brightness</w:t>
      </w:r>
      <w:r>
        <w:rPr>
          <w:b w:val="false"/>
          <w:bCs w:val="false"/>
        </w:rPr>
        <w:t xml:space="preserve"> sets brightness </w:t>
      </w:r>
      <w:r>
        <w:rPr>
          <w:b/>
          <w:bCs/>
        </w:rPr>
        <w:t xml:space="preserve">globally and persistently</w:t>
      </w:r>
      <w:r>
        <w:rPr>
          <w:b w:val="false"/>
          <w:bCs w:val="false"/>
        </w:rPr>
        <w:t xml:space="preserve"> for the entire device, affecting every other app and surviving until something changes it back — and any crash, force-quit, or missed lifecycle callback leaves the user's phone stuck dim.</w:t>
      </w:r>
    </w:p>
    <w:p>
      <w:pPr>
        <w:spacing w:after="120" w:line="276"/>
      </w:pPr>
      <w:r>
        <w:rPr>
          <w:b w:val="false"/>
          <w:bCs w:val="false"/>
        </w:rPr>
        <w:t xml:space="preserve">The correct implementation is a </w:t>
      </w:r>
      <w:r>
        <w:rPr>
          <w:b/>
          <w:bCs/>
        </w:rPr>
        <w:t xml:space="preserve">full-screen black overlay</w:t>
      </w:r>
      <w:r>
        <w:rPr>
          <w:b w:val="false"/>
          <w:bCs w:val="false"/>
        </w:rPr>
        <w:t xml:space="preserve"> at the top of the view hierarchy with adjustable opacity (0 to roughly 0.7), rendered above content and below the touch layer. Content dims; the system brightness setting is never touched. This is what every well-behaved night-mode app does.</w:t>
      </w:r>
    </w:p>
    <w:p>
      <w:pPr>
        <w:spacing w:after="120" w:line="276"/>
      </w:pPr>
      <w:r>
        <w:rPr>
          <w:b w:val="false"/>
          <w:bCs w:val="false"/>
        </w:rPr>
        <w:t xml:space="preserve">If the user explicitly opts in to system-level dimming as well, </w:t>
      </w:r>
      <w:r>
        <w:rPr>
          <w:rFonts w:ascii="Consolas" w:cs="Consolas" w:eastAsia="Consolas" w:hAnsi="Consolas"/>
          <w:b w:val="false"/>
          <w:bCs w:val="false"/>
          <w:sz w:val="19"/>
          <w:szCs w:val="19"/>
        </w:rPr>
        <w:t xml:space="preserve">UIScreen.main.brightness</w:t>
      </w:r>
      <w:r>
        <w:rPr>
          <w:b w:val="false"/>
          <w:bCs w:val="false"/>
        </w:rPr>
        <w:t xml:space="preserve"> may be set — but only with the prior value captured, restored on </w:t>
      </w:r>
      <w:r>
        <w:rPr>
          <w:rFonts w:ascii="Consolas" w:cs="Consolas" w:eastAsia="Consolas" w:hAnsi="Consolas"/>
          <w:b w:val="false"/>
          <w:bCs w:val="false"/>
          <w:sz w:val="19"/>
          <w:szCs w:val="19"/>
        </w:rPr>
        <w:t xml:space="preserve">scenePhase</w:t>
      </w:r>
      <w:r>
        <w:rPr>
          <w:b w:val="false"/>
          <w:bCs w:val="false"/>
        </w:rPr>
        <w:t xml:space="preserve"> change to </w:t>
      </w:r>
      <w:r>
        <w:rPr>
          <w:rFonts w:ascii="Consolas" w:cs="Consolas" w:eastAsia="Consolas" w:hAnsi="Consolas"/>
          <w:b w:val="false"/>
          <w:bCs w:val="false"/>
          <w:sz w:val="19"/>
          <w:szCs w:val="19"/>
        </w:rPr>
        <w:t xml:space="preserve">.background</w:t>
      </w:r>
      <w:r>
        <w:rPr>
          <w:b w:val="false"/>
          <w:bCs w:val="false"/>
        </w:rPr>
        <w:t xml:space="preserve"> or </w:t>
      </w:r>
      <w:r>
        <w:rPr>
          <w:rFonts w:ascii="Consolas" w:cs="Consolas" w:eastAsia="Consolas" w:hAnsi="Consolas"/>
          <w:b w:val="false"/>
          <w:bCs w:val="false"/>
          <w:sz w:val="19"/>
          <w:szCs w:val="19"/>
        </w:rPr>
        <w:t xml:space="preserve">.inactive</w:t>
      </w:r>
      <w:r>
        <w:rPr>
          <w:b w:val="false"/>
          <w:bCs w:val="false"/>
        </w:rPr>
        <w:t xml:space="preserve">, restored on termination, and restored on next launch as a safety net if the app died holding it.</w:t>
      </w:r>
    </w:p>
    <w:p>
      <w:pPr>
        <w:spacing w:after="100" w:before="180"/>
      </w:pPr>
      <w:r>
        <w:rPr>
          <w:b/>
          <w:bCs/>
          <w:color w:val="1F4D78"/>
        </w:rPr>
        <w:t xml:space="preserve">Exit gesture</w:t>
      </w:r>
    </w:p>
    <w:p>
      <w:pPr>
        <w:spacing w:after="120" w:line="276"/>
      </w:pPr>
      <w:r>
        <w:rPr>
          <w:b w:val="false"/>
          <w:bCs w:val="false"/>
        </w:rPr>
        <w:t xml:space="preserve">v1.1's “single tap anywhere returns to normal mode” conflicts with the tappable timeline (§3.2.2) and fires on accidental wake-taps. Exit is a deliberate gesture instead: a two-finger tap, or a long-press on the hero number. Reading the screen and dismissing the mode should not be the same action.</w:t>
      </w:r>
    </w:p>
    <w:p>
      <w:pPr>
        <w:pStyle w:val="Heading2"/>
        <w:spacing w:after="140" w:before="280"/>
      </w:pPr>
      <w:r>
        <w:rPr>
          <w:b w:val="false"/>
          <w:bCs w:val="false"/>
        </w:rPr>
        <w:t xml:space="preserve">5.4 Accessibility</w:t>
      </w:r>
    </w:p>
    <w:p>
      <w:pPr>
        <w:pBdr>
          <w:left w:val="single" w:color="BFD3E6" w:sz="12" w:space="8"/>
        </w:pBdr>
        <w:spacing w:after="160" w:line="260"/>
        <w:ind w:left="180"/>
      </w:pPr>
      <w:r>
        <w:rPr>
          <w:b w:val="false"/>
          <w:bCs w:val="false"/>
          <w:i/>
          <w:iCs/>
          <w:color w:val="595959"/>
          <w:sz w:val="20"/>
          <w:szCs w:val="20"/>
        </w:rPr>
        <w:t xml:space="preserve">New in v1.2. v1.1 covered Dynamic Type and colour-vision deficiency but not screen readers, which for a health app is the significant gap.</w:t>
      </w:r>
    </w:p>
    <w:p>
      <w:pPr>
        <w:pStyle w:val="ListParagraph"/>
        <w:numPr>
          <w:ilvl w:val="0"/>
          <w:numId w:val="2"/>
        </w:numPr>
        <w:spacing w:after="80" w:line="276"/>
      </w:pPr>
      <w:r>
        <w:rPr>
          <w:b/>
          <w:bCs/>
        </w:rPr>
        <w:t xml:space="preserve">VoiceOver on the hero area</w:t>
      </w:r>
      <w:r>
        <w:rPr>
          <w:b w:val="false"/>
          <w:bCs w:val="false"/>
        </w:rPr>
        <w:t xml:space="preserve"> reads value, unit, trend, and age as a single coherent label — “142 milligrams per deciliter, steady, updated 3 minutes ago” — not four fragments the user has to assemble.</w:t>
      </w:r>
    </w:p>
    <w:p>
      <w:pPr>
        <w:pStyle w:val="ListParagraph"/>
        <w:numPr>
          <w:ilvl w:val="0"/>
          <w:numId w:val="2"/>
        </w:numPr>
        <w:spacing w:after="80" w:line="276"/>
      </w:pPr>
      <w:r>
        <w:rPr>
          <w:b/>
          <w:bCs/>
        </w:rPr>
        <w:t xml:space="preserve">Charts need an </w:t>
      </w:r>
      <w:r>
        <w:rPr>
          <w:rFonts w:ascii="Consolas" w:cs="Consolas" w:eastAsia="Consolas" w:hAnsi="Consolas"/>
          <w:b/>
          <w:bCs/>
          <w:sz w:val="19"/>
          <w:szCs w:val="19"/>
        </w:rPr>
        <w:t xml:space="preserve">AXChartDescriptor</w:t>
      </w:r>
      <w:r>
        <w:rPr>
          <w:b/>
          <w:bCs/>
        </w:rPr>
        <w:t xml:space="preserve">.</w:t>
      </w:r>
      <w:r>
        <w:rPr>
          <w:b w:val="false"/>
          <w:bCs w:val="false"/>
        </w:rPr>
        <w:t xml:space="preserve"> Swift Charts is opaque to VoiceOver by default. Both the 3h chart and the AGP expose a descriptor with axes and series so the data is navigable by audio graph.</w:t>
      </w:r>
    </w:p>
    <w:p>
      <w:pPr>
        <w:pStyle w:val="ListParagraph"/>
        <w:numPr>
          <w:ilvl w:val="0"/>
          <w:numId w:val="2"/>
        </w:numPr>
        <w:spacing w:after="80" w:line="276"/>
      </w:pPr>
      <w:r>
        <w:rPr>
          <w:b/>
          <w:bCs/>
        </w:rPr>
        <w:t xml:space="preserve">Range state is announced, not just coloured.</w:t>
      </w:r>
      <w:r>
        <w:rPr>
          <w:b w:val="false"/>
          <w:bCs w:val="false"/>
        </w:rPr>
        <w:t xml:space="preserve"> The accessibility label includes “below target” or “urgent low” explicitly.</w:t>
      </w:r>
    </w:p>
    <w:p>
      <w:pPr>
        <w:pStyle w:val="ListParagraph"/>
        <w:numPr>
          <w:ilvl w:val="0"/>
          <w:numId w:val="2"/>
        </w:numPr>
        <w:spacing w:after="80" w:line="276"/>
      </w:pPr>
      <w:r>
        <w:rPr>
          <w:b/>
          <w:bCs/>
        </w:rPr>
        <w:t xml:space="preserve">Reduce Motion</w:t>
      </w:r>
      <w:r>
        <w:rPr>
          <w:b w:val="false"/>
          <w:bCs w:val="false"/>
        </w:rPr>
        <w:t xml:space="preserve"> disables chart animations and the Live Activity's transitions.</w:t>
      </w:r>
    </w:p>
    <w:p>
      <w:pPr>
        <w:pStyle w:val="ListParagraph"/>
        <w:numPr>
          <w:ilvl w:val="0"/>
          <w:numId w:val="2"/>
        </w:numPr>
        <w:spacing w:after="80" w:line="276"/>
      </w:pPr>
      <w:r>
        <w:rPr>
          <w:b/>
          <w:bCs/>
        </w:rPr>
        <w:t xml:space="preserve">Increase Contrast</w:t>
      </w:r>
      <w:r>
        <w:rPr>
          <w:b w:val="false"/>
          <w:bCs w:val="false"/>
        </w:rPr>
        <w:t xml:space="preserve"> switches </w:t>
      </w:r>
      <w:r>
        <w:rPr>
          <w:rFonts w:ascii="Consolas" w:cs="Consolas" w:eastAsia="Consolas" w:hAnsi="Consolas"/>
          <w:b w:val="false"/>
          <w:bCs w:val="false"/>
          <w:sz w:val="19"/>
          <w:szCs w:val="19"/>
        </w:rPr>
        <w:t xml:space="preserve">text.secondary</w:t>
      </w:r>
      <w:r>
        <w:rPr>
          <w:b w:val="false"/>
          <w:bCs w:val="false"/>
        </w:rPr>
        <w:t xml:space="preserve"> to </w:t>
      </w:r>
      <w:r>
        <w:rPr>
          <w:rFonts w:ascii="Consolas" w:cs="Consolas" w:eastAsia="Consolas" w:hAnsi="Consolas"/>
          <w:b w:val="false"/>
          <w:bCs w:val="false"/>
          <w:sz w:val="19"/>
          <w:szCs w:val="19"/>
        </w:rPr>
        <w:t xml:space="preserve">text.freshness</w:t>
      </w:r>
      <w:r>
        <w:rPr>
          <w:b w:val="false"/>
          <w:bCs w:val="false"/>
        </w:rPr>
        <w:t xml:space="preserve"> throughout and thickens the target-range band border.</w:t>
      </w:r>
    </w:p>
    <w:p>
      <w:pPr>
        <w:pStyle w:val="ListParagraph"/>
        <w:numPr>
          <w:ilvl w:val="0"/>
          <w:numId w:val="2"/>
        </w:numPr>
        <w:spacing w:after="80" w:line="276"/>
      </w:pPr>
      <w:r>
        <w:rPr>
          <w:b/>
          <w:bCs/>
        </w:rPr>
        <w:t xml:space="preserve">Minimum touch target of 44×44pt</w:t>
      </w:r>
      <w:r>
        <w:rPr>
          <w:b w:val="false"/>
          <w:bCs w:val="false"/>
        </w:rPr>
        <w:t xml:space="preserve"> on every quick-log control, including complication-adjacent buttons.</w:t>
      </w:r>
    </w:p>
    <w:p>
      <w:pPr>
        <w:pStyle w:val="ListParagraph"/>
        <w:numPr>
          <w:ilvl w:val="0"/>
          <w:numId w:val="2"/>
        </w:numPr>
        <w:spacing w:after="80" w:line="276"/>
      </w:pPr>
      <w:r>
        <w:rPr>
          <w:b/>
          <w:bCs/>
        </w:rPr>
        <w:t xml:space="preserve">Bedside Mode must remain accessible</w:t>
      </w:r>
      <w:r>
        <w:rPr>
          <w:b w:val="false"/>
          <w:bCs w:val="false"/>
        </w:rPr>
        <w:t xml:space="preserve"> — the red-shifted palette is verified against WCAG AA at the dimming levels actually used, not only at full opacity.</w:t>
      </w:r>
    </w:p>
    <w:p>
      <w:pPr>
        <w:pStyle w:val="Heading1"/>
        <w:spacing w:after="160" w:before="360"/>
      </w:pPr>
      <w:r>
        <w:rPr>
          <w:b w:val="false"/>
          <w:bCs w:val="false"/>
        </w:rPr>
        <w:t xml:space="preserve">6. Constraints &amp; Security</w:t>
      </w:r>
    </w:p>
    <w:p>
      <w:pPr>
        <w:pStyle w:val="Heading2"/>
        <w:spacing w:after="140" w:before="280"/>
      </w:pPr>
      <w:r>
        <w:rPr>
          <w:b w:val="false"/>
          <w:bCs w:val="false"/>
        </w:rPr>
        <w:t xml:space="preserve">6.1 Provisioning &amp; Signing</w:t>
      </w:r>
    </w:p>
    <w:p>
      <w:pPr>
        <w:pBdr>
          <w:left w:val="single" w:color="BFD3E6" w:sz="12" w:space="8"/>
        </w:pBdr>
        <w:spacing w:after="160" w:line="260"/>
        <w:ind w:left="180"/>
      </w:pPr>
      <w:r>
        <w:rPr>
          <w:b w:val="false"/>
          <w:bCs w:val="false"/>
          <w:i/>
          <w:iCs/>
          <w:color w:val="595959"/>
          <w:sz w:val="20"/>
          <w:szCs w:val="20"/>
        </w:rPr>
        <w:t xml:space="preserve">New in v1.3. Signing tier is a real constraint on scope, so it is recorded here rather than discovered mid-build.</w:t>
      </w:r>
    </w:p>
    <w:p>
      <w:pPr>
        <w:spacing w:after="120" w:line="276"/>
      </w:pPr>
      <w:r>
        <w:rPr>
          <w:b w:val="false"/>
          <w:bCs w:val="false"/>
        </w:rPr>
        <w:t xml:space="preserve">The project starts on a </w:t>
      </w:r>
      <w:r>
        <w:rPr>
          <w:b/>
          <w:bCs/>
        </w:rPr>
        <w:t xml:space="preserve">free Apple personal team</w:t>
      </w:r>
      <w:r>
        <w:rPr>
          <w:b w:val="false"/>
          <w:bCs w:val="false"/>
        </w:rPr>
        <w:t xml:space="preserve">, which costs nothing and is sufficient for the whole of v1. The Apple Developer Program membership is deferred until v2 needs it.</w:t>
      </w:r>
    </w:p>
    <w:p>
      <w:pPr>
        <w:spacing w:after="100" w:before="180"/>
      </w:pPr>
      <w:r>
        <w:rPr>
          <w:b/>
          <w:bCs/>
          <w:color w:val="1F4D78"/>
        </w:rPr>
        <w:t xml:space="preserve">What a free personal team permits</w:t>
      </w:r>
    </w:p>
    <w:p>
      <w:pPr>
        <w:pStyle w:val="ListParagraph"/>
        <w:numPr>
          <w:ilvl w:val="0"/>
          <w:numId w:val="2"/>
        </w:numPr>
        <w:spacing w:after="80" w:line="276"/>
      </w:pPr>
      <w:r>
        <w:rPr>
          <w:b w:val="false"/>
          <w:bCs w:val="false"/>
        </w:rPr>
        <w:t xml:space="preserve">Building and installing on the developer's own device.</w:t>
      </w:r>
    </w:p>
    <w:p>
      <w:pPr>
        <w:pStyle w:val="ListParagraph"/>
        <w:numPr>
          <w:ilvl w:val="0"/>
          <w:numId w:val="2"/>
        </w:numPr>
        <w:spacing w:after="80" w:line="276"/>
      </w:pPr>
      <w:r>
        <w:rPr>
          <w:b/>
          <w:bCs/>
        </w:rPr>
        <w:t xml:space="preserve">CoreBluetooth, including the </w:t>
      </w:r>
      <w:r>
        <w:rPr>
          <w:rFonts w:ascii="Consolas" w:cs="Consolas" w:eastAsia="Consolas" w:hAnsi="Consolas"/>
          <w:b/>
          <w:bCs/>
          <w:sz w:val="19"/>
          <w:szCs w:val="19"/>
        </w:rPr>
        <w:t xml:space="preserve">bluetooth-central</w:t>
      </w:r>
      <w:r>
        <w:rPr>
          <w:b/>
          <w:bCs/>
        </w:rPr>
        <w:t xml:space="preserve"> background mode</w:t>
      </w:r>
      <w:r>
        <w:rPr>
          <w:b w:val="false"/>
          <w:bCs w:val="false"/>
        </w:rPr>
        <w:t xml:space="preserve"> — background modes are Info.plist declarations, not portal-registered entitlements. The entire live data path works.</w:t>
      </w:r>
    </w:p>
    <w:p>
      <w:pPr>
        <w:pStyle w:val="ListParagraph"/>
        <w:numPr>
          <w:ilvl w:val="0"/>
          <w:numId w:val="2"/>
        </w:numPr>
        <w:spacing w:after="80" w:line="276"/>
      </w:pPr>
      <w:r>
        <w:rPr>
          <w:b/>
          <w:bCs/>
        </w:rPr>
        <w:t xml:space="preserve">HealthKit</w:t>
      </w:r>
      <w:r>
        <w:rPr>
          <w:b w:val="false"/>
          <w:bCs w:val="false"/>
        </w:rPr>
        <w:t xml:space="preserve">, for personal use on your own device. The backfill path works.</w:t>
      </w:r>
    </w:p>
    <w:p>
      <w:pPr>
        <w:pStyle w:val="ListParagraph"/>
        <w:numPr>
          <w:ilvl w:val="0"/>
          <w:numId w:val="2"/>
        </w:numPr>
        <w:spacing w:after="80" w:line="276"/>
      </w:pPr>
      <w:r>
        <w:rPr>
          <w:b w:val="false"/>
          <w:bCs w:val="false"/>
        </w:rPr>
        <w:t xml:space="preserve">SwiftData, Swift Charts, local notifications, and the whole v1 UI.</w:t>
      </w:r>
    </w:p>
    <w:p>
      <w:pPr>
        <w:spacing w:after="100" w:before="180"/>
      </w:pPr>
      <w:r>
        <w:rPr>
          <w:b/>
          <w:bCs/>
          <w:color w:val="1F4D78"/>
        </w:rPr>
        <w:t xml:space="preserve">What it does not permit</w:t>
      </w:r>
    </w:p>
    <w:p>
      <w:pPr>
        <w:pStyle w:val="ListParagraph"/>
        <w:numPr>
          <w:ilvl w:val="0"/>
          <w:numId w:val="2"/>
        </w:numPr>
        <w:spacing w:after="80" w:line="276"/>
      </w:pPr>
      <w:r>
        <w:rPr>
          <w:b/>
          <w:bCs/>
        </w:rPr>
        <w:t xml:space="preserve">App Groups.</w:t>
      </w:r>
      <w:r>
        <w:rPr>
          <w:b w:val="false"/>
          <w:bCs w:val="false"/>
        </w:rPr>
        <w:t xml:space="preserve"> This is the binding constraint: without a shared container, a widget extension cannot read the app's store. It gates §3.2.4's glanceable surfaces.</w:t>
      </w:r>
    </w:p>
    <w:p>
      <w:pPr>
        <w:pStyle w:val="ListParagraph"/>
        <w:numPr>
          <w:ilvl w:val="0"/>
          <w:numId w:val="2"/>
        </w:numPr>
        <w:spacing w:after="80" w:line="276"/>
      </w:pPr>
      <w:r>
        <w:rPr>
          <w:b/>
          <w:bCs/>
        </w:rPr>
        <w:t xml:space="preserve">Push notifications, CloudKit, Sign in with Apple, TestFlight.</w:t>
      </w:r>
      <w:r>
        <w:rPr>
          <w:b w:val="false"/>
          <w:bCs w:val="false"/>
        </w:rPr>
        <w:t xml:space="preserve"> None are needed for v1; CloudKit is a v3 concern.</w:t>
      </w:r>
    </w:p>
    <w:p>
      <w:pPr>
        <w:pStyle w:val="ListParagraph"/>
        <w:numPr>
          <w:ilvl w:val="0"/>
          <w:numId w:val="2"/>
        </w:numPr>
        <w:spacing w:after="80" w:line="276"/>
      </w:pPr>
      <w:r>
        <w:rPr>
          <w:b/>
          <w:bCs/>
        </w:rPr>
        <w:t xml:space="preserve">Longevity.</w:t>
      </w:r>
      <w:r>
        <w:rPr>
          <w:b w:val="false"/>
          <w:bCs w:val="false"/>
        </w:rPr>
        <w:t xml:space="preserve"> Provisioning profiles and App IDs expire </w:t>
      </w:r>
      <w:r>
        <w:rPr>
          <w:b/>
          <w:bCs/>
        </w:rPr>
        <w:t xml:space="preserve">after 7 days</w:t>
      </w:r>
      <w:r>
        <w:rPr>
          <w:b w:val="false"/>
          <w:bCs w:val="false"/>
        </w:rPr>
        <w:t xml:space="preserve">. The app stops launching until rebuilt from Xcode with the phone attached or on the same network — roughly a two-minute operation, but one that must actually be remembered.</w:t>
      </w:r>
    </w:p>
    <w:p>
      <w:pPr>
        <w:pStyle w:val="ListParagraph"/>
        <w:numPr>
          <w:ilvl w:val="0"/>
          <w:numId w:val="2"/>
        </w:numPr>
        <w:spacing w:after="80" w:line="276"/>
      </w:pPr>
      <w:r>
        <w:rPr>
          <w:b w:val="false"/>
          <w:bCs w:val="false"/>
        </w:rPr>
        <w:t xml:space="preserve">Limits of 3 apps per device, 3 devices, and 10 App IDs per 7 days. Comfortable for one app; the App ID limit is worth knowing before creating extensions casually.</w:t>
      </w:r>
    </w:p>
    <w:p>
      <w:pPr>
        <w:spacing w:after="100" w:before="180"/>
      </w:pPr>
      <w:r>
        <w:rPr>
          <w:b/>
          <w:bCs/>
          <w:color w:val="1F4D78"/>
        </w:rPr>
        <w:t xml:space="preserve">Consequence for the roadmap</w:t>
      </w:r>
    </w:p>
    <w:p>
      <w:pPr>
        <w:spacing w:after="120" w:line="276"/>
      </w:pPr>
      <w:r>
        <w:rPr>
          <w:b/>
          <w:bCs/>
        </w:rPr>
        <w:t xml:space="preserve">Phases 0 through 8 — everything through v2 prediction — run on a free personal team.</w:t>
      </w:r>
      <w:r>
        <w:rPr>
          <w:b w:val="false"/>
          <w:bCs w:val="false"/>
        </w:rPr>
        <w:t xml:space="preserve"> Only Phase 9 (glanceable surfaces) requires the paid membership, because Live Activities and widgets need App Groups to read shared data.</w:t>
      </w:r>
    </w:p>
    <w:p>
      <w:pPr>
        <w:spacing w:after="120" w:line="276"/>
      </w:pPr>
      <w:r>
        <w:rPr>
          <w:b w:val="false"/>
          <w:bCs w:val="false"/>
        </w:rPr>
        <w:t xml:space="preserve">This ordering is deliberate. By the time the $99 decision arrives, the app will have been in daily use for weeks and its value will be established rather than hypothetical. The weekly rebuild is the price of deferring that decision, and it is a fair one.</w:t>
      </w:r>
    </w:p>
    <w:p>
      <w:pPr>
        <w:pBdr>
          <w:left w:val="single" w:color="BFD3E6" w:sz="12" w:space="8"/>
        </w:pBdr>
        <w:spacing w:after="160" w:line="260"/>
        <w:ind w:left="180"/>
      </w:pPr>
      <w:r>
        <w:rPr>
          <w:b w:val="false"/>
          <w:bCs w:val="false"/>
          <w:i/>
          <w:iCs/>
          <w:color w:val="595959"/>
          <w:sz w:val="20"/>
          <w:szCs w:val="20"/>
        </w:rPr>
        <w:t xml:space="preserve">The 7-day expiry has a specific failure mode worth naming: an expired profile means the app will not launch at 3am. This is an inconvenience rather than a safety problem, because the official Dexcom app is unaffected and remains the alarm source (§1.3). Rebuilding on a fixed weekly rhythm — same evening each week — is the mitigation.</w:t>
      </w:r>
    </w:p>
    <w:p>
      <w:pPr>
        <w:pStyle w:val="Heading2"/>
        <w:spacing w:after="140" w:before="280"/>
      </w:pPr>
      <w:r>
        <w:rPr>
          <w:b w:val="false"/>
          <w:bCs w:val="false"/>
        </w:rPr>
        <w:t xml:space="preserve">6.2 Privacy &amp; Security</w:t>
      </w:r>
    </w:p>
    <w:p>
      <w:pPr>
        <w:pStyle w:val="ListParagraph"/>
        <w:numPr>
          <w:ilvl w:val="0"/>
          <w:numId w:val="2"/>
        </w:numPr>
        <w:spacing w:after="80" w:line="276"/>
      </w:pPr>
      <w:r>
        <w:rPr>
          <w:b w:val="false"/>
          <w:bCs w:val="false"/>
        </w:rPr>
        <w:t xml:space="preserve">All glucose data is stored locally on device.</w:t>
      </w:r>
    </w:p>
    <w:p>
      <w:pPr>
        <w:pStyle w:val="ListParagraph"/>
        <w:numPr>
          <w:ilvl w:val="0"/>
          <w:numId w:val="2"/>
        </w:numPr>
        <w:spacing w:after="80" w:line="276"/>
      </w:pPr>
      <w:r>
        <w:rPr>
          <w:b/>
          <w:bCs/>
        </w:rPr>
        <w:t xml:space="preserve">v1 makes no network requests at all.</w:t>
      </w:r>
      <w:r>
        <w:rPr>
          <w:b w:val="false"/>
          <w:bCs w:val="false"/>
        </w:rPr>
        <w:t xml:space="preserve"> With BLE primary and HealthKit local, there is no server in the picture — not Dexcom's, not anyone's. This is a stronger privacy position than either earlier revision could claim, and it removes an entire class of failure and exposure.</w:t>
      </w:r>
    </w:p>
    <w:p>
      <w:pPr>
        <w:pStyle w:val="ListParagraph"/>
        <w:numPr>
          <w:ilvl w:val="0"/>
          <w:numId w:val="2"/>
        </w:numPr>
        <w:spacing w:after="80" w:line="276"/>
      </w:pPr>
      <w:r>
        <w:rPr>
          <w:b/>
          <w:bCs/>
        </w:rPr>
        <w:t xml:space="preserve">v1 stores no credentials.</w:t>
      </w:r>
      <w:r>
        <w:rPr>
          <w:b w:val="false"/>
          <w:bCs w:val="false"/>
        </w:rPr>
        <w:t xml:space="preserve"> The Keychain requirement arrives only if the optional Share fallback (§4.2.4) is built. Should it be, use </w:t>
      </w:r>
      <w:r>
        <w:rPr>
          <w:rFonts w:ascii="Consolas" w:cs="Consolas" w:eastAsia="Consolas" w:hAnsi="Consolas"/>
          <w:b w:val="false"/>
          <w:bCs w:val="false"/>
          <w:sz w:val="19"/>
          <w:szCs w:val="19"/>
        </w:rPr>
        <w:t xml:space="preserve">kSecAttrAccessibleAfterFirstUnlockThisDeviceOnly</w:t>
      </w:r>
      <w:r>
        <w:rPr>
          <w:b w:val="false"/>
          <w:bCs w:val="false"/>
        </w:rPr>
        <w:t xml:space="preserve"> — not </w:t>
      </w:r>
      <w:r>
        <w:rPr>
          <w:rFonts w:ascii="Consolas" w:cs="Consolas" w:eastAsia="Consolas" w:hAnsi="Consolas"/>
          <w:b w:val="false"/>
          <w:bCs w:val="false"/>
          <w:sz w:val="19"/>
          <w:szCs w:val="19"/>
        </w:rPr>
        <w:t xml:space="preserve">WhenUnlocked</w:t>
      </w:r>
      <w:r>
        <w:rPr>
          <w:b w:val="false"/>
          <w:bCs w:val="false"/>
        </w:rPr>
        <w:t xml:space="preserve">, which would make the item unreadable during background operation and after reboot.</w:t>
      </w:r>
    </w:p>
    <w:p>
      <w:pPr>
        <w:pStyle w:val="ListParagraph"/>
        <w:numPr>
          <w:ilvl w:val="0"/>
          <w:numId w:val="2"/>
        </w:numPr>
        <w:spacing w:after="80" w:line="276"/>
      </w:pPr>
      <w:r>
        <w:rPr>
          <w:b/>
          <w:bCs/>
        </w:rPr>
        <w:t xml:space="preserve">HealthKit data handling:</w:t>
      </w:r>
      <w:r>
        <w:rPr>
          <w:b w:val="false"/>
          <w:bCs w:val="false"/>
        </w:rPr>
        <w:t xml:space="preserve"> read-only, minimum types, context types requested separately. HealthKit values never leave the device, never appear in the diagnostic log, and are excluded from any crash payload.</w:t>
      </w:r>
    </w:p>
    <w:p>
      <w:pPr>
        <w:pStyle w:val="ListParagraph"/>
        <w:numPr>
          <w:ilvl w:val="0"/>
          <w:numId w:val="2"/>
        </w:numPr>
        <w:spacing w:after="80" w:line="276"/>
      </w:pPr>
      <w:r>
        <w:rPr>
          <w:b/>
          <w:bCs/>
        </w:rPr>
        <w:t xml:space="preserve">No analytics SDKs. No third-party crash reporters.</w:t>
      </w:r>
      <w:r>
        <w:rPr>
          <w:b w:val="false"/>
          <w:bCs w:val="false"/>
        </w:rPr>
        <w:t xml:space="preserve"> Diagnostics are a local-only log with a manual copy action; glucose values are redacted from it.</w:t>
      </w:r>
    </w:p>
    <w:p>
      <w:pPr>
        <w:pStyle w:val="ListParagraph"/>
        <w:numPr>
          <w:ilvl w:val="0"/>
          <w:numId w:val="2"/>
        </w:numPr>
        <w:spacing w:after="80" w:line="276"/>
      </w:pPr>
      <w:r>
        <w:rPr>
          <w:b/>
          <w:bCs/>
        </w:rPr>
        <w:t xml:space="preserve">Photos</w:t>
      </w:r>
      <w:r>
        <w:rPr>
          <w:b w:val="false"/>
          <w:bCs w:val="false"/>
        </w:rPr>
        <w:t xml:space="preserve"> attached to meals stay in the app sandbox and are never uploaded. Excluded from CSV/JSON export by default, with an opt-in.</w:t>
      </w:r>
    </w:p>
    <w:p>
      <w:pPr>
        <w:pStyle w:val="ListParagraph"/>
        <w:numPr>
          <w:ilvl w:val="0"/>
          <w:numId w:val="2"/>
        </w:numPr>
        <w:spacing w:after="80" w:line="276"/>
      </w:pPr>
      <w:r>
        <w:rPr>
          <w:b/>
          <w:bCs/>
        </w:rPr>
        <w:t xml:space="preserve">Exports leave the sandbox by user action only</w:t>
      </w:r>
      <w:r>
        <w:rPr>
          <w:b w:val="false"/>
          <w:bCs w:val="false"/>
        </w:rPr>
        <w:t xml:space="preserve">, through the share sheet. The file contains complete medical history and is labelled as such at the moment of sharing.</w:t>
      </w:r>
    </w:p>
    <w:p>
      <w:pPr>
        <w:pStyle w:val="ListParagraph"/>
        <w:numPr>
          <w:ilvl w:val="0"/>
          <w:numId w:val="2"/>
        </w:numPr>
        <w:spacing w:after="80" w:line="276"/>
      </w:pPr>
      <w:r>
        <w:rPr>
          <w:b/>
          <w:bCs/>
        </w:rPr>
        <w:t xml:space="preserve">iCloud sync (v3)</w:t>
      </w:r>
      <w:r>
        <w:rPr>
          <w:b w:val="false"/>
          <w:bCs w:val="false"/>
        </w:rPr>
        <w:t xml:space="preserve"> uses the CloudKit private database, encrypted by Apple. Opt-in, and disabling it offers deletion of the cloud copy.</w:t>
      </w:r>
    </w:p>
    <w:p>
      <w:pPr>
        <w:pStyle w:val="ListParagraph"/>
        <w:numPr>
          <w:ilvl w:val="0"/>
          <w:numId w:val="2"/>
        </w:numPr>
        <w:spacing w:after="80" w:line="276"/>
      </w:pPr>
      <w:r>
        <w:rPr>
          <w:b/>
          <w:bCs/>
        </w:rPr>
        <w:t xml:space="preserve">No passcode gate on launch</w:t>
      </w:r>
      <w:r>
        <w:rPr>
          <w:b w:val="false"/>
          <w:bCs w:val="false"/>
        </w:rPr>
        <w:t xml:space="preserve"> — a glucose check must not be gated behind authentication at 3am. Optional Face ID gating covers the log and export screens only.</w:t>
      </w:r>
    </w:p>
    <w:p>
      <w:pPr>
        <w:pStyle w:val="Heading1"/>
        <w:spacing w:after="160" w:before="360"/>
      </w:pPr>
      <w:r>
        <w:rPr>
          <w:b w:val="false"/>
          <w:bCs w:val="false"/>
        </w:rPr>
        <w:t xml:space="preserve">7. Build Roadmap</w:t>
      </w:r>
    </w:p>
    <w:p>
      <w:pPr>
        <w:spacing w:after="120" w:line="276"/>
      </w:pPr>
      <w:r>
        <w:rPr>
          <w:b w:val="false"/>
          <w:bCs w:val="false"/>
        </w:rPr>
        <w:t xml:space="preserve">Estimates assume one developer working evenings and weekends. Phases 0–8 run on a free personal team; only Phase 9 needs the paid membership (§6.1).</w:t>
      </w:r>
    </w:p>
    <w:p>
      <w:pPr>
        <w:pBdr>
          <w:left w:val="single" w:color="BFD3E6" w:sz="12" w:space="8"/>
        </w:pBdr>
        <w:spacing w:after="160" w:line="260"/>
        <w:ind w:left="180"/>
      </w:pPr>
      <w:r>
        <w:rPr>
          <w:b w:val="false"/>
          <w:bCs w:val="false"/>
          <w:i/>
          <w:iCs/>
          <w:color w:val="595959"/>
          <w:sz w:val="20"/>
          <w:szCs w:val="20"/>
        </w:rPr>
        <w:t xml:space="preserve">Reordered in v1.3. Phase 1 is now a deliberately minimal Bluetooth spike whose only job is to answer the channel-contention question on real hardware. It is scheduled first because it is the one risk that cannot be retired by reasoning, and because failing it changes everything downstream.</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1500"/>
        <w:gridCol w:w="3700"/>
        <w:gridCol w:w="1200"/>
        <w:gridCol w:w="2960"/>
      </w:tblGrid>
      <w:tr>
        <w:trPr>
          <w:tblHeader/>
        </w:trPr>
        <w:tc>
          <w:tcPr>
            <w:tcW w:type="dxa" w:w="1500"/>
            <w:shd w:fill="DEEAF6" w:color="auto" w:val="clear"/>
            <w:tcMar>
              <w:top w:type="dxa" w:w="60"/>
              <w:left w:type="dxa" w:w="100"/>
              <w:bottom w:type="dxa" w:w="60"/>
              <w:right w:type="dxa" w:w="100"/>
            </w:tcMar>
          </w:tcPr>
          <w:p>
            <w:pPr>
              <w:spacing w:after="0" w:line="250"/>
            </w:pPr>
            <w:r>
              <w:rPr>
                <w:b/>
                <w:bCs/>
                <w:sz w:val="20"/>
                <w:szCs w:val="20"/>
              </w:rPr>
              <w:t xml:space="preserve">Phase</w:t>
            </w:r>
          </w:p>
        </w:tc>
        <w:tc>
          <w:tcPr>
            <w:tcW w:type="dxa" w:w="3700"/>
            <w:shd w:fill="DEEAF6" w:color="auto" w:val="clear"/>
            <w:tcMar>
              <w:top w:type="dxa" w:w="60"/>
              <w:left w:type="dxa" w:w="100"/>
              <w:bottom w:type="dxa" w:w="60"/>
              <w:right w:type="dxa" w:w="100"/>
            </w:tcMar>
          </w:tcPr>
          <w:p>
            <w:pPr>
              <w:spacing w:after="0" w:line="250"/>
            </w:pPr>
            <w:r>
              <w:rPr>
                <w:b/>
                <w:bCs/>
                <w:sz w:val="20"/>
                <w:szCs w:val="20"/>
              </w:rPr>
              <w:t xml:space="preserve">Scope</w:t>
            </w:r>
          </w:p>
        </w:tc>
        <w:tc>
          <w:tcPr>
            <w:tcW w:type="dxa" w:w="1200"/>
            <w:shd w:fill="DEEAF6" w:color="auto" w:val="clear"/>
            <w:tcMar>
              <w:top w:type="dxa" w:w="60"/>
              <w:left w:type="dxa" w:w="100"/>
              <w:bottom w:type="dxa" w:w="60"/>
              <w:right w:type="dxa" w:w="100"/>
            </w:tcMar>
          </w:tcPr>
          <w:p>
            <w:pPr>
              <w:spacing w:after="0" w:line="250"/>
            </w:pPr>
            <w:r>
              <w:rPr>
                <w:b/>
                <w:bCs/>
                <w:sz w:val="20"/>
                <w:szCs w:val="20"/>
              </w:rPr>
              <w:t xml:space="preserve">Estimate</w:t>
            </w:r>
          </w:p>
        </w:tc>
        <w:tc>
          <w:tcPr>
            <w:tcW w:type="dxa" w:w="2960"/>
            <w:shd w:fill="DEEAF6" w:color="auto" w:val="clear"/>
            <w:tcMar>
              <w:top w:type="dxa" w:w="60"/>
              <w:left w:type="dxa" w:w="100"/>
              <w:bottom w:type="dxa" w:w="60"/>
              <w:right w:type="dxa" w:w="100"/>
            </w:tcMar>
          </w:tcPr>
          <w:p>
            <w:pPr>
              <w:spacing w:after="0" w:line="250"/>
            </w:pPr>
            <w:r>
              <w:rPr>
                <w:b/>
                <w:bCs/>
                <w:sz w:val="20"/>
                <w:szCs w:val="20"/>
              </w:rPr>
              <w:t xml:space="preserve">Exit Criteria</w:t>
            </w:r>
          </w:p>
        </w:tc>
      </w:tr>
      <w:tr>
        <w:tc>
          <w:tcPr>
            <w:tcW w:type="dxa" w:w="1500"/>
            <w:tcMar>
              <w:top w:type="dxa" w:w="60"/>
              <w:left w:type="dxa" w:w="100"/>
              <w:bottom w:type="dxa" w:w="60"/>
              <w:right w:type="dxa" w:w="100"/>
            </w:tcMar>
          </w:tcPr>
          <w:p>
            <w:pPr>
              <w:spacing w:after="0" w:line="250"/>
            </w:pPr>
            <w:r>
              <w:rPr>
                <w:b w:val="false"/>
                <w:bCs w:val="false"/>
                <w:sz w:val="20"/>
                <w:szCs w:val="20"/>
              </w:rPr>
              <w:t xml:space="preserve">0. Setup</w:t>
            </w:r>
          </w:p>
        </w:tc>
        <w:tc>
          <w:tcPr>
            <w:tcW w:type="dxa" w:w="3700"/>
            <w:tcMar>
              <w:top w:type="dxa" w:w="60"/>
              <w:left w:type="dxa" w:w="100"/>
              <w:bottom w:type="dxa" w:w="60"/>
              <w:right w:type="dxa" w:w="100"/>
            </w:tcMar>
          </w:tcPr>
          <w:p>
            <w:pPr>
              <w:spacing w:after="0" w:line="250"/>
            </w:pPr>
            <w:r>
              <w:rPr>
                <w:b w:val="false"/>
                <w:bCs w:val="false"/>
                <w:sz w:val="20"/>
                <w:szCs w:val="20"/>
              </w:rPr>
              <w:t xml:space="preserve">Xcode project, Swift packages, G7SensorKit dependency, free personal-team signing, versioned SwiftData schema v1, CI for build and test.</w:t>
            </w:r>
          </w:p>
        </w:tc>
        <w:tc>
          <w:tcPr>
            <w:tcW w:type="dxa" w:w="1200"/>
            <w:tcMar>
              <w:top w:type="dxa" w:w="60"/>
              <w:left w:type="dxa" w:w="100"/>
              <w:bottom w:type="dxa" w:w="60"/>
              <w:right w:type="dxa" w:w="100"/>
            </w:tcMar>
          </w:tcPr>
          <w:p>
            <w:pPr>
              <w:spacing w:after="0" w:line="250"/>
            </w:pPr>
            <w:r>
              <w:rPr>
                <w:b w:val="false"/>
                <w:bCs w:val="false"/>
                <w:sz w:val="20"/>
                <w:szCs w:val="20"/>
              </w:rPr>
              <w:t xml:space="preserve">1 evening</w:t>
            </w:r>
          </w:p>
        </w:tc>
        <w:tc>
          <w:tcPr>
            <w:tcW w:type="dxa" w:w="2960"/>
            <w:tcMar>
              <w:top w:type="dxa" w:w="60"/>
              <w:left w:type="dxa" w:w="100"/>
              <w:bottom w:type="dxa" w:w="60"/>
              <w:right w:type="dxa" w:w="100"/>
            </w:tcMar>
          </w:tcPr>
          <w:p>
            <w:pPr>
              <w:spacing w:after="0" w:line="250"/>
            </w:pPr>
            <w:r>
              <w:rPr>
                <w:b w:val="false"/>
                <w:bCs w:val="false"/>
                <w:sz w:val="20"/>
                <w:szCs w:val="20"/>
              </w:rPr>
              <w:t xml:space="preserve">App builds, installs on device, CI green.</w:t>
            </w:r>
          </w:p>
        </w:tc>
      </w:tr>
      <w:tr>
        <w:tc>
          <w:tcPr>
            <w:tcW w:type="dxa" w:w="1500"/>
            <w:shd w:fill="F5F8FC" w:color="auto" w:val="clear"/>
            <w:tcMar>
              <w:top w:type="dxa" w:w="60"/>
              <w:left w:type="dxa" w:w="100"/>
              <w:bottom w:type="dxa" w:w="60"/>
              <w:right w:type="dxa" w:w="100"/>
            </w:tcMar>
          </w:tcPr>
          <w:p>
            <w:pPr>
              <w:spacing w:after="0" w:line="250"/>
            </w:pPr>
            <w:r>
              <w:rPr>
                <w:b/>
                <w:bCs/>
                <w:sz w:val="20"/>
                <w:szCs w:val="20"/>
              </w:rPr>
              <w:t xml:space="preserve">1. BLE spike</w:t>
            </w:r>
          </w:p>
        </w:tc>
        <w:tc>
          <w:tcPr>
            <w:tcW w:type="dxa" w:w="3700"/>
            <w:shd w:fill="F5F8FC" w:color="auto" w:val="clear"/>
            <w:tcMar>
              <w:top w:type="dxa" w:w="60"/>
              <w:left w:type="dxa" w:w="100"/>
              <w:bottom w:type="dxa" w:w="60"/>
              <w:right w:type="dxa" w:w="100"/>
            </w:tcMar>
          </w:tcPr>
          <w:p>
            <w:pPr>
              <w:spacing w:after="0" w:line="250"/>
            </w:pPr>
            <w:r>
              <w:rPr>
                <w:b/>
                <w:bCs/>
                <w:sz w:val="20"/>
                <w:szCs w:val="20"/>
              </w:rPr>
              <w:t xml:space="preserve">Minimal target: connect to the sensor, log glucose, age, sequence, and algorithmState to the console. No UI, no persistence.</w:t>
            </w:r>
            <w:r>
              <w:rPr>
                <w:b w:val="false"/>
                <w:bCs w:val="false"/>
                <w:sz w:val="20"/>
                <w:szCs w:val="20"/>
              </w:rPr>
              <w:t xml:space="preserve"> Run for 48 hours alongside the official app and Direct to Watch.</w:t>
            </w:r>
          </w:p>
        </w:tc>
        <w:tc>
          <w:tcPr>
            <w:tcW w:type="dxa" w:w="1200"/>
            <w:shd w:fill="F5F8FC" w:color="auto" w:val="clear"/>
            <w:tcMar>
              <w:top w:type="dxa" w:w="60"/>
              <w:left w:type="dxa" w:w="100"/>
              <w:bottom w:type="dxa" w:w="60"/>
              <w:right w:type="dxa" w:w="100"/>
            </w:tcMar>
          </w:tcPr>
          <w:p>
            <w:pPr>
              <w:spacing w:after="0" w:line="250"/>
            </w:pPr>
            <w:r>
              <w:rPr>
                <w:b w:val="false"/>
                <w:bCs w:val="false"/>
                <w:sz w:val="20"/>
                <w:szCs w:val="20"/>
              </w:rPr>
              <w:t xml:space="preserve">2 to 3 evenings</w:t>
            </w:r>
          </w:p>
        </w:tc>
        <w:tc>
          <w:tcPr>
            <w:tcW w:type="dxa" w:w="2960"/>
            <w:shd w:fill="F5F8FC" w:color="auto" w:val="clear"/>
            <w:tcMar>
              <w:top w:type="dxa" w:w="60"/>
              <w:left w:type="dxa" w:w="100"/>
              <w:bottom w:type="dxa" w:w="60"/>
              <w:right w:type="dxa" w:w="100"/>
            </w:tcMar>
          </w:tcPr>
          <w:p>
            <w:pPr>
              <w:spacing w:after="0" w:line="250"/>
            </w:pPr>
            <w:r>
              <w:rPr>
                <w:b/>
                <w:bCs/>
                <w:sz w:val="20"/>
                <w:szCs w:val="20"/>
              </w:rPr>
              <w:t xml:space="preserve">Readings arrive within seconds, continuously, for 48h — AND the official Dexcom app shows no degradation in connection reliability or alarm delivery over the same period.</w:t>
            </w:r>
            <w:r>
              <w:rPr>
                <w:b w:val="false"/>
                <w:bCs w:val="false"/>
                <w:sz w:val="20"/>
                <w:szCs w:val="20"/>
              </w:rPr>
              <w:t xml:space="preserve"> Failing the second half means falling back to Share (§4.2.4) before anything else is built.</w:t>
            </w:r>
          </w:p>
        </w:tc>
      </w:tr>
      <w:tr>
        <w:tc>
          <w:tcPr>
            <w:tcW w:type="dxa" w:w="1500"/>
            <w:tcMar>
              <w:top w:type="dxa" w:w="60"/>
              <w:left w:type="dxa" w:w="100"/>
              <w:bottom w:type="dxa" w:w="60"/>
              <w:right w:type="dxa" w:w="100"/>
            </w:tcMar>
          </w:tcPr>
          <w:p>
            <w:pPr>
              <w:spacing w:after="0" w:line="250"/>
            </w:pPr>
            <w:r>
              <w:rPr>
                <w:b w:val="false"/>
                <w:bCs w:val="false"/>
                <w:sz w:val="20"/>
                <w:szCs w:val="20"/>
              </w:rPr>
              <w:t xml:space="preserve">2. BLE source + persistence</w:t>
            </w:r>
          </w:p>
        </w:tc>
        <w:tc>
          <w:tcPr>
            <w:tcW w:type="dxa" w:w="3700"/>
            <w:tcMar>
              <w:top w:type="dxa" w:w="60"/>
              <w:left w:type="dxa" w:w="100"/>
              <w:bottom w:type="dxa" w:w="60"/>
              <w:right w:type="dxa" w:w="100"/>
            </w:tcMar>
          </w:tcPr>
          <w:p>
            <w:pPr>
              <w:spacing w:after="0" w:line="250"/>
            </w:pPr>
            <w:r>
              <w:rPr>
                <w:b w:val="false"/>
                <w:bCs w:val="false"/>
                <w:sz w:val="20"/>
                <w:szCs w:val="20"/>
              </w:rPr>
              <w:t xml:space="preserve">G7BluetoothSource actor, background restoration, timestamp/session-offset handling, reconnection, backfill on reconnect, coordinator, SwiftData persistence, unit tests against recorded messages.</w:t>
            </w:r>
          </w:p>
        </w:tc>
        <w:tc>
          <w:tcPr>
            <w:tcW w:type="dxa" w:w="1200"/>
            <w:tcMar>
              <w:top w:type="dxa" w:w="60"/>
              <w:left w:type="dxa" w:w="100"/>
              <w:bottom w:type="dxa" w:w="60"/>
              <w:right w:type="dxa" w:w="100"/>
            </w:tcMar>
          </w:tcPr>
          <w:p>
            <w:pPr>
              <w:spacing w:after="0" w:line="250"/>
            </w:pPr>
            <w:r>
              <w:rPr>
                <w:b w:val="false"/>
                <w:bCs w:val="false"/>
                <w:sz w:val="20"/>
                <w:szCs w:val="20"/>
              </w:rPr>
              <w:t xml:space="preserve">1 to 2 weeks</w:t>
            </w:r>
          </w:p>
        </w:tc>
        <w:tc>
          <w:tcPr>
            <w:tcW w:type="dxa" w:w="2960"/>
            <w:tcMar>
              <w:top w:type="dxa" w:w="60"/>
              <w:left w:type="dxa" w:w="100"/>
              <w:bottom w:type="dxa" w:w="60"/>
              <w:right w:type="dxa" w:w="100"/>
            </w:tcMar>
          </w:tcPr>
          <w:p>
            <w:pPr>
              <w:spacing w:after="0" w:line="250"/>
            </w:pPr>
            <w:r>
              <w:rPr>
                <w:b w:val="false"/>
                <w:bCs w:val="false"/>
                <w:sz w:val="20"/>
                <w:szCs w:val="20"/>
              </w:rPr>
              <w:t xml:space="preserve">Survives 48h of normal use including a sensor changeover, with no duplicates, no lost readings, and correct timestamps across the session boundary.</w:t>
            </w:r>
          </w:p>
        </w:tc>
      </w:tr>
      <w:tr>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3. v1 UI</w:t>
            </w:r>
          </w:p>
        </w:tc>
        <w:tc>
          <w:tcPr>
            <w:tcW w:type="dxa" w:w="3700"/>
            <w:shd w:fill="F5F8FC" w:color="auto" w:val="clear"/>
            <w:tcMar>
              <w:top w:type="dxa" w:w="60"/>
              <w:left w:type="dxa" w:w="100"/>
              <w:bottom w:type="dxa" w:w="60"/>
              <w:right w:type="dxa" w:w="100"/>
            </w:tcMar>
          </w:tcPr>
          <w:p>
            <w:pPr>
              <w:spacing w:after="0" w:line="250"/>
            </w:pPr>
            <w:r>
              <w:rPr>
                <w:b w:val="false"/>
                <w:bCs w:val="false"/>
                <w:sz w:val="20"/>
                <w:szCs w:val="20"/>
              </w:rPr>
              <w:t xml:space="preserve">Current reading screen, sensor lifecycle states, connection state, 3h chart, theme system, Bedside Mode, settings.</w:t>
            </w:r>
          </w:p>
        </w:tc>
        <w:tc>
          <w:tcPr>
            <w:tcW w:type="dxa" w:w="1200"/>
            <w:shd w:fill="F5F8FC" w:color="auto" w:val="clear"/>
            <w:tcMar>
              <w:top w:type="dxa" w:w="60"/>
              <w:left w:type="dxa" w:w="100"/>
              <w:bottom w:type="dxa" w:w="60"/>
              <w:right w:type="dxa" w:w="100"/>
            </w:tcMar>
          </w:tcPr>
          <w:p>
            <w:pPr>
              <w:spacing w:after="0" w:line="250"/>
            </w:pPr>
            <w:r>
              <w:rPr>
                <w:b w:val="false"/>
                <w:bCs w:val="false"/>
                <w:sz w:val="20"/>
                <w:szCs w:val="20"/>
              </w:rPr>
              <w:t xml:space="preserve">2 to 3 weeks</w:t>
            </w:r>
          </w:p>
        </w:tc>
        <w:tc>
          <w:tcPr>
            <w:tcW w:type="dxa" w:w="2960"/>
            <w:shd w:fill="F5F8FC" w:color="auto" w:val="clear"/>
            <w:tcMar>
              <w:top w:type="dxa" w:w="60"/>
              <w:left w:type="dxa" w:w="100"/>
              <w:bottom w:type="dxa" w:w="60"/>
              <w:right w:type="dxa" w:w="100"/>
            </w:tcMar>
          </w:tcPr>
          <w:p>
            <w:pPr>
              <w:spacing w:after="0" w:line="250"/>
            </w:pPr>
            <w:r>
              <w:rPr>
                <w:b w:val="false"/>
                <w:bCs w:val="false"/>
                <w:sz w:val="20"/>
                <w:szCs w:val="20"/>
              </w:rPr>
              <w:t xml:space="preserve">Daily-usable as a live dark-mode G7 display. Warmup and reconnection read as calm, distinct states.</w:t>
            </w:r>
          </w:p>
        </w:tc>
      </w:tr>
      <w:tr>
        <w:tc>
          <w:tcPr>
            <w:tcW w:type="dxa" w:w="1500"/>
            <w:tcMar>
              <w:top w:type="dxa" w:w="60"/>
              <w:left w:type="dxa" w:w="100"/>
              <w:bottom w:type="dxa" w:w="60"/>
              <w:right w:type="dxa" w:w="100"/>
            </w:tcMar>
          </w:tcPr>
          <w:p>
            <w:pPr>
              <w:spacing w:after="0" w:line="250"/>
            </w:pPr>
            <w:r>
              <w:rPr>
                <w:b w:val="false"/>
                <w:bCs w:val="false"/>
                <w:sz w:val="20"/>
                <w:szCs w:val="20"/>
              </w:rPr>
              <w:t xml:space="preserve">4. History + backfill</w:t>
            </w:r>
          </w:p>
        </w:tc>
        <w:tc>
          <w:tcPr>
            <w:tcW w:type="dxa" w:w="3700"/>
            <w:tcMar>
              <w:top w:type="dxa" w:w="60"/>
              <w:left w:type="dxa" w:w="100"/>
              <w:bottom w:type="dxa" w:w="60"/>
              <w:right w:type="dxa" w:w="100"/>
            </w:tcMar>
          </w:tcPr>
          <w:p>
            <w:pPr>
              <w:spacing w:after="0" w:line="250"/>
            </w:pPr>
            <w:r>
              <w:rPr>
                <w:b w:val="false"/>
                <w:bCs w:val="false"/>
                <w:sz w:val="20"/>
                <w:szCs w:val="20"/>
              </w:rPr>
              <w:t xml:space="preserve">HealthKit 90-day backfill, time-window switcher, five-band statistics, CV, GMI gating, percentile AGP, downsampling and DailyAggregate.</w:t>
            </w:r>
          </w:p>
        </w:tc>
        <w:tc>
          <w:tcPr>
            <w:tcW w:type="dxa" w:w="1200"/>
            <w:tcMar>
              <w:top w:type="dxa" w:w="60"/>
              <w:left w:type="dxa" w:w="100"/>
              <w:bottom w:type="dxa" w:w="60"/>
              <w:right w:type="dxa" w:w="100"/>
            </w:tcMar>
          </w:tcPr>
          <w:p>
            <w:pPr>
              <w:spacing w:after="0" w:line="250"/>
            </w:pPr>
            <w:r>
              <w:rPr>
                <w:b w:val="false"/>
                <w:bCs w:val="false"/>
                <w:sz w:val="20"/>
                <w:szCs w:val="20"/>
              </w:rPr>
              <w:t xml:space="preserve">1 to 2 weeks</w:t>
            </w:r>
          </w:p>
        </w:tc>
        <w:tc>
          <w:tcPr>
            <w:tcW w:type="dxa" w:w="2960"/>
            <w:tcMar>
              <w:top w:type="dxa" w:w="60"/>
              <w:left w:type="dxa" w:w="100"/>
              <w:bottom w:type="dxa" w:w="60"/>
              <w:right w:type="dxa" w:w="100"/>
            </w:tcMar>
          </w:tcPr>
          <w:p>
            <w:pPr>
              <w:spacing w:after="0" w:line="250"/>
            </w:pPr>
            <w:r>
              <w:rPr>
                <w:b w:val="false"/>
                <w:bCs w:val="false"/>
                <w:sz w:val="20"/>
                <w:szCs w:val="20"/>
              </w:rPr>
              <w:t xml:space="preserve">90-day window renders under 500ms with no scroll stutter. Statistics match a hand-computed reference.</w:t>
            </w:r>
          </w:p>
        </w:tc>
      </w:tr>
      <w:tr>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5. Export &amp; backup</w:t>
            </w:r>
          </w:p>
        </w:tc>
        <w:tc>
          <w:tcPr>
            <w:tcW w:type="dxa" w:w="3700"/>
            <w:shd w:fill="F5F8FC" w:color="auto" w:val="clear"/>
            <w:tcMar>
              <w:top w:type="dxa" w:w="60"/>
              <w:left w:type="dxa" w:w="100"/>
              <w:bottom w:type="dxa" w:w="60"/>
              <w:right w:type="dxa" w:w="100"/>
            </w:tcMar>
          </w:tcPr>
          <w:p>
            <w:pPr>
              <w:spacing w:after="0" w:line="250"/>
            </w:pPr>
            <w:r>
              <w:rPr>
                <w:b w:val="false"/>
                <w:bCs w:val="false"/>
                <w:sz w:val="20"/>
                <w:szCs w:val="20"/>
              </w:rPr>
              <w:t xml:space="preserve">CSV/JSON export, database backup and restore, Nightscout-format export.</w:t>
            </w:r>
          </w:p>
        </w:tc>
        <w:tc>
          <w:tcPr>
            <w:tcW w:type="dxa" w:w="1200"/>
            <w:shd w:fill="F5F8FC" w:color="auto" w:val="clear"/>
            <w:tcMar>
              <w:top w:type="dxa" w:w="60"/>
              <w:left w:type="dxa" w:w="100"/>
              <w:bottom w:type="dxa" w:w="60"/>
              <w:right w:type="dxa" w:w="100"/>
            </w:tcMar>
          </w:tcPr>
          <w:p>
            <w:pPr>
              <w:spacing w:after="0" w:line="250"/>
            </w:pPr>
            <w:r>
              <w:rPr>
                <w:b w:val="false"/>
                <w:bCs w:val="false"/>
                <w:sz w:val="20"/>
                <w:szCs w:val="20"/>
              </w:rPr>
              <w:t xml:space="preserve">3 to 4 days</w:t>
            </w:r>
          </w:p>
        </w:tc>
        <w:tc>
          <w:tcPr>
            <w:tcW w:type="dxa" w:w="2960"/>
            <w:shd w:fill="F5F8FC" w:color="auto" w:val="clear"/>
            <w:tcMar>
              <w:top w:type="dxa" w:w="60"/>
              <w:left w:type="dxa" w:w="100"/>
              <w:bottom w:type="dxa" w:w="60"/>
              <w:right w:type="dxa" w:w="100"/>
            </w:tcMar>
          </w:tcPr>
          <w:p>
            <w:pPr>
              <w:spacing w:after="0" w:line="250"/>
            </w:pPr>
            <w:r>
              <w:rPr>
                <w:b w:val="false"/>
                <w:bCs w:val="false"/>
                <w:sz w:val="20"/>
                <w:szCs w:val="20"/>
              </w:rPr>
              <w:t xml:space="preserve">A backup restores cleanly onto a fresh install with zero data loss.</w:t>
            </w:r>
          </w:p>
        </w:tc>
      </w:tr>
      <w:tr>
        <w:tc>
          <w:tcPr>
            <w:tcW w:type="dxa" w:w="1500"/>
            <w:tcMar>
              <w:top w:type="dxa" w:w="60"/>
              <w:left w:type="dxa" w:w="100"/>
              <w:bottom w:type="dxa" w:w="60"/>
              <w:right w:type="dxa" w:w="100"/>
            </w:tcMar>
          </w:tcPr>
          <w:p>
            <w:pPr>
              <w:spacing w:after="0" w:line="250"/>
            </w:pPr>
            <w:r>
              <w:rPr>
                <w:b w:val="false"/>
                <w:bCs w:val="false"/>
                <w:sz w:val="20"/>
                <w:szCs w:val="20"/>
              </w:rPr>
              <w:t xml:space="preserve">6. v1 self-test</w:t>
            </w:r>
          </w:p>
        </w:tc>
        <w:tc>
          <w:tcPr>
            <w:tcW w:type="dxa" w:w="3700"/>
            <w:tcMar>
              <w:top w:type="dxa" w:w="60"/>
              <w:left w:type="dxa" w:w="100"/>
              <w:bottom w:type="dxa" w:w="60"/>
              <w:right w:type="dxa" w:w="100"/>
            </w:tcMar>
          </w:tcPr>
          <w:p>
            <w:pPr>
              <w:spacing w:after="0" w:line="250"/>
            </w:pPr>
            <w:r>
              <w:rPr>
                <w:b w:val="false"/>
                <w:bCs w:val="false"/>
                <w:sz w:val="20"/>
                <w:szCs w:val="20"/>
              </w:rPr>
              <w:t xml:space="preserve">Daily use for 2 to 4 weeks, including the weekly re-signing rhythm. Fix bugs, tune theme.</w:t>
            </w:r>
          </w:p>
        </w:tc>
        <w:tc>
          <w:tcPr>
            <w:tcW w:type="dxa" w:w="1200"/>
            <w:tcMar>
              <w:top w:type="dxa" w:w="60"/>
              <w:left w:type="dxa" w:w="100"/>
              <w:bottom w:type="dxa" w:w="60"/>
              <w:right w:type="dxa" w:w="100"/>
            </w:tcMar>
          </w:tcPr>
          <w:p>
            <w:pPr>
              <w:spacing w:after="0" w:line="250"/>
            </w:pPr>
            <w:r>
              <w:rPr>
                <w:b w:val="false"/>
                <w:bCs w:val="false"/>
                <w:sz w:val="20"/>
                <w:szCs w:val="20"/>
              </w:rPr>
              <w:t xml:space="preserve">2 to 4 weeks</w:t>
            </w:r>
          </w:p>
        </w:tc>
        <w:tc>
          <w:tcPr>
            <w:tcW w:type="dxa" w:w="2960"/>
            <w:tcMar>
              <w:top w:type="dxa" w:w="60"/>
              <w:left w:type="dxa" w:w="100"/>
              <w:bottom w:type="dxa" w:w="60"/>
              <w:right w:type="dxa" w:w="100"/>
            </w:tcMar>
          </w:tcPr>
          <w:p>
            <w:pPr>
              <w:spacing w:after="0" w:line="250"/>
            </w:pPr>
            <w:r>
              <w:rPr>
                <w:b w:val="false"/>
                <w:bCs w:val="false"/>
                <w:sz w:val="20"/>
                <w:szCs w:val="20"/>
              </w:rPr>
              <w:t xml:space="preserve">Opened in preference to the official app for routine checks. No staleness, sensor-state, or reconnection bugs in normal use.</w:t>
            </w:r>
          </w:p>
        </w:tc>
      </w:tr>
      <w:tr>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7. v2 logging</w:t>
            </w:r>
          </w:p>
        </w:tc>
        <w:tc>
          <w:tcPr>
            <w:tcW w:type="dxa" w:w="3700"/>
            <w:shd w:fill="F5F8FC" w:color="auto" w:val="clear"/>
            <w:tcMar>
              <w:top w:type="dxa" w:w="60"/>
              <w:left w:type="dxa" w:w="100"/>
              <w:bottom w:type="dxa" w:w="60"/>
              <w:right w:type="dxa" w:w="100"/>
            </w:tcMar>
          </w:tcPr>
          <w:p>
            <w:pPr>
              <w:spacing w:after="0" w:line="250"/>
            </w:pPr>
            <w:r>
              <w:rPr>
                <w:b w:val="false"/>
                <w:bCs w:val="false"/>
                <w:sz w:val="20"/>
                <w:szCs w:val="20"/>
              </w:rPr>
              <w:t xml:space="preserve">Meal/insulin/exercise model, log UI, quick-pick, HealthKit workout auto-suggestion, timeline overlay, meal fingerprinting.</w:t>
            </w:r>
          </w:p>
        </w:tc>
        <w:tc>
          <w:tcPr>
            <w:tcW w:type="dxa" w:w="1200"/>
            <w:shd w:fill="F5F8FC" w:color="auto" w:val="clear"/>
            <w:tcMar>
              <w:top w:type="dxa" w:w="60"/>
              <w:left w:type="dxa" w:w="100"/>
              <w:bottom w:type="dxa" w:w="60"/>
              <w:right w:type="dxa" w:w="100"/>
            </w:tcMar>
          </w:tcPr>
          <w:p>
            <w:pPr>
              <w:spacing w:after="0" w:line="250"/>
            </w:pPr>
            <w:r>
              <w:rPr>
                <w:b w:val="false"/>
                <w:bCs w:val="false"/>
                <w:sz w:val="20"/>
                <w:szCs w:val="20"/>
              </w:rPr>
              <w:t xml:space="preserve">2 to 3 weeks</w:t>
            </w:r>
          </w:p>
        </w:tc>
        <w:tc>
          <w:tcPr>
            <w:tcW w:type="dxa" w:w="2960"/>
            <w:shd w:fill="F5F8FC" w:color="auto" w:val="clear"/>
            <w:tcMar>
              <w:top w:type="dxa" w:w="60"/>
              <w:left w:type="dxa" w:w="100"/>
              <w:bottom w:type="dxa" w:w="60"/>
              <w:right w:type="dxa" w:w="100"/>
            </w:tcMar>
          </w:tcPr>
          <w:p>
            <w:pPr>
              <w:spacing w:after="0" w:line="250"/>
            </w:pPr>
            <w:r>
              <w:rPr>
                <w:b w:val="false"/>
                <w:bCs w:val="false"/>
                <w:sz w:val="20"/>
                <w:szCs w:val="20"/>
              </w:rPr>
              <w:t xml:space="preserve">A full day of events logged in under 30 seconds each.</w:t>
            </w:r>
          </w:p>
        </w:tc>
      </w:tr>
      <w:tr>
        <w:tc>
          <w:tcPr>
            <w:tcW w:type="dxa" w:w="1500"/>
            <w:tcMar>
              <w:top w:type="dxa" w:w="60"/>
              <w:left w:type="dxa" w:w="100"/>
              <w:bottom w:type="dxa" w:w="60"/>
              <w:right w:type="dxa" w:w="100"/>
            </w:tcMar>
          </w:tcPr>
          <w:p>
            <w:pPr>
              <w:spacing w:after="0" w:line="250"/>
            </w:pPr>
            <w:r>
              <w:rPr>
                <w:b w:val="false"/>
                <w:bCs w:val="false"/>
                <w:sz w:val="20"/>
                <w:szCs w:val="20"/>
              </w:rPr>
              <w:t xml:space="preserve">8. v2 prediction</w:t>
            </w:r>
          </w:p>
        </w:tc>
        <w:tc>
          <w:tcPr>
            <w:tcW w:type="dxa" w:w="3700"/>
            <w:tcMar>
              <w:top w:type="dxa" w:w="60"/>
              <w:left w:type="dxa" w:w="100"/>
              <w:bottom w:type="dxa" w:w="60"/>
              <w:right w:type="dxa" w:w="100"/>
            </w:tcMar>
          </w:tcPr>
          <w:p>
            <w:pPr>
              <w:spacing w:after="0" w:line="250"/>
            </w:pPr>
            <w:r>
              <w:rPr>
                <w:b w:val="false"/>
                <w:bCs w:val="false"/>
                <w:sz w:val="20"/>
                <w:szCs w:val="20"/>
              </w:rPr>
              <w:t xml:space="preserve">IOB (bi-exponential), COB, meal response, damped forecaster, empirical confidence band, backtesting harness, transparency UI. Benchmark against the sensor's own predicted value.</w:t>
            </w:r>
          </w:p>
        </w:tc>
        <w:tc>
          <w:tcPr>
            <w:tcW w:type="dxa" w:w="1200"/>
            <w:tcMar>
              <w:top w:type="dxa" w:w="60"/>
              <w:left w:type="dxa" w:w="100"/>
              <w:bottom w:type="dxa" w:w="60"/>
              <w:right w:type="dxa" w:w="100"/>
            </w:tcMar>
          </w:tcPr>
          <w:p>
            <w:pPr>
              <w:spacing w:after="0" w:line="250"/>
            </w:pPr>
            <w:r>
              <w:rPr>
                <w:b w:val="false"/>
                <w:bCs w:val="false"/>
                <w:sz w:val="20"/>
                <w:szCs w:val="20"/>
              </w:rPr>
              <w:t xml:space="preserve">2 to 3 weeks</w:t>
            </w:r>
          </w:p>
        </w:tc>
        <w:tc>
          <w:tcPr>
            <w:tcW w:type="dxa" w:w="2960"/>
            <w:tcMar>
              <w:top w:type="dxa" w:w="60"/>
              <w:left w:type="dxa" w:w="100"/>
              <w:bottom w:type="dxa" w:w="60"/>
              <w:right w:type="dxa" w:w="100"/>
            </w:tcMar>
          </w:tcPr>
          <w:p>
            <w:pPr>
              <w:spacing w:after="0" w:line="250"/>
            </w:pPr>
            <w:r>
              <w:rPr>
                <w:b w:val="false"/>
                <w:bCs w:val="false"/>
                <w:sz w:val="20"/>
                <w:szCs w:val="20"/>
              </w:rPr>
              <w:t xml:space="preserve">Beats the persistence baseline by the §4.4 margins. Zero points in Parkes zones C/D/E.</w:t>
            </w:r>
          </w:p>
        </w:tc>
      </w:tr>
      <w:tr>
        <w:tc>
          <w:tcPr>
            <w:tcW w:type="dxa" w:w="1500"/>
            <w:shd w:fill="F5F8FC" w:color="auto" w:val="clear"/>
            <w:tcMar>
              <w:top w:type="dxa" w:w="60"/>
              <w:left w:type="dxa" w:w="100"/>
              <w:bottom w:type="dxa" w:w="60"/>
              <w:right w:type="dxa" w:w="100"/>
            </w:tcMar>
          </w:tcPr>
          <w:p>
            <w:pPr>
              <w:spacing w:after="0" w:line="250"/>
            </w:pPr>
            <w:r>
              <w:rPr>
                <w:b/>
                <w:bCs/>
                <w:sz w:val="20"/>
                <w:szCs w:val="20"/>
              </w:rPr>
              <w:t xml:space="preserve">9. Glanceable surfaces</w:t>
            </w:r>
            <w:r>
              <w:rPr>
                <w:b w:val="false"/>
                <w:bCs w:val="false"/>
                <w:sz w:val="20"/>
                <w:szCs w:val="20"/>
              </w:rPr>
              <w:t xml:space="preserve"> [paid membership]</w:t>
            </w:r>
          </w:p>
        </w:tc>
        <w:tc>
          <w:tcPr>
            <w:tcW w:type="dxa" w:w="3700"/>
            <w:shd w:fill="F5F8FC" w:color="auto" w:val="clear"/>
            <w:tcMar>
              <w:top w:type="dxa" w:w="60"/>
              <w:left w:type="dxa" w:w="100"/>
              <w:bottom w:type="dxa" w:w="60"/>
              <w:right w:type="dxa" w:w="100"/>
            </w:tcMar>
          </w:tcPr>
          <w:p>
            <w:pPr>
              <w:spacing w:after="0" w:line="250"/>
            </w:pPr>
            <w:r>
              <w:rPr>
                <w:b w:val="false"/>
                <w:bCs w:val="false"/>
                <w:sz w:val="20"/>
                <w:szCs w:val="20"/>
              </w:rPr>
              <w:t xml:space="preserve">Apple Developer Program enrolment, App Group, Live Activity + Dynamic Island, Watch complication, App Intents.</w:t>
            </w:r>
          </w:p>
        </w:tc>
        <w:tc>
          <w:tcPr>
            <w:tcW w:type="dxa" w:w="1200"/>
            <w:shd w:fill="F5F8FC" w:color="auto" w:val="clear"/>
            <w:tcMar>
              <w:top w:type="dxa" w:w="60"/>
              <w:left w:type="dxa" w:w="100"/>
              <w:bottom w:type="dxa" w:w="60"/>
              <w:right w:type="dxa" w:w="100"/>
            </w:tcMar>
          </w:tcPr>
          <w:p>
            <w:pPr>
              <w:spacing w:after="0" w:line="250"/>
            </w:pPr>
            <w:r>
              <w:rPr>
                <w:b w:val="false"/>
                <w:bCs w:val="false"/>
                <w:sz w:val="20"/>
                <w:szCs w:val="20"/>
              </w:rPr>
              <w:t xml:space="preserve">2 to 3 weeks</w:t>
            </w:r>
          </w:p>
        </w:tc>
        <w:tc>
          <w:tcPr>
            <w:tcW w:type="dxa" w:w="2960"/>
            <w:shd w:fill="F5F8FC" w:color="auto" w:val="clear"/>
            <w:tcMar>
              <w:top w:type="dxa" w:w="60"/>
              <w:left w:type="dxa" w:w="100"/>
              <w:bottom w:type="dxa" w:w="60"/>
              <w:right w:type="dxa" w:w="100"/>
            </w:tcMar>
          </w:tcPr>
          <w:p>
            <w:pPr>
              <w:spacing w:after="0" w:line="250"/>
            </w:pPr>
            <w:r>
              <w:rPr>
                <w:b w:val="false"/>
                <w:bCs w:val="false"/>
                <w:sz w:val="20"/>
                <w:szCs w:val="20"/>
              </w:rPr>
              <w:t xml:space="preserve">Live surfaces stay within one sensor transmission of the in-app value across a full day.</w:t>
            </w:r>
          </w:p>
        </w:tc>
      </w:tr>
      <w:tr>
        <w:tc>
          <w:tcPr>
            <w:tcW w:type="dxa" w:w="1500"/>
            <w:tcMar>
              <w:top w:type="dxa" w:w="60"/>
              <w:left w:type="dxa" w:w="100"/>
              <w:bottom w:type="dxa" w:w="60"/>
              <w:right w:type="dxa" w:w="100"/>
            </w:tcMar>
          </w:tcPr>
          <w:p>
            <w:pPr>
              <w:spacing w:after="0" w:line="250"/>
            </w:pPr>
            <w:r>
              <w:rPr>
                <w:b w:val="false"/>
                <w:bCs w:val="false"/>
                <w:sz w:val="20"/>
                <w:szCs w:val="20"/>
              </w:rPr>
              <w:t xml:space="preserve">10. v2 self-test</w:t>
            </w:r>
          </w:p>
        </w:tc>
        <w:tc>
          <w:tcPr>
            <w:tcW w:type="dxa" w:w="3700"/>
            <w:tcMar>
              <w:top w:type="dxa" w:w="60"/>
              <w:left w:type="dxa" w:w="100"/>
              <w:bottom w:type="dxa" w:w="60"/>
              <w:right w:type="dxa" w:w="100"/>
            </w:tcMar>
          </w:tcPr>
          <w:p>
            <w:pPr>
              <w:spacing w:after="0" w:line="250"/>
            </w:pPr>
            <w:r>
              <w:rPr>
                <w:b w:val="false"/>
                <w:bCs w:val="false"/>
                <w:sz w:val="20"/>
                <w:szCs w:val="20"/>
              </w:rPr>
              <w:t xml:space="preserve">Daily use, refine prediction calibration, tune meal fingerprints.</w:t>
            </w:r>
          </w:p>
        </w:tc>
        <w:tc>
          <w:tcPr>
            <w:tcW w:type="dxa" w:w="1200"/>
            <w:tcMar>
              <w:top w:type="dxa" w:w="60"/>
              <w:left w:type="dxa" w:w="100"/>
              <w:bottom w:type="dxa" w:w="60"/>
              <w:right w:type="dxa" w:w="100"/>
            </w:tcMar>
          </w:tcPr>
          <w:p>
            <w:pPr>
              <w:spacing w:after="0" w:line="250"/>
            </w:pPr>
            <w:r>
              <w:rPr>
                <w:b w:val="false"/>
                <w:bCs w:val="false"/>
                <w:sz w:val="20"/>
                <w:szCs w:val="20"/>
              </w:rPr>
              <w:t xml:space="preserve">2 to 4 weeks</w:t>
            </w:r>
          </w:p>
        </w:tc>
        <w:tc>
          <w:tcPr>
            <w:tcW w:type="dxa" w:w="2960"/>
            <w:tcMar>
              <w:top w:type="dxa" w:w="60"/>
              <w:left w:type="dxa" w:w="100"/>
              <w:bottom w:type="dxa" w:w="60"/>
              <w:right w:type="dxa" w:w="100"/>
            </w:tcMar>
          </w:tcPr>
          <w:p>
            <w:pPr>
              <w:spacing w:after="0" w:line="250"/>
            </w:pPr>
            <w:r>
              <w:rPr>
                <w:b w:val="false"/>
                <w:bCs w:val="false"/>
                <w:sz w:val="20"/>
                <w:szCs w:val="20"/>
              </w:rPr>
              <w:t xml:space="preserve">Predictions feel useful rather than noisy.</w:t>
            </w:r>
          </w:p>
        </w:tc>
      </w:tr>
      <w:tr>
        <w:tc>
          <w:tcPr>
            <w:tcW w:type="dxa" w:w="1500"/>
            <w:shd w:fill="F5F8FC" w:color="auto" w:val="clear"/>
            <w:tcMar>
              <w:top w:type="dxa" w:w="60"/>
              <w:left w:type="dxa" w:w="100"/>
              <w:bottom w:type="dxa" w:w="60"/>
              <w:right w:type="dxa" w:w="100"/>
            </w:tcMar>
          </w:tcPr>
          <w:p>
            <w:pPr>
              <w:spacing w:after="0" w:line="250"/>
            </w:pPr>
            <w:r>
              <w:rPr>
                <w:b w:val="false"/>
                <w:bCs w:val="false"/>
                <w:sz w:val="20"/>
                <w:szCs w:val="20"/>
              </w:rPr>
              <w:t xml:space="preserve">11. v3</w:t>
            </w:r>
          </w:p>
        </w:tc>
        <w:tc>
          <w:tcPr>
            <w:tcW w:type="dxa" w:w="3700"/>
            <w:shd w:fill="F5F8FC" w:color="auto" w:val="clear"/>
            <w:tcMar>
              <w:top w:type="dxa" w:w="60"/>
              <w:left w:type="dxa" w:w="100"/>
              <w:bottom w:type="dxa" w:w="60"/>
              <w:right w:type="dxa" w:w="100"/>
            </w:tcMar>
          </w:tcPr>
          <w:p>
            <w:pPr>
              <w:spacing w:after="0" w:line="250"/>
            </w:pPr>
            <w:r>
              <w:rPr>
                <w:b w:val="false"/>
                <w:bCs w:val="false"/>
                <w:sz w:val="20"/>
                <w:szCs w:val="20"/>
              </w:rPr>
              <w:t xml:space="preserve">AGP PDF, endo prep, Lock Screen/StandBy widgets, HealthKit write-back, iCloud sync, full Watch app.</w:t>
            </w:r>
          </w:p>
        </w:tc>
        <w:tc>
          <w:tcPr>
            <w:tcW w:type="dxa" w:w="1200"/>
            <w:shd w:fill="F5F8FC" w:color="auto" w:val="clear"/>
            <w:tcMar>
              <w:top w:type="dxa" w:w="60"/>
              <w:left w:type="dxa" w:w="100"/>
              <w:bottom w:type="dxa" w:w="60"/>
              <w:right w:type="dxa" w:w="100"/>
            </w:tcMar>
          </w:tcPr>
          <w:p>
            <w:pPr>
              <w:spacing w:after="0" w:line="250"/>
            </w:pPr>
            <w:r>
              <w:rPr>
                <w:b w:val="false"/>
                <w:bCs w:val="false"/>
                <w:sz w:val="20"/>
                <w:szCs w:val="20"/>
              </w:rPr>
              <w:t xml:space="preserve">Ongoing</w:t>
            </w:r>
          </w:p>
        </w:tc>
        <w:tc>
          <w:tcPr>
            <w:tcW w:type="dxa" w:w="2960"/>
            <w:shd w:fill="F5F8FC" w:color="auto" w:val="clear"/>
            <w:tcMar>
              <w:top w:type="dxa" w:w="60"/>
              <w:left w:type="dxa" w:w="100"/>
              <w:bottom w:type="dxa" w:w="60"/>
              <w:right w:type="dxa" w:w="100"/>
            </w:tcMar>
          </w:tcPr>
          <w:p>
            <w:pPr>
              <w:spacing w:after="0" w:line="250"/>
            </w:pPr>
            <w:r>
              <w:rPr>
                <w:b w:val="false"/>
                <w:bCs w:val="false"/>
                <w:sz w:val="20"/>
                <w:szCs w:val="20"/>
              </w:rPr>
              <w:t xml:space="preserve">Each shipped as it is ready.</w:t>
            </w:r>
          </w:p>
        </w:tc>
      </w:tr>
    </w:tbl>
    <w:p>
      <w:pPr>
        <w:spacing w:after="100"/>
      </w:pPr>
    </w:p>
    <w:p>
      <w:pPr>
        <w:spacing w:after="120" w:line="276"/>
      </w:pPr>
      <w:r>
        <w:rPr>
          <w:b w:val="false"/>
          <w:bCs w:val="false"/>
        </w:rPr>
        <w:t xml:space="preserve">Roughly 10 to 17 weeks of evenings to a daily-usable v1, and a further 7 to 12 to v2 — slightly faster than v1.2's estimate, because dropping the Share client and the dual-source coordination logic from v1 removes more work than the BLE integration adds.</w:t>
      </w:r>
    </w:p>
    <w:p>
      <w:pPr>
        <w:pStyle w:val="Heading1"/>
        <w:spacing w:after="160" w:before="360"/>
      </w:pPr>
      <w:r>
        <w:rPr>
          <w:b w:val="false"/>
          <w:bCs w:val="false"/>
        </w:rPr>
        <w:t xml:space="preserve">8. Resolved Decisions</w:t>
      </w:r>
    </w:p>
    <w:p>
      <w:pPr>
        <w:pBdr>
          <w:left w:val="single" w:color="BFD3E6" w:sz="12" w:space="8"/>
        </w:pBdr>
        <w:spacing w:after="160" w:line="260"/>
        <w:ind w:left="180"/>
      </w:pPr>
      <w:r>
        <w:rPr>
          <w:b w:val="false"/>
          <w:bCs w:val="false"/>
          <w:i/>
          <w:iCs/>
          <w:color w:val="595959"/>
          <w:sz w:val="20"/>
          <w:szCs w:val="20"/>
        </w:rPr>
        <w:t xml:space="preserve">New in v1.2. These were §8 “Open Questions” in v1.1; each is now decided, with the reasoning recorded so it is not relitigated.</w:t>
      </w:r>
    </w:p>
    <w:p>
      <w:pPr>
        <w:spacing w:after="100" w:before="180"/>
      </w:pPr>
      <w:r>
        <w:rPr>
          <w:b/>
          <w:bCs/>
          <w:color w:val="1F4D78"/>
        </w:rPr>
        <w:t xml:space="preserve">Carbs: grams only, or also “meal size” (S/M/L)?</w:t>
      </w:r>
    </w:p>
    <w:p>
      <w:pPr>
        <w:spacing w:after="120" w:line="276"/>
      </w:pPr>
      <w:r>
        <w:rPr>
          <w:b/>
          <w:bCs/>
        </w:rPr>
        <w:t xml:space="preserve">Grams only.</w:t>
      </w:r>
      <w:r>
        <w:rPr>
          <w:b w:val="false"/>
          <w:bCs w:val="false"/>
        </w:rPr>
        <w:t xml:space="preserve"> S/M/L is a second unit system that would have to be reconciled with ICR arithmetic (§4.4) to produce a forecast, and any mapping from it to grams is a guess the user cannot inspect. The speed benefit S/M/L was meant to provide is delivered instead by a quick-pick row of the user's own recent and frequent gram entries, which is faster than a size picker and keeps the math exact.</w:t>
      </w:r>
    </w:p>
    <w:p>
      <w:pPr>
        <w:spacing w:after="100" w:before="180"/>
      </w:pPr>
      <w:r>
        <w:rPr>
          <w:b/>
          <w:bCs/>
          <w:color w:val="1F4D78"/>
        </w:rPr>
        <w:t xml:space="preserve">Insulin types: pre-seeded or free-text?</w:t>
      </w:r>
    </w:p>
    <w:p>
      <w:pPr>
        <w:spacing w:after="120" w:line="276"/>
      </w:pPr>
      <w:r>
        <w:rPr>
          <w:b/>
          <w:bCs/>
        </w:rPr>
        <w:t xml:space="preserve">Both, but neither is the point.</w:t>
      </w:r>
      <w:r>
        <w:rPr>
          <w:b w:val="false"/>
          <w:bCs w:val="false"/>
        </w:rPr>
        <w:t xml:space="preserve"> A short pre-seeded list is offered and free-text entry is allowed. What actually matters is the pair of curve parameters (peak, duration) each type carries, because that is the only property the IOB calculation consumes. Every type — seeded or user-created — maps to an editable peak/duration pair with the §4.4 defaults pre-filled. A brand name with no curve attached is decoration.</w:t>
      </w:r>
    </w:p>
    <w:p>
      <w:pPr>
        <w:spacing w:after="100" w:before="180"/>
      </w:pPr>
      <w:r>
        <w:rPr>
          <w:b/>
          <w:bCs/>
          <w:color w:val="1F4D78"/>
        </w:rPr>
        <w:t xml:space="preserve">Confidence band: ±1 SD or ±2 SD?</w:t>
      </w:r>
    </w:p>
    <w:p>
      <w:pPr>
        <w:spacing w:after="120" w:line="276"/>
      </w:pPr>
      <w:r>
        <w:rPr>
          <w:b/>
          <w:bCs/>
        </w:rPr>
        <w:t xml:space="preserve">Neither.</w:t>
      </w:r>
      <w:r>
        <w:rPr>
          <w:b w:val="false"/>
          <w:bCs w:val="false"/>
        </w:rPr>
        <w:t xml:space="preserve"> Both options assume forecast residuals are stationary and normally distributed. They are strongly heteroscedastic — errors are several times larger when glucose is moving fast than when it is flat, which is exactly when the band is consulted. GlucoNoir uses </w:t>
      </w:r>
      <w:r>
        <w:rPr>
          <w:b/>
          <w:bCs/>
        </w:rPr>
        <w:t xml:space="preserve">empirical 10th/90th percentiles of the app's own realised errors</w:t>
      </w:r>
      <w:r>
        <w:rPr>
          <w:b w:val="false"/>
          <w:bCs w:val="false"/>
        </w:rPr>
        <w:t xml:space="preserve"> at each horizon, backtested on the user's own data and recomputed weekly. It is no harder to compute, it needs no distributional assumption, and it widens automatically in the conditions where it should.</w:t>
      </w:r>
    </w:p>
    <w:p>
      <w:pPr>
        <w:spacing w:after="100" w:before="180"/>
      </w:pPr>
      <w:r>
        <w:rPr>
          <w:b/>
          <w:bCs/>
          <w:color w:val="1F4D78"/>
        </w:rPr>
        <w:t xml:space="preserve">Bedside Mode trigger: ambient light, time, or both?</w:t>
      </w:r>
    </w:p>
    <w:p>
      <w:pPr>
        <w:spacing w:after="120" w:line="276"/>
      </w:pPr>
      <w:r>
        <w:rPr>
          <w:b/>
          <w:bCs/>
        </w:rPr>
        <w:t xml:space="preserve">Schedule primary, ambient light as a modifier.</w:t>
      </w:r>
      <w:r>
        <w:rPr>
          <w:b w:val="false"/>
          <w:bCs w:val="false"/>
        </w:rPr>
        <w:t xml:space="preserve"> Pure ambient-light triggering flips modes when walking past a window or into a dark room mid-afternoon, and mode flapping is worse than either mode. The schedule decides whether Bedside Mode is eligible; ambient light within that window modulates the dimming opacity.</w:t>
      </w:r>
    </w:p>
    <w:p>
      <w:pPr>
        <w:spacing w:after="100" w:before="180"/>
      </w:pPr>
      <w:r>
        <w:rPr>
          <w:b/>
          <w:bCs/>
          <w:color w:val="1F4D78"/>
        </w:rPr>
        <w:t xml:space="preserve">v3 closed-loop integration?</w:t>
      </w:r>
    </w:p>
    <w:p>
      <w:pPr>
        <w:spacing w:after="120" w:line="276"/>
      </w:pPr>
      <w:r>
        <w:rPr>
          <w:b/>
          <w:bCs/>
        </w:rPr>
        <w:t xml:space="preserve">No — stay strictly observational, permanently.</w:t>
      </w:r>
      <w:r>
        <w:rPr>
          <w:b w:val="false"/>
          <w:bCs w:val="false"/>
        </w:rPr>
        <w:t xml:space="preserve"> v1.1 recommended this and the recommendation is upgraded to a non-goal (§1.2). The subtler risk worth naming: a prediction curve displayed adjacent to a dose entry field functions as dose guidance regardless of labelling. The §3.2.3 requirement that predictions and dose entry never share a screen region exists for this reason.</w:t>
      </w:r>
    </w:p>
    <w:p>
      <w:pPr>
        <w:pStyle w:val="Heading1"/>
        <w:spacing w:after="160" w:before="360"/>
      </w:pPr>
      <w:r>
        <w:rPr>
          <w:b w:val="false"/>
          <w:bCs w:val="false"/>
        </w:rPr>
        <w:t xml:space="preserve">9. Open Questions</w:t>
      </w:r>
    </w:p>
    <w:p>
      <w:pPr>
        <w:spacing w:after="120" w:line="276"/>
      </w:pPr>
      <w:r>
        <w:rPr>
          <w:b w:val="false"/>
          <w:bCs w:val="false"/>
        </w:rPr>
        <w:t xml:space="preserve">Genuinely undecided. v1.2's first two questions — HealthKit lag and background-delivery eligibility — are resolved and closed: the lag is a documented three hours, and the mechanism is no longer used.</w:t>
      </w:r>
    </w:p>
    <w:p>
      <w:pPr>
        <w:pStyle w:val="ListParagraph"/>
        <w:numPr>
          <w:ilvl w:val="0"/>
          <w:numId w:val="3"/>
        </w:numPr>
        <w:spacing w:after="80" w:line="276"/>
      </w:pPr>
      <w:r>
        <w:rPr>
          <w:b/>
          <w:bCs/>
        </w:rPr>
        <w:t xml:space="preserve">Does a third BLE client destabilise the official Dexcom app?</w:t>
      </w:r>
      <w:r>
        <w:rPr>
          <w:b w:val="false"/>
          <w:bCs w:val="false"/>
        </w:rPr>
        <w:t xml:space="preserve"> The one risk that cannot be retired by reasoning. Phase 1 exists to answer it, and it blocks everything downstream.</w:t>
      </w:r>
    </w:p>
    <w:p>
      <w:pPr>
        <w:pStyle w:val="ListParagraph"/>
        <w:numPr>
          <w:ilvl w:val="0"/>
          <w:numId w:val="3"/>
        </w:numPr>
        <w:spacing w:after="80" w:line="276"/>
      </w:pPr>
      <w:r>
        <w:rPr>
          <w:b/>
          <w:bCs/>
        </w:rPr>
        <w:t xml:space="preserve">How reliable is background BLE reconnection overnight,</w:t>
      </w:r>
      <w:r>
        <w:rPr>
          <w:b w:val="false"/>
          <w:bCs w:val="false"/>
        </w:rPr>
        <w:t xml:space="preserve"> across airplane mode, Bluetooth toggling, and the phone being left across a room? Measure in Phase 2 before trusting the app for the use case that motivated it.</w:t>
      </w:r>
    </w:p>
    <w:p>
      <w:pPr>
        <w:pStyle w:val="ListParagraph"/>
        <w:numPr>
          <w:ilvl w:val="0"/>
          <w:numId w:val="3"/>
        </w:numPr>
        <w:spacing w:after="80" w:line="276"/>
      </w:pPr>
      <w:r>
        <w:rPr>
          <w:b/>
          <w:bCs/>
        </w:rPr>
        <w:t xml:space="preserve">How much history does the sensor's BLE backfill actually retain?</w:t>
      </w:r>
      <w:r>
        <w:rPr>
          <w:b w:val="false"/>
          <w:bCs w:val="false"/>
        </w:rPr>
        <w:t xml:space="preserve"> Determines how much a reconnection can recover and whether HealthKit's daily top-up is needed for gap-filling as well as for the initial 90 days.</w:t>
      </w:r>
    </w:p>
    <w:p>
      <w:pPr>
        <w:pStyle w:val="ListParagraph"/>
        <w:numPr>
          <w:ilvl w:val="0"/>
          <w:numId w:val="3"/>
        </w:numPr>
        <w:spacing w:after="80" w:line="276"/>
      </w:pPr>
      <w:r>
        <w:rPr>
          <w:b/>
          <w:bCs/>
        </w:rPr>
        <w:t xml:space="preserve">Is the sensor's own </w:t>
      </w:r>
      <w:r>
        <w:rPr>
          <w:rFonts w:ascii="Consolas" w:cs="Consolas" w:eastAsia="Consolas" w:hAnsi="Consolas"/>
          <w:b/>
          <w:bCs/>
          <w:sz w:val="19"/>
          <w:szCs w:val="19"/>
        </w:rPr>
        <w:t xml:space="preserve">predicted</w:t>
      </w:r>
      <w:r>
        <w:rPr>
          <w:b/>
          <w:bCs/>
        </w:rPr>
        <w:t xml:space="preserve"> value better than the §4.4 forecaster?</w:t>
      </w:r>
      <w:r>
        <w:rPr>
          <w:b w:val="false"/>
          <w:bCs w:val="false"/>
        </w:rPr>
        <w:t xml:space="preserve"> If Dexcom's on-sensor prediction wins on the user's own data, ship it and delete the forecaster. Benchmark in Phase 8.</w:t>
      </w:r>
    </w:p>
    <w:p>
      <w:pPr>
        <w:pStyle w:val="ListParagraph"/>
        <w:numPr>
          <w:ilvl w:val="0"/>
          <w:numId w:val="3"/>
        </w:numPr>
        <w:spacing w:after="80" w:line="276"/>
      </w:pPr>
      <w:r>
        <w:rPr>
          <w:b/>
          <w:bCs/>
        </w:rPr>
        <w:t xml:space="preserve">Does the weekly re-signing rhythm hold in practice,</w:t>
      </w:r>
      <w:r>
        <w:rPr>
          <w:b w:val="false"/>
          <w:bCs w:val="false"/>
        </w:rPr>
        <w:t xml:space="preserve"> or does the app die at 3am often enough to justify the $99 earlier than Phase 9?</w:t>
      </w:r>
    </w:p>
    <w:p>
      <w:pPr>
        <w:pStyle w:val="ListParagraph"/>
        <w:numPr>
          <w:ilvl w:val="0"/>
          <w:numId w:val="3"/>
        </w:numPr>
        <w:spacing w:after="80" w:line="276"/>
      </w:pPr>
      <w:r>
        <w:rPr>
          <w:b/>
          <w:bCs/>
        </w:rPr>
        <w:t xml:space="preserve">Default exercise sensitivity multiplier.</w:t>
      </w:r>
      <w:r>
        <w:rPr>
          <w:b w:val="false"/>
          <w:bCs w:val="false"/>
        </w:rPr>
        <w:t xml:space="preserve"> 1.5 is a placeholder; derive it from the user's own logged events once Phase 10 has accumulated enough.</w:t>
      </w:r>
    </w:p>
    <w:p>
      <w:pPr>
        <w:pStyle w:val="ListParagraph"/>
        <w:numPr>
          <w:ilvl w:val="0"/>
          <w:numId w:val="3"/>
        </w:numPr>
        <w:spacing w:after="80" w:line="276"/>
      </w:pPr>
      <w:r>
        <w:rPr>
          <w:b/>
          <w:bCs/>
        </w:rPr>
        <w:t xml:space="preserve">How many samples make a meal fingerprint trustworthy?</w:t>
      </w:r>
      <w:r>
        <w:rPr>
          <w:b w:val="false"/>
          <w:bCs w:val="false"/>
        </w:rPr>
        <w:t xml:space="preserve"> Provisional: show individual curves from the first instance, suppress the median and derived statistics until four.</w:t>
      </w:r>
    </w:p>
    <w:p>
      <w:pPr>
        <w:pStyle w:val="Heading1"/>
        <w:spacing w:after="160" w:before="360"/>
      </w:pPr>
      <w:r>
        <w:rPr>
          <w:b w:val="false"/>
          <w:bCs w:val="false"/>
        </w:rPr>
        <w:t xml:space="preserve">10. Success Criteria</w:t>
      </w:r>
    </w:p>
    <w:p>
      <w:pPr>
        <w:spacing w:after="120" w:line="276"/>
      </w:pPr>
      <w:r>
        <w:rPr>
          <w:b w:val="false"/>
          <w:bCs w:val="false"/>
        </w:rPr>
        <w:t xml:space="preserve">This is a personal-use app, so success is measured against the user's own daily experience, not market metrics. v1.1's criteria are retained where they were measurable and tightened where they were not.</w:t>
      </w:r>
    </w:p>
    <w:p>
      <w:pPr>
        <w:pStyle w:val="ListParagraph"/>
        <w:numPr>
          <w:ilvl w:val="0"/>
          <w:numId w:val="2"/>
        </w:numPr>
        <w:spacing w:after="80" w:line="276"/>
      </w:pPr>
      <w:r>
        <w:rPr>
          <w:b/>
          <w:bCs/>
        </w:rPr>
        <w:t xml:space="preserve">Preference.</w:t>
      </w:r>
      <w:r>
        <w:rPr>
          <w:b w:val="false"/>
          <w:bCs w:val="false"/>
        </w:rPr>
        <w:t xml:space="preserve"> The user opens GlucoNoir before the official Dexcom app for routine checks within 30 days of v1. Measurable directly, since the app can count its own launches against a self-reported baseline.</w:t>
      </w:r>
    </w:p>
    <w:p>
      <w:pPr>
        <w:pStyle w:val="ListParagraph"/>
        <w:numPr>
          <w:ilvl w:val="0"/>
          <w:numId w:val="2"/>
        </w:numPr>
        <w:spacing w:after="80" w:line="276"/>
      </w:pPr>
      <w:r>
        <w:rPr>
          <w:b/>
          <w:bCs/>
        </w:rPr>
        <w:t xml:space="preserve">Glance displacement (new).</w:t>
      </w:r>
      <w:r>
        <w:rPr>
          <w:b w:val="false"/>
          <w:bCs w:val="false"/>
        </w:rPr>
        <w:t xml:space="preserve"> After v2, at least half of daily glucose checks are satisfied by the Live Activity, Lock Screen, or Watch complication without opening the app. This is the criterion that reflects §2.2's dominant use case.</w:t>
      </w:r>
    </w:p>
    <w:p>
      <w:pPr>
        <w:pStyle w:val="ListParagraph"/>
        <w:numPr>
          <w:ilvl w:val="0"/>
          <w:numId w:val="2"/>
        </w:numPr>
        <w:spacing w:after="80" w:line="276"/>
      </w:pPr>
      <w:r>
        <w:rPr>
          <w:b/>
          <w:bCs/>
        </w:rPr>
        <w:t xml:space="preserve">Eye strain.</w:t>
      </w:r>
      <w:r>
        <w:rPr>
          <w:b w:val="false"/>
          <w:bCs w:val="false"/>
        </w:rPr>
        <w:t xml:space="preserve"> Nighttime checks are subjectively less unpleasant. Deliberately subjective; a weekly one-tap self-rating in the app makes it trackable without pretending it is objective.</w:t>
      </w:r>
    </w:p>
    <w:p>
      <w:pPr>
        <w:pStyle w:val="ListParagraph"/>
        <w:numPr>
          <w:ilvl w:val="0"/>
          <w:numId w:val="2"/>
        </w:numPr>
        <w:spacing w:after="80" w:line="276"/>
      </w:pPr>
      <w:r>
        <w:rPr>
          <w:b/>
          <w:bCs/>
        </w:rPr>
        <w:t xml:space="preserve">Logging speed.</w:t>
      </w:r>
      <w:r>
        <w:rPr>
          <w:b w:val="false"/>
          <w:bCs w:val="false"/>
        </w:rPr>
        <w:t xml:space="preserve"> Median time from intent to logged event stays under 30 seconds, measured by the app instrumenting its own log flows. Under 10 seconds via App Intents.</w:t>
      </w:r>
    </w:p>
    <w:p>
      <w:pPr>
        <w:pStyle w:val="ListParagraph"/>
        <w:numPr>
          <w:ilvl w:val="0"/>
          <w:numId w:val="2"/>
        </w:numPr>
        <w:spacing w:after="80" w:line="276"/>
      </w:pPr>
      <w:r>
        <w:rPr>
          <w:b/>
          <w:bCs/>
        </w:rPr>
        <w:t xml:space="preserve">Forecast quality.</w:t>
      </w:r>
      <w:r>
        <w:rPr>
          <w:b w:val="false"/>
          <w:bCs w:val="false"/>
        </w:rPr>
        <w:t xml:space="preserve"> The §4.4 validation gate: beats the persistence baseline by at least 15% RMSE at 15 minutes, with zero points in Parkes zones C/D/E. This replaces v1.1's ±20 mg/dL threshold, which a naive baseline passes.</w:t>
      </w:r>
    </w:p>
    <w:p>
      <w:pPr>
        <w:pStyle w:val="ListParagraph"/>
        <w:numPr>
          <w:ilvl w:val="0"/>
          <w:numId w:val="2"/>
        </w:numPr>
        <w:spacing w:after="80" w:line="276"/>
      </w:pPr>
      <w:r>
        <w:rPr>
          <w:b/>
          <w:bCs/>
        </w:rPr>
        <w:t xml:space="preserve">Resilience (new).</w:t>
      </w:r>
      <w:r>
        <w:rPr>
          <w:b w:val="false"/>
          <w:bCs w:val="false"/>
        </w:rPr>
        <w:t xml:space="preserve"> Over any 30-day period after v1, no more than 1% of expected 5-minute samples are permanently missing from the local store, and no single gap exceeds 2 hours while the phone had network. This is the criterion for whether the dual-source architecture actually earned its complexity — v1.1 rewrote the architecture and then never measured whether it worked.</w:t>
      </w:r>
    </w:p>
    <w:p>
      <w:pPr>
        <w:pStyle w:val="ListParagraph"/>
        <w:numPr>
          <w:ilvl w:val="0"/>
          <w:numId w:val="2"/>
        </w:numPr>
        <w:spacing w:after="80" w:line="276"/>
      </w:pPr>
      <w:r>
        <w:rPr>
          <w:b/>
          <w:bCs/>
        </w:rPr>
        <w:t xml:space="preserve">Time in range.</w:t>
      </w:r>
      <w:r>
        <w:rPr>
          <w:b w:val="false"/>
          <w:bCs w:val="false"/>
        </w:rPr>
        <w:t xml:space="preserve"> TIR improves by at least 5 percentage points, sustained over a 30-day window, compared against the 90 days preceding v1 install. v1.1's “any measurable amount” is not a criterion — TIR routinely swings several points week to week on its own, so any threshold below the noise floor will be met by chance. Attribution to the app is explicitly not claimed; this measures whether things got better, not why.</w:t>
      </w:r>
    </w:p>
    <w:p>
      <w:pPr>
        <w:pStyle w:val="Heading1"/>
        <w:spacing w:after="160" w:before="360"/>
      </w:pPr>
      <w:r>
        <w:rPr>
          <w:b w:val="false"/>
          <w:bCs w:val="false"/>
        </w:rPr>
        <w:t xml:space="preserve">Appendix A: Glossary</w:t>
      </w:r>
    </w:p>
    <w:p>
      <w:pPr>
        <w:pStyle w:val="ListParagraph"/>
        <w:numPr>
          <w:ilvl w:val="0"/>
          <w:numId w:val="2"/>
        </w:numPr>
        <w:spacing w:after="80" w:line="276"/>
      </w:pPr>
      <w:r>
        <w:rPr>
          <w:b/>
          <w:bCs/>
        </w:rPr>
        <w:t xml:space="preserve">AGP</w:t>
      </w:r>
      <w:r>
        <w:rPr>
          <w:b w:val="false"/>
          <w:bCs w:val="false"/>
        </w:rPr>
        <w:t xml:space="preserve"> — Ambulatory Glucose Profile. A standardised CGM chart format showing percentile bands of glucose by time of day.</w:t>
      </w:r>
    </w:p>
    <w:p>
      <w:pPr>
        <w:pStyle w:val="ListParagraph"/>
        <w:numPr>
          <w:ilvl w:val="0"/>
          <w:numId w:val="2"/>
        </w:numPr>
        <w:spacing w:after="80" w:line="276"/>
      </w:pPr>
      <w:r>
        <w:rPr>
          <w:b/>
          <w:bCs/>
        </w:rPr>
        <w:t xml:space="preserve">BLE</w:t>
      </w:r>
      <w:r>
        <w:rPr>
          <w:b w:val="false"/>
          <w:bCs w:val="false"/>
        </w:rPr>
        <w:t xml:space="preserve"> — Bluetooth Low Energy. The radio protocol the G7 sensor broadcasts on, and GlucoNoir's primary data path.</w:t>
      </w:r>
    </w:p>
    <w:p>
      <w:pPr>
        <w:pStyle w:val="ListParagraph"/>
        <w:numPr>
          <w:ilvl w:val="0"/>
          <w:numId w:val="2"/>
        </w:numPr>
        <w:spacing w:after="80" w:line="276"/>
      </w:pPr>
      <w:r>
        <w:rPr>
          <w:b/>
          <w:bCs/>
        </w:rPr>
        <w:t xml:space="preserve">CGM</w:t>
      </w:r>
      <w:r>
        <w:rPr>
          <w:b w:val="false"/>
          <w:bCs w:val="false"/>
        </w:rPr>
        <w:t xml:space="preserve"> — Continuous Glucose Monitor (e.g. Dexcom G7).</w:t>
      </w:r>
    </w:p>
    <w:p>
      <w:pPr>
        <w:pStyle w:val="ListParagraph"/>
        <w:numPr>
          <w:ilvl w:val="0"/>
          <w:numId w:val="2"/>
        </w:numPr>
        <w:spacing w:after="80" w:line="276"/>
      </w:pPr>
      <w:r>
        <w:rPr>
          <w:b/>
          <w:bCs/>
        </w:rPr>
        <w:t xml:space="preserve">Direct to Watch</w:t>
      </w:r>
      <w:r>
        <w:rPr>
          <w:b w:val="false"/>
          <w:bCs w:val="false"/>
        </w:rPr>
        <w:t xml:space="preserve"> — Dexcom feature connecting the G7 sensor straight to an Apple Watch, consuming one of the sensor's three Bluetooth channels.</w:t>
      </w:r>
    </w:p>
    <w:p>
      <w:pPr>
        <w:pStyle w:val="ListParagraph"/>
        <w:numPr>
          <w:ilvl w:val="0"/>
          <w:numId w:val="2"/>
        </w:numPr>
        <w:spacing w:after="80" w:line="276"/>
      </w:pPr>
      <w:r>
        <w:rPr>
          <w:b/>
          <w:bCs/>
        </w:rPr>
        <w:t xml:space="preserve">Free personal team</w:t>
      </w:r>
      <w:r>
        <w:rPr>
          <w:b w:val="false"/>
          <w:bCs w:val="false"/>
        </w:rPr>
        <w:t xml:space="preserve"> — Apple's no-cost signing tier. Sufficient for all of GlucoNoir v1; provisioning expires every 7 days (§6.1).</w:t>
      </w:r>
    </w:p>
    <w:p>
      <w:pPr>
        <w:pStyle w:val="ListParagraph"/>
        <w:numPr>
          <w:ilvl w:val="0"/>
          <w:numId w:val="2"/>
        </w:numPr>
        <w:spacing w:after="80" w:line="276"/>
      </w:pPr>
      <w:r>
        <w:rPr>
          <w:b/>
          <w:bCs/>
        </w:rPr>
        <w:t xml:space="preserve">G7SensorKit</w:t>
      </w:r>
      <w:r>
        <w:rPr>
          <w:b w:val="false"/>
          <w:bCs w:val="false"/>
        </w:rPr>
        <w:t xml:space="preserve"> — LoopKit's MIT-licensed Swift package implementing the G7 BLE protocol. GlucoNoir's transport layer.</w:t>
      </w:r>
    </w:p>
    <w:p>
      <w:pPr>
        <w:pStyle w:val="ListParagraph"/>
        <w:numPr>
          <w:ilvl w:val="0"/>
          <w:numId w:val="2"/>
        </w:numPr>
        <w:spacing w:after="80" w:line="276"/>
      </w:pPr>
      <w:r>
        <w:rPr>
          <w:b/>
          <w:bCs/>
        </w:rPr>
        <w:t xml:space="preserve">COB</w:t>
      </w:r>
      <w:r>
        <w:rPr>
          <w:b w:val="false"/>
          <w:bCs w:val="false"/>
        </w:rPr>
        <w:t xml:space="preserve"> — Carbs On Board. Ingested carbohydrate not yet absorbed.</w:t>
      </w:r>
    </w:p>
    <w:p>
      <w:pPr>
        <w:pStyle w:val="ListParagraph"/>
        <w:numPr>
          <w:ilvl w:val="0"/>
          <w:numId w:val="2"/>
        </w:numPr>
        <w:spacing w:after="80" w:line="276"/>
      </w:pPr>
      <w:r>
        <w:rPr>
          <w:b/>
          <w:bCs/>
        </w:rPr>
        <w:t xml:space="preserve">Compression low</w:t>
      </w:r>
      <w:r>
        <w:rPr>
          <w:b w:val="false"/>
          <w:bCs w:val="false"/>
        </w:rPr>
        <w:t xml:space="preserve"> — a falsely low reading caused by physical pressure on the sensor, typically from lying on it. A sensor artifact, not a physiological event.</w:t>
      </w:r>
    </w:p>
    <w:p>
      <w:pPr>
        <w:pStyle w:val="ListParagraph"/>
        <w:numPr>
          <w:ilvl w:val="0"/>
          <w:numId w:val="2"/>
        </w:numPr>
        <w:spacing w:after="80" w:line="276"/>
      </w:pPr>
      <w:r>
        <w:rPr>
          <w:b/>
          <w:bCs/>
        </w:rPr>
        <w:t xml:space="preserve">CV</w:t>
      </w:r>
      <w:r>
        <w:rPr>
          <w:b w:val="false"/>
          <w:bCs w:val="false"/>
        </w:rPr>
        <w:t xml:space="preserve"> — Coefficient of Variation. SD divided by mean, expressed as a percentage. The standard glycaemic variability metric; target below 36%.</w:t>
      </w:r>
    </w:p>
    <w:p>
      <w:pPr>
        <w:pStyle w:val="ListParagraph"/>
        <w:numPr>
          <w:ilvl w:val="0"/>
          <w:numId w:val="2"/>
        </w:numPr>
        <w:spacing w:after="80" w:line="276"/>
      </w:pPr>
      <w:r>
        <w:rPr>
          <w:b/>
          <w:bCs/>
        </w:rPr>
        <w:t xml:space="preserve">DIA</w:t>
      </w:r>
      <w:r>
        <w:rPr>
          <w:b w:val="false"/>
          <w:bCs w:val="false"/>
        </w:rPr>
        <w:t xml:space="preserve"> — Duration of Insulin Action. How long a dose remains active; 5 to 6 hours for rapid analogues.</w:t>
      </w:r>
    </w:p>
    <w:p>
      <w:pPr>
        <w:pStyle w:val="ListParagraph"/>
        <w:numPr>
          <w:ilvl w:val="0"/>
          <w:numId w:val="2"/>
        </w:numPr>
        <w:spacing w:after="80" w:line="276"/>
      </w:pPr>
      <w:r>
        <w:rPr>
          <w:b/>
          <w:bCs/>
        </w:rPr>
        <w:t xml:space="preserve">GMI</w:t>
      </w:r>
      <w:r>
        <w:rPr>
          <w:b w:val="false"/>
          <w:bCs w:val="false"/>
        </w:rPr>
        <w:t xml:space="preserve"> — Glucose Management Indicator. An A1C estimate derived from mean CGM glucose. Requires at least 14 days at 70% capture to be meaningful.</w:t>
      </w:r>
    </w:p>
    <w:p>
      <w:pPr>
        <w:pStyle w:val="ListParagraph"/>
        <w:numPr>
          <w:ilvl w:val="0"/>
          <w:numId w:val="2"/>
        </w:numPr>
        <w:spacing w:after="80" w:line="276"/>
      </w:pPr>
      <w:r>
        <w:rPr>
          <w:b/>
          <w:bCs/>
        </w:rPr>
        <w:t xml:space="preserve">ICR</w:t>
      </w:r>
      <w:r>
        <w:rPr>
          <w:b w:val="false"/>
          <w:bCs w:val="false"/>
        </w:rPr>
        <w:t xml:space="preserve"> — Insulin-to-Carb Ratio. Grams of carbohydrate covered by one unit of insulin.</w:t>
      </w:r>
    </w:p>
    <w:p>
      <w:pPr>
        <w:pStyle w:val="ListParagraph"/>
        <w:numPr>
          <w:ilvl w:val="0"/>
          <w:numId w:val="2"/>
        </w:numPr>
        <w:spacing w:after="80" w:line="276"/>
      </w:pPr>
      <w:r>
        <w:rPr>
          <w:b/>
          <w:bCs/>
        </w:rPr>
        <w:t xml:space="preserve">IOB</w:t>
      </w:r>
      <w:r>
        <w:rPr>
          <w:b w:val="false"/>
          <w:bCs w:val="false"/>
        </w:rPr>
        <w:t xml:space="preserve"> — Insulin On Board. Active insulin still working in the body.</w:t>
      </w:r>
    </w:p>
    <w:p>
      <w:pPr>
        <w:pStyle w:val="ListParagraph"/>
        <w:numPr>
          <w:ilvl w:val="0"/>
          <w:numId w:val="2"/>
        </w:numPr>
        <w:spacing w:after="80" w:line="276"/>
      </w:pPr>
      <w:r>
        <w:rPr>
          <w:b/>
          <w:bCs/>
        </w:rPr>
        <w:t xml:space="preserve">ISF</w:t>
      </w:r>
      <w:r>
        <w:rPr>
          <w:b w:val="false"/>
          <w:bCs w:val="false"/>
        </w:rPr>
        <w:t xml:space="preserve"> — Insulin Sensitivity Factor. Expected mg/dL drop per unit of insulin. Also called correction factor.</w:t>
      </w:r>
    </w:p>
    <w:p>
      <w:pPr>
        <w:pStyle w:val="ListParagraph"/>
        <w:numPr>
          <w:ilvl w:val="0"/>
          <w:numId w:val="2"/>
        </w:numPr>
        <w:spacing w:after="80" w:line="276"/>
      </w:pPr>
      <w:r>
        <w:rPr>
          <w:b/>
          <w:bCs/>
        </w:rPr>
        <w:t xml:space="preserve">MDI</w:t>
      </w:r>
      <w:r>
        <w:rPr>
          <w:b w:val="false"/>
          <w:bCs w:val="false"/>
        </w:rPr>
        <w:t xml:space="preserve"> — Multiple Daily Injections. A non-pump insulin regimen.</w:t>
      </w:r>
    </w:p>
    <w:p>
      <w:pPr>
        <w:pStyle w:val="ListParagraph"/>
        <w:numPr>
          <w:ilvl w:val="0"/>
          <w:numId w:val="2"/>
        </w:numPr>
        <w:spacing w:after="80" w:line="276"/>
      </w:pPr>
      <w:r>
        <w:rPr>
          <w:b/>
          <w:bCs/>
        </w:rPr>
        <w:t xml:space="preserve">Parkes error grid</w:t>
      </w:r>
      <w:r>
        <w:rPr>
          <w:b w:val="false"/>
          <w:bCs w:val="false"/>
        </w:rPr>
        <w:t xml:space="preserve"> — a clinical-significance plot for glucose estimates, dividing predicted-versus-actual space into zones by the severity of the consequence of the error.</w:t>
      </w:r>
    </w:p>
    <w:p>
      <w:pPr>
        <w:pStyle w:val="ListParagraph"/>
        <w:numPr>
          <w:ilvl w:val="0"/>
          <w:numId w:val="2"/>
        </w:numPr>
        <w:spacing w:after="80" w:line="276"/>
      </w:pPr>
      <w:r>
        <w:rPr>
          <w:b/>
          <w:bCs/>
        </w:rPr>
        <w:t xml:space="preserve">Persistence baseline</w:t>
      </w:r>
      <w:r>
        <w:rPr>
          <w:b w:val="false"/>
          <w:bCs w:val="false"/>
        </w:rPr>
        <w:t xml:space="preserve"> — the trivial forecast “the next value equals the current value.” The benchmark any real forecaster must beat.</w:t>
      </w:r>
    </w:p>
    <w:p>
      <w:pPr>
        <w:pStyle w:val="ListParagraph"/>
        <w:numPr>
          <w:ilvl w:val="0"/>
          <w:numId w:val="2"/>
        </w:numPr>
        <w:spacing w:after="80" w:line="276"/>
      </w:pPr>
      <w:r>
        <w:rPr>
          <w:b/>
          <w:bCs/>
        </w:rPr>
        <w:t xml:space="preserve">T1D</w:t>
      </w:r>
      <w:r>
        <w:rPr>
          <w:b w:val="false"/>
          <w:bCs w:val="false"/>
        </w:rPr>
        <w:t xml:space="preserve"> — Type 1 Diabetes.</w:t>
      </w:r>
    </w:p>
    <w:p>
      <w:pPr>
        <w:pStyle w:val="ListParagraph"/>
        <w:numPr>
          <w:ilvl w:val="0"/>
          <w:numId w:val="2"/>
        </w:numPr>
        <w:spacing w:after="80" w:line="276"/>
      </w:pPr>
      <w:r>
        <w:rPr>
          <w:b/>
          <w:bCs/>
        </w:rPr>
        <w:t xml:space="preserve">Time in Range (TIR)</w:t>
      </w:r>
      <w:r>
        <w:rPr>
          <w:b w:val="false"/>
          <w:bCs w:val="false"/>
        </w:rPr>
        <w:t xml:space="preserve"> — percentage of CGM readings within the target range, conventionally 70 to 180 mg/dL.</w:t>
      </w:r>
    </w:p>
    <w:p>
      <w:r>
        <w:br w:type="page"/>
      </w:r>
    </w:p>
    <w:p>
      <w:pPr>
        <w:pStyle w:val="Heading1"/>
        <w:spacing w:after="160" w:before="360"/>
      </w:pPr>
      <w:r>
        <w:rPr>
          <w:b w:val="false"/>
          <w:bCs w:val="false"/>
        </w:rPr>
        <w:t xml:space="preserve">Appendix B: Review Findings Log</w:t>
      </w:r>
    </w:p>
    <w:p>
      <w:pPr>
        <w:spacing w:after="120" w:line="276"/>
      </w:pPr>
      <w:r>
        <w:rPr>
          <w:b w:val="false"/>
          <w:bCs w:val="false"/>
        </w:rPr>
        <w:t xml:space="preserve">Every change made across both review passes, with the finding that prompted it. Ordered by severity within each pass so the material changes can be reviewed first. “Blocking” means the app would not have worked as specified.</w:t>
      </w:r>
    </w:p>
    <w:p>
      <w:pPr>
        <w:pBdr>
          <w:left w:val="single" w:color="BFD3E6" w:sz="12" w:space="8"/>
        </w:pBdr>
        <w:spacing w:after="160" w:line="260"/>
        <w:ind w:left="180"/>
      </w:pPr>
      <w:r>
        <w:rPr>
          <w:b w:val="false"/>
          <w:bCs w:val="false"/>
          <w:i/>
          <w:iCs/>
          <w:color w:val="595959"/>
          <w:sz w:val="20"/>
          <w:szCs w:val="20"/>
        </w:rPr>
        <w:t xml:space="preserve">Section references in B.1 to B.6 use the numbering of v1.2, the revision in which those changes were made. Sections were renumbered in v1.3 when the source layer was restructured; B.7 uses current numbering. Where the two conflict, B.7 supersedes — several v1.2 fixes were to a HealthKit-primary design that v1.3 discarded outright.</w:t>
      </w:r>
    </w:p>
    <w:p>
      <w:pPr>
        <w:pStyle w:val="Heading2"/>
        <w:spacing w:after="140" w:before="280"/>
      </w:pPr>
      <w:r>
        <w:rPr>
          <w:b w:val="false"/>
          <w:bCs w:val="false"/>
        </w:rPr>
        <w:t xml:space="preserve">B.1 Blocking Technical Errors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BGAppRefreshTask cannot deliver a 15-minute background poll; earliestBeginDate is a floor, not a schedule, and is least likely to fire overnight.</w:t>
            </w:r>
          </w:p>
        </w:tc>
        <w:tc>
          <w:tcPr>
            <w:tcW w:type="dxa" w:w="4100"/>
            <w:tcMar>
              <w:top w:type="dxa" w:w="60"/>
              <w:left w:type="dxa" w:w="100"/>
              <w:bottom w:type="dxa" w:w="60"/>
              <w:right w:type="dxa" w:w="100"/>
            </w:tcMar>
          </w:tcPr>
          <w:p>
            <w:pPr>
              <w:spacing w:after="0" w:line="250"/>
            </w:pPr>
            <w:r>
              <w:rPr>
                <w:b w:val="false"/>
                <w:bCs w:val="false"/>
                <w:sz w:val="20"/>
                <w:szCs w:val="20"/>
              </w:rPr>
              <w:t xml:space="preserve">Background architecture inverted: HealthKit background delivery is the wake mechanism; Share polled opportunistically inside each wake; BGAppRefreshTask demoted to a daily janitor.</w:t>
            </w:r>
          </w:p>
        </w:tc>
        <w:tc>
          <w:tcPr>
            <w:tcW w:type="dxa" w:w="1760"/>
            <w:tcMar>
              <w:top w:type="dxa" w:w="60"/>
              <w:left w:type="dxa" w:w="100"/>
              <w:bottom w:type="dxa" w:w="60"/>
              <w:right w:type="dxa" w:w="100"/>
            </w:tcMar>
          </w:tcPr>
          <w:p>
            <w:pPr>
              <w:spacing w:after="0" w:line="250"/>
            </w:pPr>
            <w:r>
              <w:rPr>
                <w:b w:val="false"/>
                <w:bCs w:val="false"/>
                <w:sz w:val="20"/>
                <w:szCs w:val="20"/>
              </w:rPr>
              <w:t xml:space="preserve">§3.1.1, §4.1, §4.2.1,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HealthKit background delivery entitlement was never mentioned; without it the observer does not fire when backgrounded.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Entitlement added to the stack table and the source spec; verified in Phase 0.</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§4.1, §4.2.2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kSecAttrAccessibleWhenUnlockedThisDeviceOnly makes credentials unreadable while the device is locked, breaking every background Share poll and all operation after reboot until first unlock.</w:t>
            </w:r>
          </w:p>
        </w:tc>
        <w:tc>
          <w:tcPr>
            <w:tcW w:type="dxa" w:w="4100"/>
            <w:tcMar>
              <w:top w:type="dxa" w:w="60"/>
              <w:left w:type="dxa" w:w="100"/>
              <w:bottom w:type="dxa" w:w="60"/>
              <w:right w:type="dxa" w:w="100"/>
            </w:tcMar>
          </w:tcPr>
          <w:p>
            <w:pPr>
              <w:spacing w:after="0" w:line="250"/>
            </w:pPr>
            <w:r>
              <w:rPr>
                <w:b w:val="false"/>
                <w:bCs w:val="false"/>
                <w:sz w:val="20"/>
                <w:szCs w:val="20"/>
              </w:rPr>
              <w:t xml:space="preserve">Changed to kSecAttrAccessibleAfterFirstUnlockThisDeviceOnly.</w:t>
            </w:r>
          </w:p>
        </w:tc>
        <w:tc>
          <w:tcPr>
            <w:tcW w:type="dxa" w:w="1760"/>
            <w:tcMar>
              <w:top w:type="dxa" w:w="60"/>
              <w:left w:type="dxa" w:w="100"/>
              <w:bottom w:type="dxa" w:w="60"/>
              <w:right w:type="dxa" w:w="100"/>
            </w:tcMar>
          </w:tcPr>
          <w:p>
            <w:pPr>
              <w:spacing w:after="0" w:line="250"/>
            </w:pPr>
            <w:r>
              <w:rPr>
                <w:b w:val="false"/>
                <w:bCs w:val="false"/>
                <w:sz w:val="20"/>
                <w:szCs w:val="20"/>
              </w:rPr>
              <w:t xml:space="preserve">§6</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unique syncId attribute is incompatible with SwiftData's CloudKit backing, which v3 commits to.</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No unique attributes anywhere; dedup enforced in the coordinator with an indexed non-unique dedupKey and explicit upsert. CloudKit's optional-property and delete-rule constraints adopted from v1.</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§4.2.4, §4.3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No App Group container; widgets, Live Activity, and Watch cannot read the default store, and retrofitting means migrating the whole history.</w:t>
            </w:r>
          </w:p>
        </w:tc>
        <w:tc>
          <w:tcPr>
            <w:tcW w:type="dxa" w:w="4100"/>
            <w:tcMar>
              <w:top w:type="dxa" w:w="60"/>
              <w:left w:type="dxa" w:w="100"/>
              <w:bottom w:type="dxa" w:w="60"/>
              <w:right w:type="dxa" w:w="100"/>
            </w:tcMar>
          </w:tcPr>
          <w:p>
            <w:pPr>
              <w:spacing w:after="0" w:line="250"/>
            </w:pPr>
            <w:r>
              <w:rPr>
                <w:b w:val="false"/>
                <w:bCs w:val="false"/>
                <w:sz w:val="20"/>
                <w:szCs w:val="20"/>
              </w:rPr>
              <w:t xml:space="preserve">App Group mandated from Phase 0, including the HealthKit anchor.</w:t>
            </w:r>
          </w:p>
        </w:tc>
        <w:tc>
          <w:tcPr>
            <w:tcW w:type="dxa" w:w="1760"/>
            <w:tcMar>
              <w:top w:type="dxa" w:w="60"/>
              <w:left w:type="dxa" w:w="100"/>
              <w:bottom w:type="dxa" w:w="60"/>
              <w:right w:type="dxa" w:w="100"/>
            </w:tcMar>
          </w:tcPr>
          <w:p>
            <w:pPr>
              <w:spacing w:after="0" w:line="250"/>
            </w:pPr>
            <w:r>
              <w:rPr>
                <w:b w:val="false"/>
                <w:bCs w:val="false"/>
                <w:sz w:val="20"/>
                <w:szCs w:val="20"/>
              </w:rPr>
              <w:t xml:space="preserve">§4.1, §4.2.2, §4.3, §4.6,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Blanket exponential backoff applied to a 401 retries bad credentials indefinitely and can lock the Dexcom account the official app depends on.</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Auth failures stop immediately and prompt; only transient failures back off.</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§3.1.1, §4.2.3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An app cannot set brightness for its own window; UIScreen.main.brightness is global and persistent, and a crash leaves the device stuck dim.</w:t>
            </w:r>
          </w:p>
        </w:tc>
        <w:tc>
          <w:tcPr>
            <w:tcW w:type="dxa" w:w="4100"/>
            <w:tcMar>
              <w:top w:type="dxa" w:w="60"/>
              <w:left w:type="dxa" w:w="100"/>
              <w:bottom w:type="dxa" w:w="60"/>
              <w:right w:type="dxa" w:w="100"/>
            </w:tcMar>
          </w:tcPr>
          <w:p>
            <w:pPr>
              <w:spacing w:after="0" w:line="250"/>
            </w:pPr>
            <w:r>
              <w:rPr>
                <w:b w:val="false"/>
                <w:bCs w:val="false"/>
                <w:sz w:val="20"/>
                <w:szCs w:val="20"/>
              </w:rPr>
              <w:t xml:space="preserve">Bedside dimming reimplemented as a black overlay with adjustable opacity; optional system dimming requires capture and guaranteed restore.</w:t>
            </w:r>
          </w:p>
        </w:tc>
        <w:tc>
          <w:tcPr>
            <w:tcW w:type="dxa" w:w="1760"/>
            <w:tcMar>
              <w:top w:type="dxa" w:w="60"/>
              <w:left w:type="dxa" w:w="100"/>
              <w:bottom w:type="dxa" w:w="60"/>
              <w:right w:type="dxa" w:w="100"/>
            </w:tcMar>
          </w:tcPr>
          <w:p>
            <w:pPr>
              <w:spacing w:after="0" w:line="250"/>
            </w:pPr>
            <w:r>
              <w:rPr>
                <w:b w:val="false"/>
                <w:bCs w:val="false"/>
                <w:sz w:val="20"/>
                <w:szCs w:val="20"/>
              </w:rPr>
              <w:t xml:space="preserve">§5.3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Share auth flow, applicationId, Microsoft date format, and integer/string trend polymorphism were unspecified — each an established breakage source.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Full protocol spec added, with an instruction to pin against a maintained reference implementation.</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§4.2.3</w:t>
            </w:r>
          </w:p>
        </w:tc>
      </w:tr>
    </w:tbl>
    <w:p>
      <w:pPr>
        <w:pStyle w:val="Heading2"/>
        <w:spacing w:after="140" w:before="280"/>
      </w:pPr>
      <w:r>
        <w:rPr>
          <w:b w:val="false"/>
          <w:bCs w:val="false"/>
        </w:rPr>
        <w:t xml:space="preserve">B.2 Clinical &amp; Mathematical Errors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Linear 4-hour IOB decay is wrong in shape (activity peaks, it does not decline linearly) and duration (5–6 hours, not 4). The error propagated into every prediction via the meal estimator.</w:t>
            </w:r>
          </w:p>
        </w:tc>
        <w:tc>
          <w:tcPr>
            <w:tcW w:type="dxa" w:w="4100"/>
            <w:tcMar>
              <w:top w:type="dxa" w:w="60"/>
              <w:left w:type="dxa" w:w="100"/>
              <w:bottom w:type="dxa" w:w="60"/>
              <w:right w:type="dxa" w:w="100"/>
            </w:tcMar>
          </w:tcPr>
          <w:p>
            <w:pPr>
              <w:spacing w:after="0" w:line="250"/>
            </w:pPr>
            <w:r>
              <w:rPr>
                <w:b w:val="false"/>
                <w:bCs w:val="false"/>
                <w:sz w:val="20"/>
                <w:szCs w:val="20"/>
              </w:rPr>
              <w:t xml:space="preserve">Bi-exponential LoopKit model with explicit formula; defaults peak 75 min / duration 360 min for rapid, 55/300 for ultra-rapid; all editable.</w:t>
            </w:r>
          </w:p>
        </w:tc>
        <w:tc>
          <w:tcPr>
            <w:tcW w:type="dxa" w:w="1760"/>
            <w:tcMar>
              <w:top w:type="dxa" w:w="60"/>
              <w:left w:type="dxa" w:w="100"/>
              <w:bottom w:type="dxa" w:w="60"/>
              <w:right w:type="dxa" w:w="100"/>
            </w:tcMar>
          </w:tcPr>
          <w:p>
            <w:pPr>
              <w:spacing w:after="0" w:line="250"/>
            </w:pPr>
            <w:r>
              <w:rPr>
                <w:b w:val="false"/>
                <w:bCs w:val="false"/>
                <w:sz w:val="20"/>
                <w:szCs w:val="20"/>
              </w:rPr>
              <w:t xml:space="preserve">§3.2.3, §4.4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Long-acting insulin was logged and fed into IOB undifferentiated, making the IOB figure meaningless.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Basal explicitly excluded from IOB; logged and displayed separately.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§3.2.1, §4.3, §4.4</w:t>
            </w:r>
          </w:p>
        </w:tc>
      </w:tr>
      <w:tr>
        <w:tc>
          <w:tcPr>
            <w:tcW w:type="dxa" w:w="3500"/>
            <w:tcMar>
              <w:top w:type="dxa" w:w="60"/>
              <w:left w:type="dxa" w:w="100"/>
              <w:bottom w:type="dxa" w:w="60"/>
              <w:right w:type="dxa" w:w="100"/>
            </w:tcMar>
          </w:tcPr>
          <w:p>
            <w:pPr>
              <w:spacing w:after="0" w:line="250"/>
            </w:pPr>
            <w:r>
              <w:rPr>
                <w:b w:val="false"/>
                <w:bCs w:val="false"/>
                <w:sz w:val="20"/>
                <w:szCs w:val="20"/>
              </w:rPr>
              <w:t xml:space="preserve">MealResponseEstimator was mathematically impossible as specified — carbs-to-mg/dL needs ICR and insulin-to-mg/dL needs ISF, and neither existed in the settings or the data model.</w:t>
            </w:r>
          </w:p>
        </w:tc>
        <w:tc>
          <w:tcPr>
            <w:tcW w:type="dxa" w:w="4100"/>
            <w:tcMar>
              <w:top w:type="dxa" w:w="60"/>
              <w:left w:type="dxa" w:w="100"/>
              <w:bottom w:type="dxa" w:w="60"/>
              <w:right w:type="dxa" w:w="100"/>
            </w:tcMar>
          </w:tcPr>
          <w:p>
            <w:pPr>
              <w:spacing w:after="0" w:line="250"/>
            </w:pPr>
            <w:r>
              <w:rPr>
                <w:b w:val="false"/>
                <w:bCs w:val="false"/>
                <w:sz w:val="20"/>
                <w:szCs w:val="20"/>
              </w:rPr>
              <w:t xml:space="preserve">ISF and ICR added as required settings and model fields; explicit prediction formula; forecast disabled until both are entered.</w:t>
            </w:r>
          </w:p>
        </w:tc>
        <w:tc>
          <w:tcPr>
            <w:tcW w:type="dxa" w:w="1760"/>
            <w:tcMar>
              <w:top w:type="dxa" w:w="60"/>
              <w:left w:type="dxa" w:w="100"/>
              <w:bottom w:type="dxa" w:w="60"/>
              <w:right w:type="dxa" w:w="100"/>
            </w:tcMar>
          </w:tcPr>
          <w:p>
            <w:pPr>
              <w:spacing w:after="0" w:line="250"/>
            </w:pPr>
            <w:r>
              <w:rPr>
                <w:b w:val="false"/>
                <w:bCs w:val="false"/>
                <w:sz w:val="20"/>
                <w:szCs w:val="20"/>
              </w:rPr>
              <w:t xml:space="preserve">§3.1.6, §4.3, §4.4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GMI would have been computed for 3-hour windows, where it is meaningless.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Gated to windows ≥14 days with ≥70% capture; hidden otherwise. Formula stated explicitly.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Three-band time-in-range does not match the consensus definition or any AGP report, despite AGP export being a stated goal.</w:t>
            </w:r>
          </w:p>
        </w:tc>
        <w:tc>
          <w:tcPr>
            <w:tcW w:type="dxa" w:w="4100"/>
            <w:tcMar>
              <w:top w:type="dxa" w:w="60"/>
              <w:left w:type="dxa" w:w="100"/>
              <w:bottom w:type="dxa" w:w="60"/>
              <w:right w:type="dxa" w:w="100"/>
            </w:tcMar>
          </w:tcPr>
          <w:p>
            <w:pPr>
              <w:spacing w:after="0" w:line="250"/>
            </w:pPr>
            <w:r>
              <w:rPr>
                <w:b w:val="false"/>
                <w:bCs w:val="false"/>
                <w:sz w:val="20"/>
                <w:szCs w:val="20"/>
              </w:rPr>
              <w:t xml:space="preserve">Five-band TIR with consensus thresholds and targets.</w:t>
            </w:r>
          </w:p>
        </w:tc>
        <w:tc>
          <w:tcPr>
            <w:tcW w:type="dxa" w:w="1760"/>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Coefficient of variation — the standard variability metric — was absent; raw SD was reported instead.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CV added and emphasised; SD retained but de-emphasised. Data-capture percentage added.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described “AGP overlay” is a spaghetti plot, not an AGP; v3 then promised an AGP-styled PDF.</w:t>
            </w:r>
          </w:p>
        </w:tc>
        <w:tc>
          <w:tcPr>
            <w:tcW w:type="dxa" w:w="4100"/>
            <w:tcMar>
              <w:top w:type="dxa" w:w="60"/>
              <w:left w:type="dxa" w:w="100"/>
              <w:bottom w:type="dxa" w:w="60"/>
              <w:right w:type="dxa" w:w="100"/>
            </w:tcMar>
          </w:tcPr>
          <w:p>
            <w:pPr>
              <w:spacing w:after="0" w:line="250"/>
            </w:pPr>
            <w:r>
              <w:rPr>
                <w:b w:val="false"/>
                <w:bCs w:val="false"/>
                <w:sz w:val="20"/>
                <w:szCs w:val="20"/>
              </w:rPr>
              <w:t xml:space="preserve">Percentile-band computation (5/25/50/75/95 in 30-minute bins) specified in v1, making the v3 export a rendering task.</w:t>
            </w:r>
          </w:p>
        </w:tc>
        <w:tc>
          <w:tcPr>
            <w:tcW w:type="dxa" w:w="1760"/>
            <w:tcMar>
              <w:top w:type="dxa" w:w="60"/>
              <w:left w:type="dxa" w:w="100"/>
              <w:bottom w:type="dxa" w:w="60"/>
              <w:right w:type="dxa" w:w="100"/>
            </w:tcMar>
          </w:tcPr>
          <w:p>
            <w:pPr>
              <w:spacing w:after="0" w:line="250"/>
            </w:pPr>
            <w:r>
              <w:rPr>
                <w:b w:val="false"/>
                <w:bCs w:val="false"/>
                <w:sz w:val="20"/>
                <w:szCs w:val="20"/>
              </w:rPr>
              <w:t xml:space="preserve">§3.1.5, §3.3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±20 mg/dL / 80% accuracy target is passed by a naive persistence baseline, so it demonstrates nothing.</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Replaced with mandatory persistence-baseline comparison, zone-stratified error, and a Parkes error grid gate.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§4.4, §10</w:t>
            </w:r>
          </w:p>
        </w:tc>
      </w:tr>
      <w:tr>
        <w:tc>
          <w:tcPr>
            <w:tcW w:type="dxa" w:w="3500"/>
            <w:tcMar>
              <w:top w:type="dxa" w:w="60"/>
              <w:left w:type="dxa" w:w="100"/>
              <w:bottom w:type="dxa" w:w="60"/>
              <w:right w:type="dxa" w:w="100"/>
            </w:tcMar>
          </w:tcPr>
          <w:p>
            <w:pPr>
              <w:spacing w:after="0" w:line="250"/>
            </w:pPr>
            <w:r>
              <w:rPr>
                <w:b w:val="false"/>
                <w:bCs w:val="false"/>
                <w:sz w:val="20"/>
                <w:szCs w:val="20"/>
              </w:rPr>
              <w:t xml:space="preserve">Undamped linear extrapolation overshoots at post-meal peaks and post-correction nadirs — the moments a forecast is actually consulted.</w:t>
            </w:r>
          </w:p>
        </w:tc>
        <w:tc>
          <w:tcPr>
            <w:tcW w:type="dxa" w:w="4100"/>
            <w:tcMar>
              <w:top w:type="dxa" w:w="60"/>
              <w:left w:type="dxa" w:w="100"/>
              <w:bottom w:type="dxa" w:w="60"/>
              <w:right w:type="dxa" w:w="100"/>
            </w:tcMar>
          </w:tcPr>
          <w:p>
            <w:pPr>
              <w:spacing w:after="0" w:line="250"/>
            </w:pPr>
            <w:r>
              <w:rPr>
                <w:b w:val="false"/>
                <w:bCs w:val="false"/>
                <w:sz w:val="20"/>
                <w:szCs w:val="20"/>
              </w:rPr>
              <w:t xml:space="preserve">Exponentially damped projection with a ±4 mg/dL/min slope clamp.</w:t>
            </w:r>
          </w:p>
        </w:tc>
        <w:tc>
          <w:tcPr>
            <w:tcW w:type="dxa" w:w="1760"/>
            <w:tcMar>
              <w:top w:type="dxa" w:w="60"/>
              <w:left w:type="dxa" w:w="100"/>
              <w:bottom w:type="dxa" w:w="60"/>
              <w:right w:type="dxa" w:w="100"/>
            </w:tcMar>
          </w:tcPr>
          <w:p>
            <w:pPr>
              <w:spacing w:after="0" w:line="250"/>
            </w:pPr>
            <w:r>
              <w:rPr>
                <w:b w:val="false"/>
                <w:bCs w:val="false"/>
                <w:sz w:val="20"/>
                <w:szCs w:val="20"/>
              </w:rPr>
              <w:t xml:space="preserve">§3.2.3, §4.4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±1 SD confidence band assumes stationary normal residuals; glucose forecast residuals are strongly heteroscedastic.</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Empirical 10th/90th percentile band from backtested errors, recomputed weekly.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§3.2.3, §4.4, §8</w:t>
            </w:r>
          </w:p>
        </w:tc>
      </w:tr>
    </w:tbl>
    <w:p>
      <w:pPr>
        <w:pStyle w:val="Heading2"/>
        <w:spacing w:after="140" w:before="280"/>
      </w:pPr>
      <w:r>
        <w:rPr>
          <w:b w:val="false"/>
          <w:bCs w:val="false"/>
        </w:rPr>
        <w:t xml:space="preserve">B.3 Internal Contradictions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Dedup rule contradicted itself: §3.1.1 said the earlier timestamp wins, §4.2.3 said the record with the most metadata wins.</w:t>
            </w:r>
          </w:p>
        </w:tc>
        <w:tc>
          <w:tcPr>
            <w:tcW w:type="dxa" w:w="4100"/>
            <w:tcMar>
              <w:top w:type="dxa" w:w="60"/>
              <w:left w:type="dxa" w:w="100"/>
              <w:bottom w:type="dxa" w:w="60"/>
              <w:right w:type="dxa" w:w="100"/>
            </w:tcMar>
          </w:tcPr>
          <w:p>
            <w:pPr>
              <w:spacing w:after="0" w:line="250"/>
            </w:pPr>
            <w:r>
              <w:rPr>
                <w:b w:val="false"/>
                <w:bCs w:val="false"/>
                <w:sz w:val="20"/>
                <w:szCs w:val="20"/>
              </w:rPr>
              <w:t xml:space="preserve">Neither — the records are merged, taking HealthKit's timestamp and Share's trend. Window widened from 60s to ±2.5 min.</w:t>
            </w:r>
          </w:p>
        </w:tc>
        <w:tc>
          <w:tcPr>
            <w:tcW w:type="dxa" w:w="1760"/>
            <w:tcMar>
              <w:top w:type="dxa" w:w="60"/>
              <w:left w:type="dxa" w:w="100"/>
              <w:bottom w:type="dxa" w:w="60"/>
              <w:right w:type="dxa" w:w="100"/>
            </w:tcMar>
          </w:tcPr>
          <w:p>
            <w:pPr>
              <w:spacing w:after="0" w:line="250"/>
            </w:pPr>
            <w:r>
              <w:rPr>
                <w:b w:val="false"/>
                <w:bCs w:val="false"/>
                <w:sz w:val="20"/>
                <w:szCs w:val="20"/>
              </w:rPr>
              <w:t xml:space="preserve">§3.1.1, §4.2.4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Widget and Watch complication appeared in v2 (§3.2.1) and v3 (§3.3, §4.5) simultaneously.</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Consolidated into v2 as §3.2.4 Glanceable Surfaces, with only the full Watch app and StandBy widgets left in v3.</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§3.2.4, §3.3, §4.6, §7</w:t>
            </w:r>
          </w:p>
        </w:tc>
      </w:tr>
      <w:tr>
        <w:tc>
          <w:tcPr>
            <w:tcW w:type="dxa" w:w="3500"/>
            <w:tcMar>
              <w:top w:type="dxa" w:w="60"/>
              <w:left w:type="dxa" w:w="100"/>
              <w:bottom w:type="dxa" w:w="60"/>
              <w:right w:type="dxa" w:w="100"/>
            </w:tcMar>
          </w:tcPr>
          <w:p>
            <w:pPr>
              <w:spacing w:after="0" w:line="250"/>
            </w:pPr>
            <w:r>
              <w:rPr>
                <w:b w:val="false"/>
                <w:bCs w:val="false"/>
                <w:sz w:val="20"/>
                <w:szCs w:val="20"/>
              </w:rPr>
              <w:t xml:space="preserve">§1.3 enforced a safety boundary on glucose alarms, but no alarm feature was specified anywhere in §3.</w:t>
            </w:r>
          </w:p>
        </w:tc>
        <w:tc>
          <w:tcPr>
            <w:tcW w:type="dxa" w:w="4100"/>
            <w:tcMar>
              <w:top w:type="dxa" w:w="60"/>
              <w:left w:type="dxa" w:w="100"/>
              <w:bottom w:type="dxa" w:w="60"/>
              <w:right w:type="dxa" w:w="100"/>
            </w:tcMar>
          </w:tcPr>
          <w:p>
            <w:pPr>
              <w:spacing w:after="0" w:line="250"/>
            </w:pPr>
            <w:r>
              <w:rPr>
                <w:b w:val="false"/>
                <w:bCs w:val="false"/>
                <w:sz w:val="20"/>
                <w:szCs w:val="20"/>
              </w:rPr>
              <w:t xml:space="preserve">Alarms excluded permanently, with the Critical Alerts entitlement as the concrete reason. Replaced by a pull-only predicted-low heads-up.</w:t>
            </w:r>
          </w:p>
        </w:tc>
        <w:tc>
          <w:tcPr>
            <w:tcW w:type="dxa" w:w="1760"/>
            <w:tcMar>
              <w:top w:type="dxa" w:w="60"/>
              <w:left w:type="dxa" w:w="100"/>
              <w:bottom w:type="dxa" w:w="60"/>
              <w:right w:type="dxa" w:w="100"/>
            </w:tcMar>
          </w:tcPr>
          <w:p>
            <w:pPr>
              <w:spacing w:after="0" w:line="250"/>
            </w:pPr>
            <w:r>
              <w:rPr>
                <w:b w:val="false"/>
                <w:bCs w:val="false"/>
                <w:sz w:val="20"/>
                <w:szCs w:val="20"/>
              </w:rPr>
              <w:t xml:space="preserve">§1.2, §1.3, §3.2.3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§2.1 defined the target user as someone maintaining a Share follower account; §4.2.4 defined a fully supported HealthKit-only mode.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Share described as optional throughout.</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§2.1, §4.2.5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§3.1.2 omitted the source badge that §3.1.1 mandates — a v1.1 revision leftover.</w:t>
            </w:r>
          </w:p>
        </w:tc>
        <w:tc>
          <w:tcPr>
            <w:tcW w:type="dxa" w:w="4100"/>
            <w:tcMar>
              <w:top w:type="dxa" w:w="60"/>
              <w:left w:type="dxa" w:w="100"/>
              <w:bottom w:type="dxa" w:w="60"/>
              <w:right w:type="dxa" w:w="100"/>
            </w:tcMar>
          </w:tcPr>
          <w:p>
            <w:pPr>
              <w:spacing w:after="0" w:line="250"/>
            </w:pPr>
            <w:r>
              <w:rPr>
                <w:b w:val="false"/>
                <w:bCs w:val="false"/>
                <w:sz w:val="20"/>
                <w:szCs w:val="20"/>
              </w:rPr>
              <w:t xml:space="preserve">Badge added to the screen spec.</w:t>
            </w:r>
          </w:p>
        </w:tc>
        <w:tc>
          <w:tcPr>
            <w:tcW w:type="dxa" w:w="1760"/>
            <w:tcMar>
              <w:top w:type="dxa" w:w="60"/>
              <w:left w:type="dxa" w:w="100"/>
              <w:bottom w:type="dxa" w:w="60"/>
              <w:right w:type="dxa" w:w="100"/>
            </w:tcMar>
          </w:tcPr>
          <w:p>
            <w:pPr>
              <w:spacing w:after="0" w:line="250"/>
            </w:pPr>
            <w:r>
              <w:rPr>
                <w:b w:val="false"/>
                <w:bCs w:val="false"/>
                <w:sz w:val="20"/>
                <w:szCs w:val="20"/>
              </w:rPr>
              <w:t xml:space="preserve">§3.1.2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§6 Privacy was never updated for the v1.1 dual-source change and said nothing about HealthKit.</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HealthKit handling, export handling, and diagnostics redaction specified.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§6</w:t>
            </w:r>
          </w:p>
        </w:tc>
      </w:tr>
      <w:tr>
        <w:tc>
          <w:tcPr>
            <w:tcW w:type="dxa" w:w="3500"/>
            <w:tcMar>
              <w:top w:type="dxa" w:w="60"/>
              <w:left w:type="dxa" w:w="100"/>
              <w:bottom w:type="dxa" w:w="60"/>
              <w:right w:type="dxa" w:w="100"/>
            </w:tcMar>
          </w:tcPr>
          <w:p>
            <w:pPr>
              <w:spacing w:after="0" w:line="250"/>
            </w:pPr>
            <w:r>
              <w:rPr>
                <w:b w:val="false"/>
                <w:bCs w:val="false"/>
                <w:sz w:val="20"/>
                <w:szCs w:val="20"/>
              </w:rPr>
              <w:t xml:space="preserve">§9 had no success criterion for source failover — the capability the v1.1 architecture rewrite existed to deliver.</w:t>
            </w:r>
          </w:p>
        </w:tc>
        <w:tc>
          <w:tcPr>
            <w:tcW w:type="dxa" w:w="4100"/>
            <w:tcMar>
              <w:top w:type="dxa" w:w="60"/>
              <w:left w:type="dxa" w:w="100"/>
              <w:bottom w:type="dxa" w:w="60"/>
              <w:right w:type="dxa" w:w="100"/>
            </w:tcMar>
          </w:tcPr>
          <w:p>
            <w:pPr>
              <w:spacing w:after="0" w:line="250"/>
            </w:pPr>
            <w:r>
              <w:rPr>
                <w:b w:val="false"/>
                <w:bCs w:val="false"/>
                <w:sz w:val="20"/>
                <w:szCs w:val="20"/>
              </w:rPr>
              <w:t xml:space="preserve">Resilience criterion added: sample completeness and maximum gap duration.</w:t>
            </w:r>
          </w:p>
        </w:tc>
        <w:tc>
          <w:tcPr>
            <w:tcW w:type="dxa" w:w="1760"/>
            <w:tcMar>
              <w:top w:type="dxa" w:w="60"/>
              <w:left w:type="dxa" w:w="100"/>
              <w:bottom w:type="dxa" w:w="60"/>
              <w:right w:type="dxa" w:w="100"/>
            </w:tcMar>
          </w:tcPr>
          <w:p>
            <w:pPr>
              <w:spacing w:after="0" w:line="250"/>
            </w:pPr>
            <w:r>
              <w:rPr>
                <w:b w:val="false"/>
                <w:bCs w:val="false"/>
                <w:sz w:val="20"/>
                <w:szCs w:val="20"/>
              </w:rPr>
              <w:t xml:space="preserve">§10</w:t>
            </w:r>
          </w:p>
        </w:tc>
      </w:tr>
    </w:tbl>
    <w:p>
      <w:pPr>
        <w:pStyle w:val="Heading2"/>
        <w:spacing w:after="140" w:before="280"/>
      </w:pPr>
      <w:r>
        <w:rPr>
          <w:b w:val="false"/>
          <w:bCs w:val="false"/>
        </w:rPr>
        <w:t xml:space="preserve">B.4 Specification Gaps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No sensor lifecycle model; a routine 30-minute G7 warmup would have rendered as a staleness failure every 10 days.</w:t>
            </w:r>
          </w:p>
        </w:tc>
        <w:tc>
          <w:tcPr>
            <w:tcW w:type="dxa" w:w="4100"/>
            <w:tcMar>
              <w:top w:type="dxa" w:w="60"/>
              <w:left w:type="dxa" w:w="100"/>
              <w:bottom w:type="dxa" w:w="60"/>
              <w:right w:type="dxa" w:w="100"/>
            </w:tcMar>
          </w:tcPr>
          <w:p>
            <w:pPr>
              <w:spacing w:after="0" w:line="250"/>
            </w:pPr>
            <w:r>
              <w:rPr>
                <w:b w:val="false"/>
                <w:bCs w:val="false"/>
                <w:sz w:val="20"/>
                <w:szCs w:val="20"/>
              </w:rPr>
              <w:t xml:space="preserve">New §3.1.3 with six explicit states, plus a sensor session dashboard.</w:t>
            </w:r>
          </w:p>
        </w:tc>
        <w:tc>
          <w:tcPr>
            <w:tcW w:type="dxa" w:w="1760"/>
            <w:tcMar>
              <w:top w:type="dxa" w:w="60"/>
              <w:left w:type="dxa" w:w="100"/>
              <w:bottom w:type="dxa" w:w="60"/>
              <w:right w:type="dxa" w:w="100"/>
            </w:tcMar>
          </w:tcPr>
          <w:p>
            <w:pPr>
              <w:spacing w:after="0" w:line="250"/>
            </w:pPr>
            <w:r>
              <w:rPr>
                <w:b w:val="false"/>
                <w:bCs w:val="false"/>
                <w:sz w:val="20"/>
                <w:szCs w:val="20"/>
              </w:rPr>
              <w:t xml:space="preserve">§3.1.2, §3.1.3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No handling for values at the G7's 40–400 mg/dL rails; a bounded sentinel would display as a measurement.</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LOW/HIGH sentinel rendering and model flags.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§3.1.2, §4.2.3, §4.3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Dexcom backfills and revises readings; insert-only persistence accumulates duplicates that corrupt every aggregate.</w:t>
            </w:r>
          </w:p>
        </w:tc>
        <w:tc>
          <w:tcPr>
            <w:tcW w:type="dxa" w:w="4100"/>
            <w:tcMar>
              <w:top w:type="dxa" w:w="60"/>
              <w:left w:type="dxa" w:w="100"/>
              <w:bottom w:type="dxa" w:w="60"/>
              <w:right w:type="dxa" w:w="100"/>
            </w:tcMar>
          </w:tcPr>
          <w:p>
            <w:pPr>
              <w:spacing w:after="0" w:line="250"/>
            </w:pPr>
            <w:r>
              <w:rPr>
                <w:b w:val="false"/>
                <w:bCs w:val="false"/>
                <w:sz w:val="20"/>
                <w:szCs w:val="20"/>
              </w:rPr>
              <w:t xml:space="preserve">Upsert-by-sample-time semantics; HealthKit deletions handled.</w:t>
            </w:r>
          </w:p>
        </w:tc>
        <w:tc>
          <w:tcPr>
            <w:tcW w:type="dxa" w:w="1760"/>
            <w:tcMar>
              <w:top w:type="dxa" w:w="60"/>
              <w:left w:type="dxa" w:w="100"/>
              <w:bottom w:type="dxa" w:w="60"/>
              <w:right w:type="dxa" w:w="100"/>
            </w:tcMar>
          </w:tcPr>
          <w:p>
            <w:pPr>
              <w:spacing w:after="0" w:line="250"/>
            </w:pPr>
            <w:r>
              <w:rPr>
                <w:b w:val="false"/>
                <w:bCs w:val="false"/>
                <w:sz w:val="20"/>
                <w:szCs w:val="20"/>
              </w:rPr>
              <w:t xml:space="preserve">§3.1.1, §4.2.2, §4.2.4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90-day window is ~26,000 points; handing that to Swift Charts stutters, and an unbounded @Query materialises the store into a view body.</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New §4.5: downsampling with min/max preservation, DailyAggregate, bounded predicates.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§4.5</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SwiftData was chosen for migrations, then no migration plan was given despite committed model changes at v2 and v3.</w:t>
            </w:r>
          </w:p>
        </w:tc>
        <w:tc>
          <w:tcPr>
            <w:tcW w:type="dxa" w:w="4100"/>
            <w:tcMar>
              <w:top w:type="dxa" w:w="60"/>
              <w:left w:type="dxa" w:w="100"/>
              <w:bottom w:type="dxa" w:w="60"/>
              <w:right w:type="dxa" w:w="100"/>
            </w:tcMar>
          </w:tcPr>
          <w:p>
            <w:pPr>
              <w:spacing w:after="0" w:line="250"/>
            </w:pPr>
            <w:r>
              <w:rPr>
                <w:b w:val="false"/>
                <w:bCs w:val="false"/>
                <w:sz w:val="20"/>
                <w:szCs w:val="20"/>
              </w:rPr>
              <w:t xml:space="preserve">VersionedSchema and SchemaMigrationPlan from v1, with per-version migration tests.</w:t>
            </w:r>
          </w:p>
        </w:tc>
        <w:tc>
          <w:tcPr>
            <w:tcW w:type="dxa" w:w="1760"/>
            <w:tcMar>
              <w:top w:type="dxa" w:w="60"/>
              <w:left w:type="dxa" w:w="100"/>
              <w:bottom w:type="dxa" w:w="60"/>
              <w:right w:type="dxa" w:w="100"/>
            </w:tcMar>
          </w:tcPr>
          <w:p>
            <w:pPr>
              <w:spacing w:after="0" w:line="250"/>
            </w:pPr>
            <w:r>
              <w:rPr>
                <w:b w:val="false"/>
                <w:bCs w:val="false"/>
                <w:sz w:val="20"/>
                <w:szCs w:val="20"/>
              </w:rPr>
              <w:t xml:space="preserve">§4.3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No retention policy, and the 90-day backfill window means older data exists only if the app was running.</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Retention policy defined; nothing auto-deleted.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No export or backup before v3 iCloud — a single point of failure for years of irreplaceable medical history.</w:t>
            </w:r>
          </w:p>
        </w:tc>
        <w:tc>
          <w:tcPr>
            <w:tcW w:type="dxa" w:w="4100"/>
            <w:tcMar>
              <w:top w:type="dxa" w:w="60"/>
              <w:left w:type="dxa" w:w="100"/>
              <w:bottom w:type="dxa" w:w="60"/>
              <w:right w:type="dxa" w:w="100"/>
            </w:tcMar>
          </w:tcPr>
          <w:p>
            <w:pPr>
              <w:spacing w:after="0" w:line="250"/>
            </w:pPr>
            <w:r>
              <w:rPr>
                <w:b w:val="false"/>
                <w:bCs w:val="false"/>
                <w:sz w:val="20"/>
                <w:szCs w:val="20"/>
              </w:rPr>
              <w:t xml:space="preserve">New §3.1.7 shipping in v1: CSV/JSON, database backup/restore, Nightscout format.</w:t>
            </w:r>
          </w:p>
        </w:tc>
        <w:tc>
          <w:tcPr>
            <w:tcW w:type="dxa" w:w="1760"/>
            <w:tcMar>
              <w:top w:type="dxa" w:w="60"/>
              <w:left w:type="dxa" w:w="100"/>
              <w:bottom w:type="dxa" w:w="60"/>
              <w:right w:type="dxa" w:w="100"/>
            </w:tcMar>
          </w:tcPr>
          <w:p>
            <w:pPr>
              <w:spacing w:after="0" w:line="250"/>
            </w:pPr>
            <w:r>
              <w:rPr>
                <w:b w:val="false"/>
                <w:bCs w:val="false"/>
                <w:sz w:val="20"/>
                <w:szCs w:val="20"/>
              </w:rPr>
              <w:t xml:space="preserve">§3.1.7,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Exercise was logged with type, duration, and intensity, then used only as a timeline glyph despite being a major driver of glucose response.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Exercise sensitivity multiplier feeds the forecast; HealthKit workouts auto-suggest entries.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§3.2.1, §3.2.3, §4.4</w:t>
            </w:r>
          </w:p>
        </w:tc>
      </w:tr>
      <w:tr>
        <w:tc>
          <w:tcPr>
            <w:tcW w:type="dxa" w:w="3500"/>
            <w:tcMar>
              <w:top w:type="dxa" w:w="60"/>
              <w:left w:type="dxa" w:w="100"/>
              <w:bottom w:type="dxa" w:w="60"/>
              <w:right w:type="dxa" w:w="100"/>
            </w:tcMar>
          </w:tcPr>
          <w:p>
            <w:pPr>
              <w:spacing w:after="0" w:line="250"/>
            </w:pPr>
            <w:r>
              <w:rPr>
                <w:b w:val="false"/>
                <w:bCs w:val="false"/>
                <w:sz w:val="20"/>
                <w:szCs w:val="20"/>
              </w:rPr>
              <w:t xml:space="preserve">Client-side trend thresholds were unspecified, so computed arrows would have disagreed with the official app.</w:t>
            </w:r>
          </w:p>
        </w:tc>
        <w:tc>
          <w:tcPr>
            <w:tcW w:type="dxa" w:w="4100"/>
            <w:tcMar>
              <w:top w:type="dxa" w:w="60"/>
              <w:left w:type="dxa" w:w="100"/>
              <w:bottom w:type="dxa" w:w="60"/>
              <w:right w:type="dxa" w:w="100"/>
            </w:tcMar>
          </w:tcPr>
          <w:p>
            <w:pPr>
              <w:spacing w:after="0" w:line="250"/>
            </w:pPr>
            <w:r>
              <w:rPr>
                <w:b w:val="false"/>
                <w:bCs w:val="false"/>
                <w:sz w:val="20"/>
                <w:szCs w:val="20"/>
              </w:rPr>
              <w:t xml:space="preserve">New §4.2.6 with Dexcom's published rate bands and the non-computable cases.</w:t>
            </w:r>
          </w:p>
        </w:tc>
        <w:tc>
          <w:tcPr>
            <w:tcW w:type="dxa" w:w="1760"/>
            <w:tcMar>
              <w:top w:type="dxa" w:w="60"/>
              <w:left w:type="dxa" w:w="100"/>
              <w:bottom w:type="dxa" w:w="60"/>
              <w:right w:type="dxa" w:w="100"/>
            </w:tcMar>
          </w:tcPr>
          <w:p>
            <w:pPr>
              <w:spacing w:after="0" w:line="250"/>
            </w:pPr>
            <w:r>
              <w:rPr>
                <w:b w:val="false"/>
                <w:bCs w:val="false"/>
                <w:sz w:val="20"/>
                <w:szCs w:val="20"/>
              </w:rPr>
              <w:t xml:space="preserve">§4.2.6</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Trend was described as seven states; the Share API returns ten, including None, NotComputable, and RateOutOfRange.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Non-arrow states specified and given a neutral glyph.</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§3.1.2, §4.2.6</w:t>
            </w:r>
          </w:p>
        </w:tc>
      </w:tr>
      <w:tr>
        <w:tc>
          <w:tcPr>
            <w:tcW w:type="dxa" w:w="3500"/>
            <w:tcMar>
              <w:top w:type="dxa" w:w="60"/>
              <w:left w:type="dxa" w:w="100"/>
              <w:bottom w:type="dxa" w:w="60"/>
              <w:right w:type="dxa" w:w="100"/>
            </w:tcMar>
          </w:tcPr>
          <w:p>
            <w:pPr>
              <w:spacing w:after="0" w:line="250"/>
            </w:pPr>
            <w:r>
              <w:rPr>
                <w:b w:val="false"/>
                <w:bCs w:val="false"/>
                <w:sz w:val="20"/>
                <w:szCs w:val="20"/>
              </w:rPr>
              <w:t xml:space="preserve">VoiceOver and chart accessibility unaddressed; Swift Charts is opaque to screen readers by default.</w:t>
            </w:r>
          </w:p>
        </w:tc>
        <w:tc>
          <w:tcPr>
            <w:tcW w:type="dxa" w:w="4100"/>
            <w:tcMar>
              <w:top w:type="dxa" w:w="60"/>
              <w:left w:type="dxa" w:w="100"/>
              <w:bottom w:type="dxa" w:w="60"/>
              <w:right w:type="dxa" w:w="100"/>
            </w:tcMar>
          </w:tcPr>
          <w:p>
            <w:pPr>
              <w:spacing w:after="0" w:line="250"/>
            </w:pPr>
            <w:r>
              <w:rPr>
                <w:b w:val="false"/>
                <w:bCs w:val="false"/>
                <w:sz w:val="20"/>
                <w:szCs w:val="20"/>
              </w:rPr>
              <w:t xml:space="preserve">New §5.4, including AXChartDescriptor, composed hero labels, and Reduce Motion / Increase Contrast behaviour.</w:t>
            </w:r>
          </w:p>
        </w:tc>
        <w:tc>
          <w:tcPr>
            <w:tcW w:type="dxa" w:w="1760"/>
            <w:tcMar>
              <w:top w:type="dxa" w:w="60"/>
              <w:left w:type="dxa" w:w="100"/>
              <w:bottom w:type="dxa" w:w="60"/>
              <w:right w:type="dxa" w:w="100"/>
            </w:tcMar>
          </w:tcPr>
          <w:p>
            <w:pPr>
              <w:spacing w:after="0" w:line="250"/>
            </w:pPr>
            <w:r>
              <w:rPr>
                <w:b w:val="false"/>
                <w:bCs w:val="false"/>
                <w:sz w:val="20"/>
                <w:szCs w:val="20"/>
              </w:rPr>
              <w:t xml:space="preserve">§5.4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 96pt hero number cannot survive accessibility Dynamic Type sizes.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Scaling cap with layout reflow, verified at AX5.</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§5.2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claim that HealthKit glucose lags 15–30 minutes was a G6-era figure driving the entire architecture, and was never verified for G7.</w:t>
            </w:r>
          </w:p>
        </w:tc>
        <w:tc>
          <w:tcPr>
            <w:tcW w:type="dxa" w:w="4100"/>
            <w:tcMar>
              <w:top w:type="dxa" w:w="60"/>
              <w:left w:type="dxa" w:w="100"/>
              <w:bottom w:type="dxa" w:w="60"/>
              <w:right w:type="dxa" w:w="100"/>
            </w:tcMar>
          </w:tcPr>
          <w:p>
            <w:pPr>
              <w:spacing w:after="0" w:line="250"/>
            </w:pPr>
            <w:r>
              <w:rPr>
                <w:b w:val="false"/>
                <w:bCs w:val="false"/>
                <w:sz w:val="20"/>
                <w:szCs w:val="20"/>
              </w:rPr>
              <w:t xml:space="preserve">Made an explicit Phase 1 measurement with a defined method and a blocking exit criterion; downstream product decisions named.</w:t>
            </w:r>
          </w:p>
        </w:tc>
        <w:tc>
          <w:tcPr>
            <w:tcW w:type="dxa" w:w="1760"/>
            <w:tcMar>
              <w:top w:type="dxa" w:w="60"/>
              <w:left w:type="dxa" w:w="100"/>
              <w:bottom w:type="dxa" w:w="60"/>
              <w:right w:type="dxa" w:w="100"/>
            </w:tcMar>
          </w:tcPr>
          <w:p>
            <w:pPr>
              <w:spacing w:after="0" w:line="250"/>
            </w:pPr>
            <w:r>
              <w:rPr>
                <w:b w:val="false"/>
                <w:bCs w:val="false"/>
                <w:sz w:val="20"/>
                <w:szCs w:val="20"/>
              </w:rPr>
              <w:t xml:space="preserve">§1.3, §4.2.2, §7, §9</w:t>
            </w:r>
          </w:p>
        </w:tc>
      </w:tr>
    </w:tbl>
    <w:p>
      <w:pPr>
        <w:pStyle w:val="Heading2"/>
        <w:spacing w:after="140" w:before="280"/>
      </w:pPr>
      <w:r>
        <w:rPr>
          <w:b w:val="false"/>
          <w:bCs w:val="false"/>
        </w:rPr>
        <w:t xml:space="preserve">B.5 Corrections &amp; Refinements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range.low (#FF453A) and range.urgent (#FF2D55) are near-identical hues, and that is the most safety-critical distinction in the app.</w:t>
            </w:r>
          </w:p>
        </w:tc>
        <w:tc>
          <w:tcPr>
            <w:tcW w:type="dxa" w:w="4100"/>
            <w:tcMar>
              <w:top w:type="dxa" w:w="60"/>
              <w:left w:type="dxa" w:w="100"/>
              <w:bottom w:type="dxa" w:w="60"/>
              <w:right w:type="dxa" w:w="100"/>
            </w:tcMar>
          </w:tcPr>
          <w:p>
            <w:pPr>
              <w:spacing w:after="0" w:line="250"/>
            </w:pPr>
            <w:r>
              <w:rPr>
                <w:b w:val="false"/>
                <w:bCs w:val="false"/>
                <w:sz w:val="20"/>
                <w:szCs w:val="20"/>
              </w:rPr>
              <w:t xml:space="preserve">Urgent distinguished by treatment rather than hue: fill-plus-white-text versus coloured text, plus a distinct glyph.</w:t>
            </w:r>
          </w:p>
        </w:tc>
        <w:tc>
          <w:tcPr>
            <w:tcW w:type="dxa" w:w="1760"/>
            <w:tcMar>
              <w:top w:type="dxa" w:w="60"/>
              <w:left w:type="dxa" w:w="100"/>
              <w:bottom w:type="dxa" w:w="60"/>
              <w:right w:type="dxa" w:w="100"/>
            </w:tcMar>
          </w:tcPr>
          <w:p>
            <w:pPr>
              <w:spacing w:after="0" w:line="250"/>
            </w:pPr>
            <w:r>
              <w:rPr>
                <w:b w:val="false"/>
                <w:bCs w:val="false"/>
                <w:sz w:val="20"/>
                <w:szCs w:val="20"/>
              </w:rPr>
              <w:t xml:space="preserve">§5.1</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Freshness text — the most safety-relevant string on screen — used the dimmest token in the system at 13pt.</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New text.freshness token; measured contrast reported.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§5.1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“96pt Bold is a true OLED-friendly weight” is backwards; a heavier glyph lights more pixels and increases night glare.</w:t>
            </w:r>
          </w:p>
        </w:tc>
        <w:tc>
          <w:tcPr>
            <w:tcW w:type="dxa" w:w="4100"/>
            <w:tcMar>
              <w:top w:type="dxa" w:w="60"/>
              <w:left w:type="dxa" w:w="100"/>
              <w:bottom w:type="dxa" w:w="60"/>
              <w:right w:type="dxa" w:w="100"/>
            </w:tcMar>
          </w:tcPr>
          <w:p>
            <w:pPr>
              <w:spacing w:after="0" w:line="250"/>
            </w:pPr>
            <w:r>
              <w:rPr>
                <w:b w:val="false"/>
                <w:bCs w:val="false"/>
                <w:sz w:val="20"/>
                <w:szCs w:val="20"/>
              </w:rPr>
              <w:t xml:space="preserve">Rationale corrected; Bold retained for legibility; Bedside Mode drops to Medium.</w:t>
            </w:r>
          </w:p>
        </w:tc>
        <w:tc>
          <w:tcPr>
            <w:tcW w:type="dxa" w:w="1760"/>
            <w:tcMar>
              <w:top w:type="dxa" w:w="60"/>
              <w:left w:type="dxa" w:w="100"/>
              <w:bottom w:type="dxa" w:w="60"/>
              <w:right w:type="dxa" w:w="100"/>
            </w:tcMar>
          </w:tcPr>
          <w:p>
            <w:pPr>
              <w:spacing w:after="0" w:line="250"/>
            </w:pPr>
            <w:r>
              <w:rPr>
                <w:b w:val="false"/>
                <w:bCs w:val="false"/>
                <w:sz w:val="20"/>
                <w:szCs w:val="20"/>
              </w:rPr>
              <w:t xml:space="preserve">§5.2, §5.3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“Single tap anywhere exits Bedside Mode” conflicts with the tappable timeline and fires on accidental wake-taps.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Deliberate exit gesture: two-finger tap or long-press on the hero number.</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§5.3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Staleness amber at 10 minutes fires on a single missed reading — routine — and trains the user to ignore it.</w:t>
            </w:r>
          </w:p>
        </w:tc>
        <w:tc>
          <w:tcPr>
            <w:tcW w:type="dxa" w:w="4100"/>
            <w:tcMar>
              <w:top w:type="dxa" w:w="60"/>
              <w:left w:type="dxa" w:w="100"/>
              <w:bottom w:type="dxa" w:w="60"/>
              <w:right w:type="dxa" w:w="100"/>
            </w:tcMar>
          </w:tcPr>
          <w:p>
            <w:pPr>
              <w:spacing w:after="0" w:line="250"/>
            </w:pPr>
            <w:r>
              <w:rPr>
                <w:b w:val="false"/>
                <w:bCs w:val="false"/>
                <w:sz w:val="20"/>
                <w:szCs w:val="20"/>
              </w:rPr>
              <w:t xml:space="preserve">Thresholds moved to 12 and 30 minutes; arrow and forecast hidden in the critical state.</w:t>
            </w:r>
          </w:p>
        </w:tc>
        <w:tc>
          <w:tcPr>
            <w:tcW w:type="dxa" w:w="1760"/>
            <w:tcMar>
              <w:top w:type="dxa" w:w="60"/>
              <w:left w:type="dxa" w:w="100"/>
              <w:bottom w:type="dxa" w:w="60"/>
              <w:right w:type="dxa" w:w="100"/>
            </w:tcMar>
          </w:tcPr>
          <w:p>
            <w:pPr>
              <w:spacing w:after="0" w:line="250"/>
            </w:pPr>
            <w:r>
              <w:rPr>
                <w:b w:val="false"/>
                <w:bCs w:val="false"/>
                <w:sz w:val="20"/>
                <w:szCs w:val="20"/>
              </w:rPr>
              <w:t xml:space="preserve">§1.3, §3.1.2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“No third-party servers” is inaccurate while Share is a data source.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Reworded to “no servers beyond Dexcom's own.”</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§6</w:t>
            </w:r>
          </w:p>
        </w:tc>
      </w:tr>
      <w:tr>
        <w:tc>
          <w:tcPr>
            <w:tcW w:type="dxa" w:w="3500"/>
            <w:tcMar>
              <w:top w:type="dxa" w:w="60"/>
              <w:left w:type="dxa" w:w="100"/>
              <w:bottom w:type="dxa" w:w="60"/>
              <w:right w:type="dxa" w:w="100"/>
            </w:tcMar>
          </w:tcPr>
          <w:p>
            <w:pPr>
              <w:spacing w:after="0" w:line="250"/>
            </w:pPr>
            <w:r>
              <w:rPr>
                <w:b w:val="false"/>
                <w:bCs w:val="false"/>
                <w:sz w:val="20"/>
                <w:szCs w:val="20"/>
              </w:rPr>
              <w:t xml:space="preserve">photoData stored inline in SwiftData bloats the store and slows unrelated queries.</w:t>
            </w:r>
          </w:p>
        </w:tc>
        <w:tc>
          <w:tcPr>
            <w:tcW w:type="dxa" w:w="4100"/>
            <w:tcMar>
              <w:top w:type="dxa" w:w="60"/>
              <w:left w:type="dxa" w:w="100"/>
              <w:bottom w:type="dxa" w:w="60"/>
              <w:right w:type="dxa" w:w="100"/>
            </w:tcMar>
          </w:tcPr>
          <w:p>
            <w:pPr>
              <w:spacing w:after="0" w:line="250"/>
            </w:pPr>
            <w:r>
              <w:rPr>
                <w:b w:val="false"/>
                <w:bCs w:val="false"/>
                <w:sz w:val="20"/>
                <w:szCs w:val="20"/>
              </w:rPr>
              <w:t xml:space="preserve">@Attribute(.externalStorage).</w:t>
            </w:r>
          </w:p>
        </w:tc>
        <w:tc>
          <w:tcPr>
            <w:tcW w:type="dxa" w:w="1760"/>
            <w:tcMar>
              <w:top w:type="dxa" w:w="60"/>
              <w:left w:type="dxa" w:w="100"/>
              <w:bottom w:type="dxa" w:w="60"/>
              <w:right w:type="dxa" w:w="100"/>
            </w:tcMar>
          </w:tcPr>
          <w:p>
            <w:pPr>
              <w:spacing w:after="0" w:line="250"/>
            </w:pPr>
            <w:r>
              <w:rPr>
                <w:b w:val="false"/>
                <w:bCs w:val="false"/>
                <w:sz w:val="20"/>
                <w:szCs w:val="20"/>
              </w:rPr>
              <w:t xml:space="preserve">§4.3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iOS 17 minimum is conservative for a single-user app with no market, and inherits iOS 17 SwiftData's known problems.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Minimum raised to the current major release, with the rationale stated.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Swift 6 strict concurrency and SwiftData interact badly; ModelContext is not Sendable.</w:t>
            </w:r>
          </w:p>
        </w:tc>
        <w:tc>
          <w:tcPr>
            <w:tcW w:type="dxa" w:w="4100"/>
            <w:tcMar>
              <w:top w:type="dxa" w:w="60"/>
              <w:left w:type="dxa" w:w="100"/>
              <w:bottom w:type="dxa" w:w="60"/>
              <w:right w:type="dxa" w:w="100"/>
            </w:tcMar>
          </w:tcPr>
          <w:p>
            <w:pPr>
              <w:spacing w:after="0" w:line="250"/>
            </w:pPr>
            <w:r>
              <w:rPr>
                <w:b w:val="false"/>
                <w:bCs w:val="false"/>
                <w:sz w:val="20"/>
                <w:szCs w:val="20"/>
              </w:rPr>
              <w:t xml:space="preserve">All writes routed through a @ModelActor; noted in the stack table.</w:t>
            </w:r>
          </w:p>
        </w:tc>
        <w:tc>
          <w:tcPr>
            <w:tcW w:type="dxa" w:w="1760"/>
            <w:tcMar>
              <w:top w:type="dxa" w:w="60"/>
              <w:left w:type="dxa" w:w="100"/>
              <w:bottom w:type="dxa" w:w="60"/>
              <w:right w:type="dxa" w:w="100"/>
            </w:tcMar>
          </w:tcPr>
          <w:p>
            <w:pPr>
              <w:spacing w:after="0" w:line="250"/>
            </w:pPr>
            <w:r>
              <w:rPr>
                <w:b w:val="false"/>
                <w:bCs w:val="false"/>
                <w:sz w:val="20"/>
                <w:szCs w:val="20"/>
              </w:rPr>
              <w:t xml:space="preserve">§4.1, §4.3</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CI signing in a one-weekend Phase 0 is a disproportionate time sink for a personal app.</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CI does build and test only; signing deferred until TestFlight is actually needed.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§7</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“TIR improves by any measurable amount” is not measurable — TIR swings several points week to week on its own.</w:t>
            </w:r>
          </w:p>
        </w:tc>
        <w:tc>
          <w:tcPr>
            <w:tcW w:type="dxa" w:w="4100"/>
            <w:tcMar>
              <w:top w:type="dxa" w:w="60"/>
              <w:left w:type="dxa" w:w="100"/>
              <w:bottom w:type="dxa" w:w="60"/>
              <w:right w:type="dxa" w:w="100"/>
            </w:tcMar>
          </w:tcPr>
          <w:p>
            <w:pPr>
              <w:spacing w:after="0" w:line="250"/>
            </w:pPr>
            <w:r>
              <w:rPr>
                <w:b w:val="false"/>
                <w:bCs w:val="false"/>
                <w:sz w:val="20"/>
                <w:szCs w:val="20"/>
              </w:rPr>
              <w:t xml:space="preserve">Threshold set at 5 percentage points sustained over 30 days against a defined pre-install baseline; attribution explicitly not claimed.</w:t>
            </w:r>
          </w:p>
        </w:tc>
        <w:tc>
          <w:tcPr>
            <w:tcW w:type="dxa" w:w="1760"/>
            <w:tcMar>
              <w:top w:type="dxa" w:w="60"/>
              <w:left w:type="dxa" w:w="100"/>
              <w:bottom w:type="dxa" w:w="60"/>
              <w:right w:type="dxa" w:w="100"/>
            </w:tcMar>
          </w:tcPr>
          <w:p>
            <w:pPr>
              <w:spacing w:after="0" w:line="250"/>
            </w:pPr>
            <w:r>
              <w:rPr>
                <w:b w:val="false"/>
                <w:bCs w:val="false"/>
                <w:sz w:val="20"/>
                <w:szCs w:val="20"/>
              </w:rPr>
              <w:t xml:space="preserve">§10</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Japan Share endpoint was missing from the region toggle.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share.dexcom.jp added.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§3.1.1, §4.2.3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regulatory position was framed as intent-based; the actual boundary is distribution.</w:t>
            </w:r>
          </w:p>
        </w:tc>
        <w:tc>
          <w:tcPr>
            <w:tcW w:type="dxa" w:w="4100"/>
            <w:tcMar>
              <w:top w:type="dxa" w:w="60"/>
              <w:left w:type="dxa" w:w="100"/>
              <w:bottom w:type="dxa" w:w="60"/>
              <w:right w:type="dxa" w:w="100"/>
            </w:tcMar>
          </w:tcPr>
          <w:p>
            <w:pPr>
              <w:spacing w:after="0" w:line="250"/>
            </w:pPr>
            <w:r>
              <w:rPr>
                <w:b w:val="false"/>
                <w:bCs w:val="false"/>
                <w:sz w:val="20"/>
                <w:szCs w:val="20"/>
              </w:rPr>
              <w:t xml:space="preserve">New §1.4 stating the personal-use position, the line, the ToS issue, and why the official Dexcom API is unusable.</w:t>
            </w:r>
          </w:p>
        </w:tc>
        <w:tc>
          <w:tcPr>
            <w:tcW w:type="dxa" w:w="1760"/>
            <w:tcMar>
              <w:top w:type="dxa" w:w="60"/>
              <w:left w:type="dxa" w:w="100"/>
              <w:bottom w:type="dxa" w:w="60"/>
              <w:right w:type="dxa" w:w="100"/>
            </w:tcMar>
          </w:tcPr>
          <w:p>
            <w:pPr>
              <w:spacing w:after="0" w:line="250"/>
            </w:pPr>
            <w:r>
              <w:rPr>
                <w:b w:val="false"/>
                <w:bCs w:val="false"/>
                <w:sz w:val="20"/>
                <w:szCs w:val="20"/>
              </w:rPr>
              <w:t xml:space="preserve">§1.4</w:t>
            </w:r>
          </w:p>
        </w:tc>
      </w:tr>
    </w:tbl>
    <w:p>
      <w:pPr>
        <w:pStyle w:val="Heading2"/>
        <w:spacing w:after="140" w:before="280"/>
      </w:pPr>
      <w:r>
        <w:rPr>
          <w:b w:val="false"/>
          <w:bCs w:val="false"/>
        </w:rPr>
        <w:t xml:space="preserve">B.6 Features Added</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Feature</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Rationale</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val="false"/>
                <w:bCs w:val="false"/>
                <w:sz w:val="20"/>
                <w:szCs w:val="20"/>
              </w:rPr>
              <w:t xml:space="preserve">Live Activity and Dynamic Island</w:t>
            </w:r>
          </w:p>
        </w:tc>
        <w:tc>
          <w:tcPr>
            <w:tcW w:type="dxa" w:w="4100"/>
            <w:tcMar>
              <w:top w:type="dxa" w:w="60"/>
              <w:left w:type="dxa" w:w="100"/>
              <w:bottom w:type="dxa" w:w="60"/>
              <w:right w:type="dxa" w:w="100"/>
            </w:tcMar>
          </w:tcPr>
          <w:p>
            <w:pPr>
              <w:spacing w:after="0" w:line="250"/>
            </w:pPr>
            <w:r>
              <w:rPr>
                <w:b w:val="false"/>
                <w:bCs w:val="false"/>
                <w:sz w:val="20"/>
                <w:szCs w:val="20"/>
              </w:rPr>
              <w:t xml:space="preserve">The primary use case is 20–50 daily glances. A persistent Lock Screen reading absorbs most of them without opening anything, and it is the single change that most affects daily experience.</w:t>
            </w:r>
          </w:p>
        </w:tc>
        <w:tc>
          <w:tcPr>
            <w:tcW w:type="dxa" w:w="1760"/>
            <w:tcMar>
              <w:top w:type="dxa" w:w="60"/>
              <w:left w:type="dxa" w:w="100"/>
              <w:bottom w:type="dxa" w:w="60"/>
              <w:right w:type="dxa" w:w="100"/>
            </w:tcMar>
          </w:tcPr>
          <w:p>
            <w:pPr>
              <w:spacing w:after="0" w:line="250"/>
            </w:pPr>
            <w:r>
              <w:rPr>
                <w:b w:val="false"/>
                <w:bCs w:val="false"/>
                <w:sz w:val="20"/>
                <w:szCs w:val="20"/>
              </w:rPr>
              <w:t xml:space="preserve">§3.2.4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Apple Watch complication, reading HealthKit directly</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Glances happen at the wrist. Direct HealthKit access avoids WatchConnectivity, which would make the most-used surface the least fresh.</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§3.2.4 (v2)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App Intents for logging and querying</w:t>
            </w:r>
          </w:p>
        </w:tc>
        <w:tc>
          <w:tcPr>
            <w:tcW w:type="dxa" w:w="4100"/>
            <w:tcMar>
              <w:top w:type="dxa" w:w="60"/>
              <w:left w:type="dxa" w:w="100"/>
              <w:bottom w:type="dxa" w:w="60"/>
              <w:right w:type="dxa" w:w="100"/>
            </w:tcMar>
          </w:tcPr>
          <w:p>
            <w:pPr>
              <w:spacing w:after="0" w:line="250"/>
            </w:pPr>
            <w:r>
              <w:rPr>
                <w:b w:val="false"/>
                <w:bCs w:val="false"/>
                <w:sz w:val="20"/>
                <w:szCs w:val="20"/>
              </w:rPr>
              <w:t xml:space="preserve">The fastest logging path available, serving the sub-30-second target. One implementation yields Siri, Shortcuts, Spotlight, and interactive widgets.</w:t>
            </w:r>
          </w:p>
        </w:tc>
        <w:tc>
          <w:tcPr>
            <w:tcW w:type="dxa" w:w="1760"/>
            <w:tcMar>
              <w:top w:type="dxa" w:w="60"/>
              <w:left w:type="dxa" w:w="100"/>
              <w:bottom w:type="dxa" w:w="60"/>
              <w:right w:type="dxa" w:w="100"/>
            </w:tcMar>
          </w:tcPr>
          <w:p>
            <w:pPr>
              <w:spacing w:after="0" w:line="250"/>
            </w:pPr>
            <w:r>
              <w:rPr>
                <w:b w:val="false"/>
                <w:bCs w:val="false"/>
                <w:sz w:val="20"/>
                <w:szCs w:val="20"/>
              </w:rPr>
              <w:t xml:space="preserve">§3.2.4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Sensor session dashboard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Nearly free once the lifecycle state machine exists, and answers a question that currently requires opening the Dexcom app.</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§3.1.3 (v1)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Meal fingerprinting</w:t>
            </w:r>
          </w:p>
        </w:tc>
        <w:tc>
          <w:tcPr>
            <w:tcW w:type="dxa" w:w="4100"/>
            <w:tcMar>
              <w:top w:type="dxa" w:w="60"/>
              <w:left w:type="dxa" w:w="100"/>
              <w:bottom w:type="dxa" w:w="60"/>
              <w:right w:type="dxa" w:w="100"/>
            </w:tcMar>
          </w:tcPr>
          <w:p>
            <w:pPr>
              <w:spacing w:after="0" w:line="250"/>
            </w:pPr>
            <w:r>
              <w:rPr>
                <w:b w:val="false"/>
                <w:bCs w:val="false"/>
                <w:sz w:val="20"/>
                <w:szCs w:val="20"/>
              </w:rPr>
              <w:t xml:space="preserve">The feature the official app structurally cannot offer, and the payoff that justifies the logging discipline v2 asks for. Promoted from a v3 line item.</w:t>
            </w:r>
          </w:p>
        </w:tc>
        <w:tc>
          <w:tcPr>
            <w:tcW w:type="dxa" w:w="1760"/>
            <w:tcMar>
              <w:top w:type="dxa" w:w="60"/>
              <w:left w:type="dxa" w:w="100"/>
              <w:bottom w:type="dxa" w:w="60"/>
              <w:right w:type="dxa" w:w="100"/>
            </w:tcMar>
          </w:tcPr>
          <w:p>
            <w:pPr>
              <w:spacing w:after="0" w:line="250"/>
            </w:pPr>
            <w:r>
              <w:rPr>
                <w:b w:val="false"/>
                <w:bCs w:val="false"/>
                <w:sz w:val="20"/>
                <w:szCs w:val="20"/>
              </w:rPr>
              <w:t xml:space="preserve">§3.2.5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Overnight report card with compression-low detection</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High value for T1D at low cost; flagging artifacts prevents over-correcting patterns that were never real and keeps them out of the forecast error statistics.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§3.2.6 (v2)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Extended HealthKit context reads (sleep, workouts, steps, carbs, insulin)</w:t>
            </w:r>
          </w:p>
        </w:tc>
        <w:tc>
          <w:tcPr>
            <w:tcW w:type="dxa" w:w="4100"/>
            <w:tcMar>
              <w:top w:type="dxa" w:w="60"/>
              <w:left w:type="dxa" w:w="100"/>
              <w:bottom w:type="dxa" w:w="60"/>
              <w:right w:type="dxa" w:w="100"/>
            </w:tcMar>
          </w:tcPr>
          <w:p>
            <w:pPr>
              <w:spacing w:after="0" w:line="250"/>
            </w:pPr>
            <w:r>
              <w:rPr>
                <w:b w:val="false"/>
                <w:bCs w:val="false"/>
                <w:sz w:val="20"/>
                <w:szCs w:val="20"/>
              </w:rPr>
              <w:t xml:space="preserve">The plumbing already exists. Each read reduces manual logging, which §10 identifies as the primary adoption risk.</w:t>
            </w:r>
          </w:p>
        </w:tc>
        <w:tc>
          <w:tcPr>
            <w:tcW w:type="dxa" w:w="1760"/>
            <w:tcMar>
              <w:top w:type="dxa" w:w="60"/>
              <w:left w:type="dxa" w:w="100"/>
              <w:bottom w:type="dxa" w:w="60"/>
              <w:right w:type="dxa" w:w="100"/>
            </w:tcMar>
          </w:tcPr>
          <w:p>
            <w:pPr>
              <w:spacing w:after="0" w:line="250"/>
            </w:pPr>
            <w:r>
              <w:rPr>
                <w:b w:val="false"/>
                <w:bCs w:val="false"/>
                <w:sz w:val="20"/>
                <w:szCs w:val="20"/>
              </w:rPr>
              <w:t xml:space="preserve">§3.1.1, §3.2.1</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Bolus outcome review</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Reuses the prediction engine with no new math, closes the logging-to-learning loop, and stays retrospective — so it serves dosing accuracy without recommending a dose.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§3.2.7 (v2)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Predicted-low heads-up, pull-only</w:t>
            </w:r>
          </w:p>
        </w:tc>
        <w:tc>
          <w:tcPr>
            <w:tcW w:type="dxa" w:w="4100"/>
            <w:tcMar>
              <w:top w:type="dxa" w:w="60"/>
              <w:left w:type="dxa" w:w="100"/>
              <w:bottom w:type="dxa" w:w="60"/>
              <w:right w:type="dxa" w:w="100"/>
            </w:tcMar>
          </w:tcPr>
          <w:p>
            <w:pPr>
              <w:spacing w:after="0" w:line="250"/>
            </w:pPr>
            <w:r>
              <w:rPr>
                <w:b w:val="false"/>
                <w:bCs w:val="false"/>
                <w:sz w:val="20"/>
                <w:szCs w:val="20"/>
              </w:rPr>
              <w:t xml:space="preserve">The most valuable forecast output, delivered without crossing the alarm boundary. The official app keeps the alarm; GlucoNoir keeps the foresight.</w:t>
            </w:r>
          </w:p>
        </w:tc>
        <w:tc>
          <w:tcPr>
            <w:tcW w:type="dxa" w:w="1760"/>
            <w:tcMar>
              <w:top w:type="dxa" w:w="60"/>
              <w:left w:type="dxa" w:w="100"/>
              <w:bottom w:type="dxa" w:w="60"/>
              <w:right w:type="dxa" w:w="100"/>
            </w:tcMar>
          </w:tcPr>
          <w:p>
            <w:pPr>
              <w:spacing w:after="0" w:line="250"/>
            </w:pPr>
            <w:r>
              <w:rPr>
                <w:b w:val="false"/>
                <w:bCs w:val="false"/>
                <w:sz w:val="20"/>
                <w:szCs w:val="20"/>
              </w:rPr>
              <w:t xml:space="preserve">§3.2.3 (v2)</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Auto-generated endo prep</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More useful in a 15-minute appointment than a raw AGP page.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§3.3 (v3)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Replay and simulator mode</w:t>
            </w:r>
          </w:p>
        </w:tc>
        <w:tc>
          <w:tcPr>
            <w:tcW w:type="dxa" w:w="4100"/>
            <w:tcMar>
              <w:top w:type="dxa" w:w="60"/>
              <w:left w:type="dxa" w:w="100"/>
              <w:bottom w:type="dxa" w:w="60"/>
              <w:right w:type="dxa" w:w="100"/>
            </w:tcMar>
          </w:tcPr>
          <w:p>
            <w:pPr>
              <w:spacing w:after="0" w:line="250"/>
            </w:pPr>
            <w:r>
              <w:rPr>
                <w:b w:val="false"/>
                <w:bCs w:val="false"/>
                <w:sz w:val="20"/>
                <w:szCs w:val="20"/>
              </w:rPr>
              <w:t xml:space="preserve">Required to develop during sensor warmup and to make Phase 2's 24-hour failure-injection exit criterion an automated test rather than a vigil.</w:t>
            </w:r>
          </w:p>
        </w:tc>
        <w:tc>
          <w:tcPr>
            <w:tcW w:type="dxa" w:w="1760"/>
            <w:tcMar>
              <w:top w:type="dxa" w:w="60"/>
              <w:left w:type="dxa" w:w="100"/>
              <w:bottom w:type="dxa" w:w="60"/>
              <w:right w:type="dxa" w:w="100"/>
            </w:tcMar>
          </w:tcPr>
          <w:p>
            <w:pPr>
              <w:spacing w:after="0" w:line="250"/>
            </w:pPr>
            <w:r>
              <w:rPr>
                <w:b w:val="false"/>
                <w:bCs w:val="false"/>
                <w:sz w:val="20"/>
                <w:szCs w:val="20"/>
              </w:rPr>
              <w:t xml:space="preserve">§4.5,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Rescue-carb calculator — deliberately excluded</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Two lines of code once ISF and ICR exist, and squarely across the §1.2 line. Recorded as a permanent non-goal so future work does not drift into it.</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§1.2</w:t>
            </w:r>
          </w:p>
        </w:tc>
      </w:tr>
    </w:tbl>
    <w:p>
      <w:pPr>
        <w:pStyle w:val="Heading2"/>
        <w:spacing w:after="140" w:before="280"/>
      </w:pPr>
      <w:r>
        <w:rPr>
          <w:b w:val="false"/>
          <w:bCs w:val="false"/>
        </w:rPr>
        <w:t xml:space="preserve">B.7 v1.3 Findings — Data Source Architecture</w:t>
      </w:r>
    </w:p>
    <w:p>
      <w:pPr>
        <w:spacing w:after="120" w:line="276"/>
      </w:pPr>
      <w:r>
        <w:rPr>
          <w:b w:val="false"/>
          <w:bCs w:val="false"/>
        </w:rPr>
        <w:t xml:space="preserve">A second review pass, verified against primary sources rather than recalled. This pass overturned the central architectural decision of both prior revisions.</w:t>
      </w:r>
    </w:p>
    <w:tbl>
      <w:tblPr>
        <w:tblW w:type="dxa" w:w="9360"/>
        <w:tblBorders>
          <w:top w:val="single" w:color="9CC2E5" w:sz="4"/>
          <w:left w:val="single" w:color="9CC2E5" w:sz="4"/>
          <w:bottom w:val="single" w:color="9CC2E5" w:sz="4"/>
          <w:right w:val="single" w:color="9CC2E5" w:sz="4"/>
          <w:insideH w:val="single" w:color="BDD7EE" w:sz="2"/>
          <w:insideV w:val="single" w:color="BDD7EE" w:sz="2"/>
        </w:tblBorders>
      </w:tblPr>
      <w:tblGrid>
        <w:gridCol w:w="3500"/>
        <w:gridCol w:w="4100"/>
        <w:gridCol w:w="1760"/>
      </w:tblGrid>
      <w:tr>
        <w:trPr>
          <w:tblHeader/>
        </w:trPr>
        <w:tc>
          <w:tcPr>
            <w:tcW w:type="dxa" w:w="3500"/>
            <w:shd w:fill="DEEAF6" w:color="auto" w:val="clear"/>
            <w:tcMar>
              <w:top w:type="dxa" w:w="60"/>
              <w:left w:type="dxa" w:w="100"/>
              <w:bottom w:type="dxa" w:w="60"/>
              <w:right w:type="dxa" w:w="100"/>
            </w:tcMar>
          </w:tcPr>
          <w:p>
            <w:pPr>
              <w:spacing w:after="0" w:line="250"/>
            </w:pPr>
            <w:r>
              <w:rPr>
                <w:b/>
                <w:bCs/>
                <w:sz w:val="20"/>
                <w:szCs w:val="20"/>
              </w:rPr>
              <w:t xml:space="preserve">Finding</w:t>
            </w:r>
          </w:p>
        </w:tc>
        <w:tc>
          <w:tcPr>
            <w:tcW w:type="dxa" w:w="4100"/>
            <w:shd w:fill="DEEAF6" w:color="auto" w:val="clear"/>
            <w:tcMar>
              <w:top w:type="dxa" w:w="60"/>
              <w:left w:type="dxa" w:w="100"/>
              <w:bottom w:type="dxa" w:w="60"/>
              <w:right w:type="dxa" w:w="100"/>
            </w:tcMar>
          </w:tcPr>
          <w:p>
            <w:pPr>
              <w:spacing w:after="0" w:line="250"/>
            </w:pPr>
            <w:r>
              <w:rPr>
                <w:b/>
                <w:bCs/>
                <w:sz w:val="20"/>
                <w:szCs w:val="20"/>
              </w:rPr>
              <w:t xml:space="preserve">Resolution</w:t>
            </w:r>
          </w:p>
        </w:tc>
        <w:tc>
          <w:tcPr>
            <w:tcW w:type="dxa" w:w="1760"/>
            <w:shd w:fill="DEEAF6" w:color="auto" w:val="clear"/>
            <w:tcMar>
              <w:top w:type="dxa" w:w="60"/>
              <w:left w:type="dxa" w:w="100"/>
              <w:bottom w:type="dxa" w:w="60"/>
              <w:right w:type="dxa" w:w="100"/>
            </w:tcMar>
          </w:tcPr>
          <w:p>
            <w:pPr>
              <w:spacing w:after="0" w:line="250"/>
            </w:pPr>
            <w:r>
              <w:rPr>
                <w:b/>
                <w:bCs/>
                <w:sz w:val="20"/>
                <w:szCs w:val="20"/>
              </w:rPr>
              <w:t xml:space="preserve">Section</w:t>
            </w:r>
          </w:p>
        </w:tc>
      </w:tr>
      <w:tr>
        <w:tc>
          <w:tcPr>
            <w:tcW w:type="dxa" w:w="3500"/>
            <w:tcMar>
              <w:top w:type="dxa" w:w="60"/>
              <w:left w:type="dxa" w:w="100"/>
              <w:bottom w:type="dxa" w:w="60"/>
              <w:right w:type="dxa" w:w="100"/>
            </w:tcMar>
          </w:tcPr>
          <w:p>
            <w:pPr>
              <w:spacing w:after="0" w:line="250"/>
            </w:pPr>
            <w:r>
              <w:rPr>
                <w:b/>
                <w:bCs/>
                <w:sz w:val="20"/>
                <w:szCs w:val="20"/>
              </w:rPr>
              <w:t xml:space="preserve">Apple HealthKit carries a documented three-hour delay</w:t>
            </w:r>
            <w:r>
              <w:rPr>
                <w:b w:val="false"/>
                <w:bCs w:val="false"/>
                <w:sz w:val="20"/>
                <w:szCs w:val="20"/>
              </w:rPr>
              <w:t xml:space="preserve"> for Dexcom G7 data, not the 15–30 minutes assumed in v1.1. v1.2 compounded this by promoting HealthKit to primary live source and background wake mechanism — it would have shown a three-hour-old value at 3am.</w:t>
            </w:r>
          </w:p>
        </w:tc>
        <w:tc>
          <w:tcPr>
            <w:tcW w:type="dxa" w:w="4100"/>
            <w:tcMar>
              <w:top w:type="dxa" w:w="60"/>
              <w:left w:type="dxa" w:w="100"/>
              <w:bottom w:type="dxa" w:w="60"/>
              <w:right w:type="dxa" w:w="100"/>
            </w:tcMar>
          </w:tcPr>
          <w:p>
            <w:pPr>
              <w:spacing w:after="0" w:line="250"/>
            </w:pPr>
            <w:r>
              <w:rPr>
                <w:b w:val="false"/>
                <w:bCs w:val="false"/>
                <w:sz w:val="20"/>
                <w:szCs w:val="20"/>
              </w:rPr>
              <w:t xml:space="preserve">HealthKit demoted to historical backfill only, where the delay is irrelevant. It is structurally barred from supplying the displayed current value.</w:t>
            </w:r>
          </w:p>
        </w:tc>
        <w:tc>
          <w:tcPr>
            <w:tcW w:type="dxa" w:w="1760"/>
            <w:tcMar>
              <w:top w:type="dxa" w:w="60"/>
              <w:left w:type="dxa" w:w="100"/>
              <w:bottom w:type="dxa" w:w="60"/>
              <w:right w:type="dxa" w:w="100"/>
            </w:tcMar>
          </w:tcPr>
          <w:p>
            <w:pPr>
              <w:spacing w:after="0" w:line="250"/>
            </w:pPr>
            <w:r>
              <w:rPr>
                <w:b w:val="false"/>
                <w:bCs w:val="false"/>
                <w:sz w:val="20"/>
                <w:szCs w:val="20"/>
              </w:rPr>
              <w:t xml:space="preserve">§1, §1.3, §3.1.1, §4.2.3</w:t>
            </w:r>
          </w:p>
        </w:tc>
      </w:tr>
      <w:tr>
        <w:tc>
          <w:tcPr>
            <w:tcW w:type="dxa" w:w="3500"/>
            <w:shd w:fill="F5F8FC" w:color="auto" w:val="clear"/>
            <w:tcMar>
              <w:top w:type="dxa" w:w="60"/>
              <w:left w:type="dxa" w:w="100"/>
              <w:bottom w:type="dxa" w:w="60"/>
              <w:right w:type="dxa" w:w="100"/>
            </w:tcMar>
          </w:tcPr>
          <w:p>
            <w:pPr>
              <w:spacing w:after="0" w:line="250"/>
            </w:pPr>
            <w:r>
              <w:rPr>
                <w:b/>
                <w:bCs/>
                <w:sz w:val="20"/>
                <w:szCs w:val="20"/>
              </w:rPr>
              <w:t xml:space="preserve">Direct BLE to the sensor was never considered</w:t>
            </w:r>
            <w:r>
              <w:rPr>
                <w:b w:val="false"/>
                <w:bCs w:val="false"/>
                <w:sz w:val="20"/>
                <w:szCs w:val="20"/>
              </w:rPr>
              <w:t xml:space="preserve"> in either revision, despite being the only source that is both real-time and independent of any network.</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Direct Bluetooth via G7SensorKit (LoopKit, MIT) is now the primary source. Latency drops from minutes to seconds and the app works with no internet at all.</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§1, §3.1.1, §4.1, §4.2.2</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G7 exposes only </w:t>
            </w:r>
            <w:r>
              <w:rPr>
                <w:b/>
                <w:bCs/>
                <w:sz w:val="20"/>
                <w:szCs w:val="20"/>
              </w:rPr>
              <w:t xml:space="preserve">three Bluetooth channels</w:t>
            </w:r>
            <w:r>
              <w:rPr>
                <w:b w:val="false"/>
                <w:bCs w:val="false"/>
                <w:sz w:val="20"/>
                <w:szCs w:val="20"/>
              </w:rPr>
              <w:t xml:space="preserve"> (phone, watch, receiver/AID), and the phone channel is held by the official app.</w:t>
            </w:r>
          </w:p>
        </w:tc>
        <w:tc>
          <w:tcPr>
            <w:tcW w:type="dxa" w:w="4100"/>
            <w:tcMar>
              <w:top w:type="dxa" w:w="60"/>
              <w:left w:type="dxa" w:w="100"/>
              <w:bottom w:type="dxa" w:w="60"/>
              <w:right w:type="dxa" w:w="100"/>
            </w:tcMar>
          </w:tcPr>
          <w:p>
            <w:pPr>
              <w:spacing w:after="0" w:line="250"/>
            </w:pPr>
            <w:r>
              <w:rPr>
                <w:b w:val="false"/>
                <w:bCs w:val="false"/>
                <w:sz w:val="20"/>
                <w:szCs w:val="20"/>
              </w:rPr>
              <w:t xml:space="preserve">Explicit channel budget documented. GlucoNoir occupies the receiver/AID channel; this user runs Direct to Watch and owns no receiver, so all three are allocated with none spare.</w:t>
            </w:r>
          </w:p>
        </w:tc>
        <w:tc>
          <w:tcPr>
            <w:tcW w:type="dxa" w:w="1760"/>
            <w:tcMar>
              <w:top w:type="dxa" w:w="60"/>
              <w:left w:type="dxa" w:w="100"/>
              <w:bottom w:type="dxa" w:w="60"/>
              <w:right w:type="dxa" w:w="100"/>
            </w:tcMar>
          </w:tcPr>
          <w:p>
            <w:pPr>
              <w:spacing w:after="0" w:line="250"/>
            </w:pPr>
            <w:r>
              <w:rPr>
                <w:b w:val="false"/>
                <w:bCs w:val="false"/>
                <w:sz w:val="20"/>
                <w:szCs w:val="20"/>
              </w:rPr>
              <w:t xml:space="preserve">§3.1.1</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Whether a third BLE client degrades the official app's connection </w:t>
            </w:r>
            <w:r>
              <w:rPr>
                <w:b/>
                <w:bCs/>
                <w:sz w:val="20"/>
                <w:szCs w:val="20"/>
              </w:rPr>
              <w:t xml:space="preserve">cannot be determined by reasoning</w:t>
            </w:r>
            <w:r>
              <w:rPr>
                <w:b w:val="false"/>
                <w:bCs w:val="false"/>
                <w:sz w:val="20"/>
                <w:szCs w:val="20"/>
              </w:rPr>
              <w:t xml:space="preserve"> — and that app is the safety-critical alarm source.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Phase 1 is now a minimal 48-hour BLE spike whose exit criterion includes no degradation of the official app. It blocks all downstream work.</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§7, §9</w:t>
            </w:r>
          </w:p>
        </w:tc>
      </w:tr>
      <w:tr>
        <w:tc>
          <w:tcPr>
            <w:tcW w:type="dxa" w:w="3500"/>
            <w:tcMar>
              <w:top w:type="dxa" w:w="60"/>
              <w:left w:type="dxa" w:w="100"/>
              <w:bottom w:type="dxa" w:w="60"/>
              <w:right w:type="dxa" w:w="100"/>
            </w:tcMar>
          </w:tcPr>
          <w:p>
            <w:pPr>
              <w:spacing w:after="0" w:line="250"/>
            </w:pPr>
            <w:r>
              <w:rPr>
                <w:b/>
                <w:bCs/>
                <w:sz w:val="20"/>
                <w:szCs w:val="20"/>
              </w:rPr>
              <w:t xml:space="preserve">Share authenticates with the account holder's own credentials</w:t>
            </w:r>
            <w:r>
              <w:rPr>
                <w:b w:val="false"/>
                <w:bCs w:val="false"/>
                <w:sz w:val="20"/>
                <w:szCs w:val="20"/>
              </w:rPr>
              <w:t xml:space="preserve">, not a follower's. Both prior revisions instructed the opposite.</w:t>
            </w:r>
          </w:p>
        </w:tc>
        <w:tc>
          <w:tcPr>
            <w:tcW w:type="dxa" w:w="4100"/>
            <w:tcMar>
              <w:top w:type="dxa" w:w="60"/>
              <w:left w:type="dxa" w:w="100"/>
              <w:bottom w:type="dxa" w:w="60"/>
              <w:right w:type="dxa" w:w="100"/>
            </w:tcMar>
          </w:tcPr>
          <w:p>
            <w:pPr>
              <w:spacing w:after="0" w:line="250"/>
            </w:pPr>
            <w:r>
              <w:rPr>
                <w:b w:val="false"/>
                <w:bCs w:val="false"/>
                <w:sz w:val="20"/>
                <w:szCs w:val="20"/>
              </w:rPr>
              <w:t xml:space="preserve">Corrected. A follower must merely exist for Share to be enabled; you never log in as one.</w:t>
            </w:r>
          </w:p>
        </w:tc>
        <w:tc>
          <w:tcPr>
            <w:tcW w:type="dxa" w:w="1760"/>
            <w:tcMar>
              <w:top w:type="dxa" w:w="60"/>
              <w:left w:type="dxa" w:w="100"/>
              <w:bottom w:type="dxa" w:w="60"/>
              <w:right w:type="dxa" w:w="100"/>
            </w:tcMar>
          </w:tcPr>
          <w:p>
            <w:pPr>
              <w:spacing w:after="0" w:line="250"/>
            </w:pPr>
            <w:r>
              <w:rPr>
                <w:b w:val="false"/>
                <w:bCs w:val="false"/>
                <w:sz w:val="20"/>
                <w:szCs w:val="20"/>
              </w:rPr>
              <w:t xml:space="preserve">§4.2.4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v1.2's six invented sensor-lifecycle states were guesswork.</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Replaced with the sensor's own </w:t>
            </w:r>
            <w:r>
              <w:rPr>
                <w:rFonts w:ascii="Consolas" w:cs="Consolas" w:eastAsia="Consolas" w:hAnsi="Consolas"/>
                <w:b w:val="false"/>
                <w:bCs w:val="false"/>
                <w:sz w:val="19"/>
                <w:szCs w:val="19"/>
              </w:rPr>
              <w:t xml:space="preserve">algorithmState</w:t>
            </w:r>
            <w:r>
              <w:rPr>
                <w:b w:val="false"/>
                <w:bCs w:val="false"/>
                <w:sz w:val="20"/>
                <w:szCs w:val="20"/>
              </w:rPr>
              <w:t xml:space="preserve"> — 26 states including distinct failure modes — grouped into seven display states.</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Share endpoints, applicationId constants, and the integer-to-string </w:t>
            </w:r>
            <w:r>
              <w:rPr>
                <w:rFonts w:ascii="Consolas" w:cs="Consolas" w:eastAsia="Consolas" w:hAnsi="Consolas"/>
                <w:b w:val="false"/>
                <w:bCs w:val="false"/>
                <w:sz w:val="19"/>
                <w:szCs w:val="19"/>
              </w:rPr>
              <w:t xml:space="preserve">Trend</w:t>
            </w:r>
            <w:r>
              <w:rPr>
                <w:b w:val="false"/>
                <w:bCs w:val="false"/>
                <w:sz w:val="20"/>
                <w:szCs w:val="20"/>
              </w:rPr>
              <w:t xml:space="preserve"> change were specified from memory.</w:t>
            </w:r>
          </w:p>
        </w:tc>
        <w:tc>
          <w:tcPr>
            <w:tcW w:type="dxa" w:w="4100"/>
            <w:tcMar>
              <w:top w:type="dxa" w:w="60"/>
              <w:left w:type="dxa" w:w="100"/>
              <w:bottom w:type="dxa" w:w="60"/>
              <w:right w:type="dxa" w:w="100"/>
            </w:tcMar>
          </w:tcPr>
          <w:p>
            <w:pPr>
              <w:spacing w:after="0" w:line="250"/>
            </w:pPr>
            <w:r>
              <w:rPr>
                <w:b w:val="false"/>
                <w:bCs w:val="false"/>
                <w:sz w:val="20"/>
                <w:szCs w:val="20"/>
              </w:rPr>
              <w:t xml:space="preserve">Verified against pydexcom source. Two-step auth flow, per-region applicationId values, and string trend decoding all confirmed and documented.</w:t>
            </w:r>
          </w:p>
        </w:tc>
        <w:tc>
          <w:tcPr>
            <w:tcW w:type="dxa" w:w="1760"/>
            <w:tcMar>
              <w:top w:type="dxa" w:w="60"/>
              <w:left w:type="dxa" w:w="100"/>
              <w:bottom w:type="dxa" w:w="60"/>
              <w:right w:type="dxa" w:w="100"/>
            </w:tcMar>
          </w:tcPr>
          <w:p>
            <w:pPr>
              <w:spacing w:after="0" w:line="250"/>
            </w:pPr>
            <w:r>
              <w:rPr>
                <w:b w:val="false"/>
                <w:bCs w:val="false"/>
                <w:sz w:val="20"/>
                <w:szCs w:val="20"/>
              </w:rPr>
              <w:t xml:space="preserve">§4.2.4</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The background wake mechanism was wrong in both revisions — BGAppRefreshTask is a heuristic, HealthKit delivery is punctual but stale.</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CoreBluetooth state preservation and restoration. The sensor's own 5-minute transmission drives the cadence.</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§4.2.1</w:t>
            </w:r>
          </w:p>
        </w:tc>
      </w:tr>
      <w:tr>
        <w:tc>
          <w:tcPr>
            <w:tcW w:type="dxa" w:w="3500"/>
            <w:tcMar>
              <w:top w:type="dxa" w:w="60"/>
              <w:left w:type="dxa" w:w="100"/>
              <w:bottom w:type="dxa" w:w="60"/>
              <w:right w:type="dxa" w:w="100"/>
            </w:tcMar>
          </w:tcPr>
          <w:p>
            <w:pPr>
              <w:spacing w:after="0" w:line="250"/>
            </w:pPr>
            <w:r>
              <w:rPr>
                <w:b w:val="false"/>
                <w:bCs w:val="false"/>
                <w:sz w:val="20"/>
                <w:szCs w:val="20"/>
              </w:rPr>
              <w:t xml:space="preserve">Signing tier was never treated as a scope constraint.</w:t>
            </w:r>
          </w:p>
        </w:tc>
        <w:tc>
          <w:tcPr>
            <w:tcW w:type="dxa" w:w="4100"/>
            <w:tcMar>
              <w:top w:type="dxa" w:w="60"/>
              <w:left w:type="dxa" w:w="100"/>
              <w:bottom w:type="dxa" w:w="60"/>
              <w:right w:type="dxa" w:w="100"/>
            </w:tcMar>
          </w:tcPr>
          <w:p>
            <w:pPr>
              <w:spacing w:after="0" w:line="250"/>
            </w:pPr>
            <w:r>
              <w:rPr>
                <w:b w:val="false"/>
                <w:bCs w:val="false"/>
                <w:sz w:val="20"/>
                <w:szCs w:val="20"/>
              </w:rPr>
              <w:t xml:space="preserve">New §6.1. Free personal team covers Phases 0–8 including all of v1; only glanceable surfaces need the paid membership, deferred to Phase 9.</w:t>
            </w:r>
          </w:p>
        </w:tc>
        <w:tc>
          <w:tcPr>
            <w:tcW w:type="dxa" w:w="1760"/>
            <w:tcMar>
              <w:top w:type="dxa" w:w="60"/>
              <w:left w:type="dxa" w:w="100"/>
              <w:bottom w:type="dxa" w:w="60"/>
              <w:right w:type="dxa" w:w="100"/>
            </w:tcMar>
          </w:tcPr>
          <w:p>
            <w:pPr>
              <w:spacing w:after="0" w:line="250"/>
            </w:pPr>
            <w:r>
              <w:rPr>
                <w:b w:val="false"/>
                <w:bCs w:val="false"/>
                <w:sz w:val="20"/>
                <w:szCs w:val="20"/>
              </w:rPr>
              <w:t xml:space="preserve">§6.1, §7</w:t>
            </w:r>
          </w:p>
        </w:tc>
      </w:tr>
      <w:tr>
        <w:tc>
          <w:tcPr>
            <w:tcW w:type="dxa" w:w="3500"/>
            <w:shd w:fill="F5F8FC" w:color="auto" w:val="clear"/>
            <w:tcMar>
              <w:top w:type="dxa" w:w="60"/>
              <w:left w:type="dxa" w:w="100"/>
              <w:bottom w:type="dxa" w:w="60"/>
              <w:right w:type="dxa" w:w="100"/>
            </w:tcMar>
          </w:tcPr>
          <w:p>
            <w:pPr>
              <w:spacing w:after="0" w:line="250"/>
            </w:pPr>
            <w:r>
              <w:rPr>
                <w:b w:val="false"/>
                <w:bCs w:val="false"/>
                <w:sz w:val="20"/>
                <w:szCs w:val="20"/>
              </w:rPr>
              <w:t xml:space="preserve">Staleness thresholds (12/30 min) were sized for cloud latency that no longer exists.</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Tightened to 7/20 minutes, since a BLE gap is a real gap rather than pipeline delay.</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§1.3, §3.1.3</w:t>
            </w:r>
          </w:p>
        </w:tc>
      </w:tr>
      <w:tr>
        <w:tc>
          <w:tcPr>
            <w:tcW w:type="dxa" w:w="3500"/>
            <w:tcMar>
              <w:top w:type="dxa" w:w="60"/>
              <w:left w:type="dxa" w:w="100"/>
              <w:bottom w:type="dxa" w:w="60"/>
              <w:right w:type="dxa" w:w="100"/>
            </w:tcMar>
          </w:tcPr>
          <w:p>
            <w:pPr>
              <w:spacing w:after="0" w:line="250"/>
            </w:pPr>
            <w:r>
              <w:rPr>
                <w:b w:val="false"/>
                <w:bCs w:val="false"/>
                <w:sz w:val="20"/>
                <w:szCs w:val="20"/>
              </w:rPr>
              <w:t xml:space="preserve">The sensor broadcasts its own forward </w:t>
            </w:r>
            <w:r>
              <w:rPr>
                <w:rFonts w:ascii="Consolas" w:cs="Consolas" w:eastAsia="Consolas" w:hAnsi="Consolas"/>
                <w:b w:val="false"/>
                <w:bCs w:val="false"/>
                <w:sz w:val="19"/>
                <w:szCs w:val="19"/>
              </w:rPr>
              <w:t xml:space="preserve">predicted</w:t>
            </w:r>
            <w:r>
              <w:rPr>
                <w:b w:val="false"/>
                <w:bCs w:val="false"/>
                <w:sz w:val="20"/>
                <w:szCs w:val="20"/>
              </w:rPr>
              <w:t xml:space="preserve"> value — a free benchmark that went unnoticed.</w:t>
            </w:r>
          </w:p>
        </w:tc>
        <w:tc>
          <w:tcPr>
            <w:tcW w:type="dxa" w:w="4100"/>
            <w:tcMar>
              <w:top w:type="dxa" w:w="60"/>
              <w:left w:type="dxa" w:w="100"/>
              <w:bottom w:type="dxa" w:w="60"/>
              <w:right w:type="dxa" w:w="100"/>
            </w:tcMar>
          </w:tcPr>
          <w:p>
            <w:pPr>
              <w:spacing w:after="0" w:line="250"/>
            </w:pPr>
            <w:r>
              <w:rPr>
                <w:b w:val="false"/>
                <w:bCs w:val="false"/>
                <w:sz w:val="20"/>
                <w:szCs w:val="20"/>
              </w:rPr>
              <w:t xml:space="preserve">Captured and stored from v1, used in Phase 8 to test whether the homegrown forecaster earns its place.</w:t>
            </w:r>
          </w:p>
        </w:tc>
        <w:tc>
          <w:tcPr>
            <w:tcW w:type="dxa" w:w="1760"/>
            <w:tcMar>
              <w:top w:type="dxa" w:w="60"/>
              <w:left w:type="dxa" w:w="100"/>
              <w:bottom w:type="dxa" w:w="60"/>
              <w:right w:type="dxa" w:w="100"/>
            </w:tcMar>
          </w:tcPr>
          <w:p>
            <w:pPr>
              <w:spacing w:after="0" w:line="250"/>
            </w:pPr>
            <w:r>
              <w:rPr>
                <w:b w:val="false"/>
                <w:bCs w:val="false"/>
                <w:sz w:val="20"/>
                <w:szCs w:val="20"/>
              </w:rPr>
              <w:t xml:space="preserve">§4.2.2, §4.4, §9</w:t>
            </w:r>
          </w:p>
        </w:tc>
      </w:tr>
      <w:tr>
        <w:tc>
          <w:tcPr>
            <w:tcW w:type="dxa" w:w="3500"/>
            <w:shd w:fill="F5F8FC" w:color="auto" w:val="clear"/>
            <w:tcMar>
              <w:top w:type="dxa" w:w="60"/>
              <w:left w:type="dxa" w:w="100"/>
              <w:bottom w:type="dxa" w:w="60"/>
              <w:right w:type="dxa" w:w="100"/>
            </w:tcMar>
          </w:tcPr>
          <w:p>
            <w:pPr>
              <w:spacing w:after="0" w:line="250"/>
            </w:pPr>
            <w:r>
              <w:rPr>
                <w:b/>
                <w:bCs/>
                <w:sz w:val="20"/>
                <w:szCs w:val="20"/>
              </w:rPr>
              <w:t xml:space="preserve">Confirmed unchanged:</w:t>
            </w:r>
            <w:r>
              <w:rPr>
                <w:b w:val="false"/>
                <w:bCs w:val="false"/>
                <w:sz w:val="20"/>
                <w:szCs w:val="20"/>
              </w:rPr>
              <w:t xml:space="preserve"> the trend rate thresholds (±1/±2/±3 mg/dL/min) and the 40–400 mg/dL sentinel bounds specified in v1.2.</w:t>
            </w:r>
          </w:p>
        </w:tc>
        <w:tc>
          <w:tcPr>
            <w:tcW w:type="dxa" w:w="4100"/>
            <w:shd w:fill="F5F8FC" w:color="auto" w:val="clear"/>
            <w:tcMar>
              <w:top w:type="dxa" w:w="60"/>
              <w:left w:type="dxa" w:w="100"/>
              <w:bottom w:type="dxa" w:w="60"/>
              <w:right w:type="dxa" w:w="100"/>
            </w:tcMar>
          </w:tcPr>
          <w:p>
            <w:pPr>
              <w:spacing w:after="0" w:line="250"/>
            </w:pPr>
            <w:r>
              <w:rPr>
                <w:b w:val="false"/>
                <w:bCs w:val="false"/>
                <w:sz w:val="20"/>
                <w:szCs w:val="20"/>
              </w:rPr>
              <w:t xml:space="preserve">Both independently verified against G7SensorKit. No change required.</w:t>
            </w:r>
          </w:p>
        </w:tc>
        <w:tc>
          <w:tcPr>
            <w:tcW w:type="dxa" w:w="1760"/>
            <w:shd w:fill="F5F8FC" w:color="auto" w:val="clear"/>
            <w:tcMar>
              <w:top w:type="dxa" w:w="60"/>
              <w:left w:type="dxa" w:w="100"/>
              <w:bottom w:type="dxa" w:w="60"/>
              <w:right w:type="dxa" w:w="100"/>
            </w:tcMar>
          </w:tcPr>
          <w:p>
            <w:pPr>
              <w:spacing w:after="0" w:line="250"/>
            </w:pPr>
            <w:r>
              <w:rPr>
                <w:b w:val="false"/>
                <w:bCs w:val="false"/>
                <w:sz w:val="20"/>
                <w:szCs w:val="20"/>
              </w:rPr>
              <w:t xml:space="preserve">§3.1.2, §4.2.7</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pPr>
    <w:r>
      <w:rPr>
        <w:color w:val="595959"/>
        <w:sz w:val="18"/>
        <w:szCs w:val="18"/>
      </w:rPr>
      <w:t xml:space="preserve">GlucoNoir PRD v1.3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2E74B5"/>
      <w:sz w:val="32"/>
      <w:szCs w:val="32"/>
    </w:rPr>
  </w:style>
  <w:style w:type="paragraph" w:styleId="Heading2">
    <w:name w:val="Heading 2"/>
    <w:basedOn w:val="Normal"/>
    <w:next w:val="Normal"/>
    <w:qFormat/>
    <w:pPr>
      <w:spacing w:after="140" w:before="280"/>
    </w:pPr>
    <w:rPr>
      <w:rFonts w:ascii="Calibri" w:cs="Calibri" w:eastAsia="Calibri" w:hAnsi="Calibri"/>
      <w:b/>
      <w:bCs/>
      <w:color w:val="2E74B5"/>
      <w:sz w:val="26"/>
      <w:szCs w:val="26"/>
    </w:rPr>
  </w:style>
  <w:style w:type="paragraph" w:styleId="Heading3">
    <w:name w:val="Heading 3"/>
    <w:basedOn w:val="Normal"/>
    <w:next w:val="Normal"/>
    <w:qFormat/>
    <w:pPr>
      <w:spacing w:after="120" w:before="220"/>
    </w:pPr>
    <w:rPr>
      <w:rFonts w:ascii="Calibri" w:cs="Calibri" w:eastAsia="Calibri" w:hAnsi="Calibri"/>
      <w:b/>
      <w:bCs/>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GlucoNoir PRD v1.3</dc:title>
  <dc:creator>GlucoNoir Project</dc:creator>
  <dc:description>Product Requirements Document for GlucoNoir, a dark-mode Dexcom G7 companion app for iOS.</dc:description>
  <cp:lastModifiedBy>Un-named</cp:lastModifiedBy>
  <cp:revision>1</cp:revision>
  <dcterms:created xsi:type="dcterms:W3CDTF">2026-09-08T02:47:14.917Z</dcterms:created>
  <dcterms:modified xsi:type="dcterms:W3CDTF">2026-09-08T02:47:14.923Z</dcterms:modified>
</cp:coreProperties>
</file>

<file path=docProps/custom.xml><?xml version="1.0" encoding="utf-8"?>
<Properties xmlns="http://schemas.openxmlformats.org/officeDocument/2006/custom-properties" xmlns:vt="http://schemas.openxmlformats.org/officeDocument/2006/docPropsVTypes"/>
</file>