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D78"/>
          <w:sz w:val="56"/>
          <w:szCs w:val="56"/>
        </w:rPr>
        <w:t xml:space="preserve">GlucoNoir</w:t>
      </w:r>
    </w:p>
    <w:p>
      <w:pPr>
        <w:spacing w:after="60"/>
      </w:pPr>
      <w:r>
        <w:rPr>
          <w:color w:val="2E74B5"/>
          <w:sz w:val="28"/>
          <w:szCs w:val="28"/>
        </w:rPr>
        <w:t xml:space="preserve">A Dark-Mode Dexcom G7 Companion App for iOS</w:t>
      </w:r>
    </w:p>
    <w:p>
      <w:pPr>
        <w:pBdr>
          <w:bottom w:val="single" w:color="9CC2E5" w:sz="8" w:space="8"/>
        </w:pBdr>
        <w:spacing w:after="240"/>
      </w:pPr>
      <w:r>
        <w:rPr>
          <w:color w:val="595959"/>
          <w:sz w:val="22"/>
          <w:szCs w:val="22"/>
        </w:rPr>
        <w:t xml:space="preserve">Product Requirements Document  |  v1.4  |  September 2026</w:t>
      </w:r>
    </w:p>
    <w:p>
      <w:pPr>
        <w:pStyle w:val="Heading1"/>
        <w:spacing w:after="160" w:before="360"/>
      </w:pPr>
      <w:r>
        <w:rPr>
          <w:b w:val="false"/>
          <w:bCs w:val="false"/>
        </w:rPr>
        <w:t xml:space="preserve">1. Executive Summary</w:t>
      </w:r>
    </w:p>
    <w:p>
      <w:pPr>
        <w:spacing w:after="120" w:line="276"/>
      </w:pPr>
      <w:r>
        <w:rPr>
          <w:b w:val="false"/>
          <w:bCs w:val="false"/>
        </w:rPr>
        <w:t xml:space="preserve">GlucoNoir is a personal-use iOS application that displays Dexcom G7 glucose data in a thoughtfully designed dark-mode interface. It reads from the Dexcom Share API — roughly one to two minutes behind the sensor — with Apple HealthKit supplying historical backfill. It is built for a single user with Type 1 Diabetes (T1D) who wants a less visually fatiguing alternative to the official Dexcom G7 app, plus richer logging and short-horizon glucose prediction features the stock app does not offer.</w:t>
      </w:r>
    </w:p>
    <w:p>
      <w:pPr>
        <w:spacing w:after="120" w:line="276"/>
      </w:pPr>
      <w:r>
        <w:rPr>
          <w:b w:val="false"/>
          <w:bCs w:val="false"/>
        </w:rPr>
        <w:t xml:space="preserve">This document defines scope, features, technical architecture, safety boundaries, and a phased build roadmap. It is intentionally written so any developer (including the author) can pick it up and execute without re-deriving decisions.</w:t>
      </w:r>
    </w:p>
    <w:p>
      <w:pPr>
        <w:spacing w:after="100" w:before="180"/>
      </w:pPr>
      <w:r>
        <w:rPr>
          <w:b/>
          <w:bCs/>
          <w:color w:val="1F4D78"/>
        </w:rPr>
        <w:t xml:space="preserve">Change log v1.4</w:t>
      </w:r>
    </w:p>
    <w:p>
      <w:pPr>
        <w:spacing w:after="120" w:line="276"/>
      </w:pPr>
      <w:r>
        <w:rPr>
          <w:b w:val="false"/>
          <w:bCs w:val="false"/>
        </w:rPr>
        <w:t xml:space="preserve">v1.4 records the outcome of Phase 1, which was built and run on real hardware. Its purpose was to answer one question that could not be settled by reading documentation: whether a third application can read the G7 over Bluetooth while the official Dexcom app is running. The answer is no. v1.3's architecture is therefore replaced, and this revision reflects what is actually built and working rather than what was planned.</w:t>
      </w:r>
    </w:p>
    <w:p>
      <w:pPr>
        <w:pStyle w:val="ListParagraph"/>
        <w:numPr>
          <w:ilvl w:val="0"/>
          <w:numId w:val="2"/>
        </w:numPr>
        <w:spacing w:after="80" w:line="276"/>
      </w:pPr>
      <w:r>
        <w:rPr>
          <w:b/>
          <w:bCs/>
        </w:rPr>
        <w:t xml:space="preserve">Direct Bluetooth is ruled out — empirically, not theoretically.</w:t>
      </w:r>
      <w:r>
        <w:rPr>
          <w:b w:val="false"/>
          <w:bCs w:val="false"/>
        </w:rPr>
        <w:t xml:space="preserve"> A minimal BLE client connected to the sensor successfully and repeatedly, subscribed to every notifiable characteristic with each subscription confirmed by the system, and received </w:t>
      </w:r>
      <w:r>
        <w:rPr>
          <w:b/>
          <w:bCs/>
        </w:rPr>
        <w:t xml:space="preserve">zero bytes</w:t>
      </w:r>
      <w:r>
        <w:rPr>
          <w:b w:val="false"/>
          <w:bCs w:val="false"/>
        </w:rPr>
        <w:t xml:space="preserve"> across multiple full connection windows. The sensor accepts the connection, holds it for exactly ~10.2 seconds, sends nothing, and disconnects. Freeing a Bluetooth channel made no difference. The G7 permits only one collecting application per sensor, and that application must remain the official Dexcom app — it owns sensor pairing and, critically, the FDA-cleared alarms (§1.3).</w:t>
      </w:r>
    </w:p>
    <w:p>
      <w:pPr>
        <w:pStyle w:val="ListParagraph"/>
        <w:numPr>
          <w:ilvl w:val="0"/>
          <w:numId w:val="2"/>
        </w:numPr>
        <w:spacing w:after="80" w:line="276"/>
      </w:pPr>
      <w:r>
        <w:rPr>
          <w:b/>
          <w:bCs/>
        </w:rPr>
        <w:t xml:space="preserve">Dexcom Share is now the primary and only live source.</w:t>
      </w:r>
      <w:r>
        <w:rPr>
          <w:b w:val="false"/>
          <w:bCs w:val="false"/>
        </w:rPr>
        <w:t xml:space="preserve"> Latency is roughly 1 to 2 minutes behind the sensor rather than the seconds direct BLE would have delivered. The cost is a hard dependency on network connectivity, the official app uploading, and the Dexcom cloud being reachable — a materially weaker position than v1.3 assumed, and one §1.3 now states plainly.</w:t>
      </w:r>
    </w:p>
    <w:p>
      <w:pPr>
        <w:pStyle w:val="ListParagraph"/>
        <w:numPr>
          <w:ilvl w:val="0"/>
          <w:numId w:val="2"/>
        </w:numPr>
        <w:spacing w:after="80" w:line="276"/>
      </w:pPr>
      <w:r>
        <w:rPr>
          <w:b/>
          <w:bCs/>
        </w:rPr>
        <w:t xml:space="preserve">Apple HealthKit remains backfill only</w:t>
      </w:r>
      <w:r>
        <w:rPr>
          <w:b w:val="false"/>
          <w:bCs w:val="false"/>
        </w:rPr>
        <w:t xml:space="preserve">, unchanged from v1.3. Its three-hour delay is documented by Dexcom and disqualifies it as a live source.</w:t>
      </w:r>
    </w:p>
    <w:p>
      <w:pPr>
        <w:pStyle w:val="ListParagraph"/>
        <w:numPr>
          <w:ilvl w:val="0"/>
          <w:numId w:val="2"/>
        </w:numPr>
        <w:spacing w:after="80" w:line="276"/>
      </w:pPr>
      <w:r>
        <w:rPr>
          <w:b/>
          <w:bCs/>
        </w:rPr>
        <w:t xml:space="preserve">Glucose unit conversion corrected.</w:t>
      </w:r>
      <w:r>
        <w:rPr>
          <w:b w:val="false"/>
          <w:bCs w:val="false"/>
        </w:rPr>
        <w:t xml:space="preserve"> mmol/L display must divide by </w:t>
      </w:r>
      <w:r>
        <w:rPr>
          <w:b/>
          <w:bCs/>
        </w:rPr>
        <w:t xml:space="preserve">18.0182</w:t>
      </w:r>
      <w:r>
        <w:rPr>
          <w:b w:val="false"/>
          <w:bCs w:val="false"/>
        </w:rPr>
        <w:t xml:space="preserve">, Dexcom's own constant, not the precise molar mass 18.01559. The two disagree at boundary values — 100 mg/dL renders as 5.5 under the former and 5.6 under the latter. An app that disagrees with the device the user is checking against is worse than no app, so it matches Dexcom (§3.1.6).</w:t>
      </w:r>
    </w:p>
    <w:p>
      <w:pPr>
        <w:pStyle w:val="ListParagraph"/>
        <w:numPr>
          <w:ilvl w:val="0"/>
          <w:numId w:val="2"/>
        </w:numPr>
        <w:spacing w:after="80" w:line="276"/>
      </w:pPr>
      <w:r>
        <w:rPr>
          <w:b/>
          <w:bCs/>
        </w:rPr>
        <w:t xml:space="preserve">Provisioning constraints expanded</w:t>
      </w:r>
      <w:r>
        <w:rPr>
          <w:b w:val="false"/>
          <w:bCs w:val="false"/>
        </w:rPr>
        <w:t xml:space="preserve"> with a failure encountered in practice: an expired signing certificate presents on-device as “Unable to Verify App”, which is indistinguishable from a network problem and cannot be resolved by any amount of trusting (§6.1).</w:t>
      </w:r>
    </w:p>
    <w:p>
      <w:pPr>
        <w:pStyle w:val="ListParagraph"/>
        <w:numPr>
          <w:ilvl w:val="0"/>
          <w:numId w:val="2"/>
        </w:numPr>
        <w:spacing w:after="80" w:line="276"/>
      </w:pPr>
      <w:r>
        <w:rPr>
          <w:b/>
          <w:bCs/>
        </w:rPr>
        <w:t xml:space="preserve">Roadmap updated to reflect what exists.</w:t>
      </w:r>
      <w:r>
        <w:rPr>
          <w:b w:val="false"/>
          <w:bCs w:val="false"/>
        </w:rPr>
        <w:t xml:space="preserve"> Phases 0 through 2 are substantially complete: a working app on device, signed in, displaying live glucose in the user's own units, with 35 passing tests.</w:t>
      </w:r>
    </w:p>
    <w:p>
      <w:pPr>
        <w:pBdr>
          <w:left w:val="single" w:color="BFD3E6" w:sz="12" w:space="8"/>
        </w:pBdr>
        <w:spacing w:after="160" w:line="260"/>
        <w:ind w:left="180"/>
      </w:pPr>
      <w:r>
        <w:rPr>
          <w:b w:val="false"/>
          <w:bCs w:val="false"/>
          <w:i/>
          <w:iCs/>
          <w:color w:val="595959"/>
          <w:sz w:val="20"/>
          <w:szCs w:val="20"/>
        </w:rPr>
        <w:t xml:space="preserve">Change logs for v1.2 and v1.3 are preserved in Appendix B, which records every finding across all three review and build passes.</w:t>
      </w:r>
    </w:p>
    <w:p>
      <w:pPr>
        <w:pStyle w:val="Heading2"/>
        <w:spacing w:after="140" w:before="280"/>
      </w:pPr>
      <w:r>
        <w:rPr>
          <w:b w:val="false"/>
          <w:bCs w:val="false"/>
        </w:rPr>
        <w:t xml:space="preserve">1.1 Problem Statement</w:t>
      </w:r>
    </w:p>
    <w:p>
      <w:pPr>
        <w:pStyle w:val="ListParagraph"/>
        <w:numPr>
          <w:ilvl w:val="0"/>
          <w:numId w:val="2"/>
        </w:numPr>
        <w:spacing w:after="80" w:line="276"/>
      </w:pPr>
      <w:r>
        <w:rPr>
          <w:b w:val="false"/>
          <w:bCs w:val="false"/>
        </w:rPr>
        <w:t xml:space="preserve">The official Dexcom G7 app uses a bright white interface that causes eye strain in low-light conditions and at night, when glucose checks are most frequent.</w:t>
      </w:r>
    </w:p>
    <w:p>
      <w:pPr>
        <w:pStyle w:val="ListParagraph"/>
        <w:numPr>
          <w:ilvl w:val="0"/>
          <w:numId w:val="2"/>
        </w:numPr>
        <w:spacing w:after="80" w:line="276"/>
      </w:pPr>
      <w:r>
        <w:rPr>
          <w:b w:val="false"/>
          <w:bCs w:val="false"/>
        </w:rPr>
        <w:t xml:space="preserve">It does not offer integrated meal, insulin, or exercise logging in a single timeline view.</w:t>
      </w:r>
    </w:p>
    <w:p>
      <w:pPr>
        <w:pStyle w:val="ListParagraph"/>
        <w:numPr>
          <w:ilvl w:val="0"/>
          <w:numId w:val="2"/>
        </w:numPr>
        <w:spacing w:after="80" w:line="276"/>
      </w:pPr>
      <w:r>
        <w:rPr>
          <w:b w:val="false"/>
          <w:bCs w:val="false"/>
        </w:rPr>
        <w:t xml:space="preserve">It does not surface short-term glucose trajectory predictions beyond the standard trend arrow.</w:t>
      </w:r>
    </w:p>
    <w:p>
      <w:pPr>
        <w:pStyle w:val="ListParagraph"/>
        <w:numPr>
          <w:ilvl w:val="0"/>
          <w:numId w:val="2"/>
        </w:numPr>
        <w:spacing w:after="80" w:line="276"/>
      </w:pPr>
      <w:r>
        <w:rPr>
          <w:b w:val="false"/>
          <w:bCs w:val="false"/>
        </w:rPr>
        <w:t xml:space="preserve">It does not adapt to system appearance (light/dark mode toggle).</w:t>
      </w:r>
    </w:p>
    <w:p>
      <w:pPr>
        <w:pStyle w:val="ListParagraph"/>
        <w:numPr>
          <w:ilvl w:val="0"/>
          <w:numId w:val="2"/>
        </w:numPr>
        <w:spacing w:after="80" w:line="276"/>
      </w:pPr>
      <w:r>
        <w:rPr>
          <w:b w:val="false"/>
          <w:bCs w:val="false"/>
        </w:rPr>
        <w:t xml:space="preserve">It does not surface historical response to a repeated meal, which is the single most actionable pattern available from combined CGM and log data.</w:t>
      </w:r>
    </w:p>
    <w:p>
      <w:pPr>
        <w:pStyle w:val="Heading2"/>
        <w:spacing w:after="140" w:before="280"/>
      </w:pPr>
      <w:r>
        <w:rPr>
          <w:b w:val="false"/>
          <w:bCs w:val="false"/>
        </w:rPr>
        <w:t xml:space="preserve">1.2 Goals &amp; Non-Goals</w:t>
      </w:r>
    </w:p>
    <w:p>
      <w:pPr>
        <w:pStyle w:val="Heading3"/>
        <w:spacing w:after="120" w:before="220"/>
      </w:pPr>
      <w:r>
        <w:rPr>
          <w:b w:val="false"/>
          <w:bCs w:val="false"/>
        </w:rPr>
        <w:t xml:space="preserve">Goals</w:t>
      </w:r>
    </w:p>
    <w:p>
      <w:pPr>
        <w:pStyle w:val="ListParagraph"/>
        <w:numPr>
          <w:ilvl w:val="0"/>
          <w:numId w:val="2"/>
        </w:numPr>
        <w:spacing w:after="80" w:line="276"/>
      </w:pPr>
      <w:r>
        <w:rPr>
          <w:b/>
          <w:bCs/>
        </w:rPr>
        <w:t xml:space="preserve">Primary:</w:t>
      </w:r>
      <w:r>
        <w:rPr>
          <w:b w:val="false"/>
          <w:bCs w:val="false"/>
        </w:rPr>
        <w:t xml:space="preserve"> Build a personal iOS app that displays current and historical Dexcom G7 readings in a true OLED-friendly dark interface that respects iOS system appearance settings.</w:t>
      </w:r>
    </w:p>
    <w:p>
      <w:pPr>
        <w:pStyle w:val="ListParagraph"/>
        <w:numPr>
          <w:ilvl w:val="0"/>
          <w:numId w:val="2"/>
        </w:numPr>
        <w:spacing w:after="80" w:line="276"/>
      </w:pPr>
      <w:r>
        <w:rPr>
          <w:b/>
          <w:bCs/>
        </w:rPr>
        <w:t xml:space="preserve">Secondary:</w:t>
      </w:r>
      <w:r>
        <w:rPr>
          <w:b w:val="false"/>
          <w:bCs w:val="false"/>
        </w:rPr>
        <w:t xml:space="preserve"> Add a unified event log (meals, insulin doses, exercise) overlaid on the glucose timeline.</w:t>
      </w:r>
    </w:p>
    <w:p>
      <w:pPr>
        <w:pStyle w:val="ListParagraph"/>
        <w:numPr>
          <w:ilvl w:val="0"/>
          <w:numId w:val="2"/>
        </w:numPr>
        <w:spacing w:after="80" w:line="276"/>
      </w:pPr>
      <w:r>
        <w:rPr>
          <w:b/>
          <w:bCs/>
        </w:rPr>
        <w:t xml:space="preserve">Tertiary:</w:t>
      </w:r>
      <w:r>
        <w:rPr>
          <w:b w:val="false"/>
          <w:bCs w:val="false"/>
        </w:rPr>
        <w:t xml:space="preserve"> Provide a 15 to 30 minute glucose trajectory forecast using transparent statistical methods (damped linear regression, bi-exponential IOB, linear carb absorption).</w:t>
      </w:r>
    </w:p>
    <w:p>
      <w:pPr>
        <w:pStyle w:val="ListParagraph"/>
        <w:numPr>
          <w:ilvl w:val="0"/>
          <w:numId w:val="2"/>
        </w:numPr>
        <w:spacing w:after="80" w:line="276"/>
      </w:pPr>
      <w:r>
        <w:rPr>
          <w:b/>
          <w:bCs/>
        </w:rPr>
        <w:t xml:space="preserve">Fourth:</w:t>
      </w:r>
      <w:r>
        <w:rPr>
          <w:b w:val="false"/>
          <w:bCs w:val="false"/>
        </w:rPr>
        <w:t xml:space="preserve"> Reduce the number of glances that require opening an app at all, via Live Activity, Lock Screen, and Watch surfaces.</w:t>
      </w:r>
    </w:p>
    <w:p>
      <w:pPr>
        <w:pStyle w:val="Heading3"/>
        <w:spacing w:after="120" w:before="220"/>
      </w:pPr>
      <w:r>
        <w:rPr>
          <w:b w:val="false"/>
          <w:bCs w:val="false"/>
        </w:rPr>
        <w:t xml:space="preserve">Non-Goals</w:t>
      </w:r>
    </w:p>
    <w:p>
      <w:pPr>
        <w:pStyle w:val="ListParagraph"/>
        <w:numPr>
          <w:ilvl w:val="0"/>
          <w:numId w:val="2"/>
        </w:numPr>
        <w:spacing w:after="80" w:line="276"/>
      </w:pPr>
      <w:r>
        <w:rPr>
          <w:b w:val="false"/>
          <w:bCs w:val="false"/>
        </w:rPr>
        <w:t xml:space="preserve">This app is </w:t>
      </w:r>
      <w:r>
        <w:rPr>
          <w:b/>
          <w:bCs/>
        </w:rPr>
        <w:t xml:space="preserve">not a medical device</w:t>
      </w:r>
      <w:r>
        <w:rPr>
          <w:b w:val="false"/>
          <w:bCs w:val="false"/>
        </w:rPr>
        <w:t xml:space="preserve"> and will not be submitted to the App Store as one. See §1.4 for the precise boundary.</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replace the official Dexcom G7 app for low-glucose or high-glucose alarms. Those remain on the stock app, which is FDA-cleared for that purpose.</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implement any alarm or push notification tied to a glucose threshold. See §1.3 for why this is a hard line rather than a deferral.</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calculate insulin doses or recommend medical action. This explicitly includes the tempting adjacent feature of a rescue-carb calculator (“how many grams to get from 62 to 100”): once ISF and ICR exist in the data model that computation is two lines of code, and it is out of scope permanently, not until v3.</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support multiple users or family/follower features.</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integrate with, command, or read state from a closed-loop system (Loop, AAPS, iAPS, or a commercial pump). The app is strictly observational.</w:t>
      </w:r>
    </w:p>
    <w:p>
      <w:pPr>
        <w:pBdr>
          <w:left w:val="single" w:color="BFD3E6" w:sz="12" w:space="8"/>
        </w:pBdr>
        <w:spacing w:after="160" w:line="260"/>
        <w:ind w:left="180"/>
      </w:pPr>
      <w:r>
        <w:rPr>
          <w:b w:val="false"/>
          <w:bCs w:val="false"/>
          <w:i/>
          <w:iCs/>
          <w:color w:val="595959"/>
          <w:sz w:val="20"/>
          <w:szCs w:val="20"/>
        </w:rPr>
        <w:t xml:space="preserve">Changed in v1.2: the rescue-carb exclusion and the permanent alarm exclusion are new. Both are boundaries that v1.1 left implicit and that become easy to cross once the prediction engine exists.</w:t>
      </w:r>
    </w:p>
    <w:p>
      <w:pPr>
        <w:pStyle w:val="Heading2"/>
        <w:spacing w:after="140" w:before="280"/>
      </w:pPr>
      <w:r>
        <w:rPr>
          <w:b w:val="false"/>
          <w:bCs w:val="false"/>
        </w:rPr>
        <w:t xml:space="preserve">1.3 Critical Safety Boundary</w:t>
      </w:r>
    </w:p>
    <w:p>
      <w:pPr>
        <w:spacing w:after="120" w:line="276"/>
      </w:pPr>
      <w:r>
        <w:rPr>
          <w:b w:val="false"/>
          <w:bCs w:val="false"/>
        </w:rPr>
        <w:t xml:space="preserve">GlucoNoir displays glucose data but </w:t>
      </w:r>
      <w:r>
        <w:rPr>
          <w:b/>
          <w:bCs/>
        </w:rPr>
        <w:t xml:space="preserve">does not alarm on it</w:t>
      </w:r>
      <w:r>
        <w:rPr>
          <w:b w:val="false"/>
          <w:bCs w:val="false"/>
        </w:rPr>
        <w:t xml:space="preserve">. The official Dexcom G7 app remains the sole source of low-glucose and high-glucose alerts, and it stays installed and running — GlucoNoir depends on it absolutely, for sensor pairing, for Share uploads, and for alarms.</w:t>
      </w:r>
    </w:p>
    <w:p>
      <w:pPr>
        <w:spacing w:after="100" w:before="180"/>
      </w:pPr>
      <w:r>
        <w:rPr>
          <w:b/>
          <w:bCs/>
          <w:color w:val="1F4D78"/>
        </w:rPr>
        <w:t xml:space="preserve">Freshness, and its dependencies</w:t>
      </w:r>
    </w:p>
    <w:p>
      <w:pPr>
        <w:spacing w:after="120" w:line="276"/>
      </w:pPr>
      <w:r>
        <w:rPr>
          <w:b w:val="false"/>
          <w:bCs w:val="false"/>
        </w:rPr>
        <w:t xml:space="preserve">v1.3 anticipated second-level freshness over Bluetooth with no network dependency. That is not available (§4.2.1), and the honest position is weaker:</w:t>
      </w:r>
    </w:p>
    <w:p>
      <w:pPr>
        <w:pStyle w:val="ListParagraph"/>
        <w:numPr>
          <w:ilvl w:val="0"/>
          <w:numId w:val="2"/>
        </w:numPr>
        <w:spacing w:after="80" w:line="276"/>
      </w:pPr>
      <w:r>
        <w:rPr>
          <w:b/>
          <w:bCs/>
        </w:rPr>
        <w:t xml:space="preserve">Dexcom Share</w:t>
      </w:r>
      <w:r>
        <w:rPr>
          <w:b w:val="false"/>
          <w:bCs w:val="false"/>
        </w:rPr>
        <w:t xml:space="preserve"> delivers a reading roughly 1 to 2 minutes after the sensor produces it. Because the sensor itself only measures every 5 minutes, a displayed value is typically 1 to 7 minutes old. Opening the app triggers an immediate poll, so a glance always fetches rather than showing a cached value.</w:t>
      </w:r>
    </w:p>
    <w:p>
      <w:pPr>
        <w:pStyle w:val="ListParagraph"/>
        <w:numPr>
          <w:ilvl w:val="0"/>
          <w:numId w:val="2"/>
        </w:numPr>
        <w:spacing w:after="80" w:line="276"/>
      </w:pPr>
      <w:r>
        <w:rPr>
          <w:b/>
          <w:bCs/>
        </w:rPr>
        <w:t xml:space="preserve">Apple HealthKit</w:t>
      </w:r>
      <w:r>
        <w:rPr>
          <w:b w:val="false"/>
          <w:bCs w:val="false"/>
        </w:rPr>
        <w:t xml:space="preserve"> carries a documented three-hour delay and is never the source of a displayed current value.</w:t>
      </w:r>
    </w:p>
    <w:p>
      <w:pPr>
        <w:spacing w:after="100" w:before="180"/>
      </w:pPr>
      <w:r>
        <w:rPr>
          <w:b/>
          <w:bCs/>
          <w:color w:val="1F4D78"/>
        </w:rPr>
        <w:t xml:space="preserve">The dependency chain, stated plainly</w:t>
      </w:r>
    </w:p>
    <w:p>
      <w:pPr>
        <w:spacing w:after="120" w:line="276"/>
      </w:pPr>
      <w:r>
        <w:rPr>
          <w:b w:val="false"/>
          <w:bCs w:val="false"/>
        </w:rPr>
        <w:t xml:space="preserve">A reading reaches GlucoNoir only if </w:t>
      </w:r>
      <w:r>
        <w:rPr>
          <w:b/>
          <w:bCs/>
        </w:rPr>
        <w:t xml:space="preserve">all</w:t>
      </w:r>
      <w:r>
        <w:rPr>
          <w:b w:val="false"/>
          <w:bCs w:val="false"/>
        </w:rPr>
        <w:t xml:space="preserve"> of the following hold: the sensor is transmitting; the official Dexcom app is running and uploading; Dexcom's cloud is reachable; and this phone has working internet. Any one failing means no fresh data.</w:t>
      </w:r>
    </w:p>
    <w:p>
      <w:pPr>
        <w:spacing w:after="120" w:line="276"/>
      </w:pPr>
      <w:r>
        <w:rPr>
          <w:b w:val="false"/>
          <w:bCs w:val="false"/>
        </w:rPr>
        <w:t xml:space="preserve">This is a meaningfully longer chain than the direct-Bluetooth design assumed, and it fails in ordinary circumstances — patchy wifi, a captive portal, a cloud outage. The app must therefore make staleness impossible to miss (§3.1.3), and the user must not develop the habit of treating GlucoNoir as authoritative overnight. The official app has none of these dependencies for its alarms, because it reads the sensor directly. That asymmetry is the reason alarms stay there permanently.</w:t>
      </w:r>
    </w:p>
    <w:p>
      <w:pPr>
        <w:spacing w:after="100" w:before="180"/>
      </w:pPr>
      <w:r>
        <w:rPr>
          <w:b/>
          <w:bCs/>
          <w:color w:val="1F4D78"/>
        </w:rPr>
        <w:t xml:space="preserve">Why alarms are excluded permanently, not deferred</w:t>
      </w:r>
    </w:p>
    <w:p>
      <w:pPr>
        <w:spacing w:after="120" w:line="276"/>
      </w:pPr>
      <w:r>
        <w:rPr>
          <w:b w:val="false"/>
          <w:bCs w:val="false"/>
        </w:rPr>
        <w:t xml:space="preserve">v1.1 described alarms as “supplemental only” but never specified an alarm feature, leaving a governed behaviour that did not exist. The correct resolution is exclusion, for a concrete technical reason:</w:t>
      </w:r>
    </w:p>
    <w:p>
      <w:pPr>
        <w:spacing w:after="120" w:line="276"/>
      </w:pPr>
      <w:r>
        <w:rPr>
          <w:b w:val="false"/>
          <w:bCs w:val="false"/>
        </w:rPr>
        <w:t xml:space="preserve">Breaking through Do Not Disturb, Focus modes, and the ringer switch requires Apple's </w:t>
      </w:r>
      <w:r>
        <w:rPr>
          <w:b/>
          <w:bCs/>
        </w:rPr>
        <w:t xml:space="preserve">Critical Alerts</w:t>
      </w:r>
      <w:r>
        <w:rPr>
          <w:b w:val="false"/>
          <w:bCs w:val="false"/>
        </w:rPr>
        <w:t xml:space="preserve"> entitlement (</w:t>
      </w:r>
      <w:r>
        <w:rPr>
          <w:rFonts w:ascii="Consolas" w:cs="Consolas" w:eastAsia="Consolas" w:hAnsi="Consolas"/>
          <w:b w:val="false"/>
          <w:bCs w:val="false"/>
          <w:sz w:val="19"/>
          <w:szCs w:val="19"/>
        </w:rPr>
        <w:t xml:space="preserve">com.apple.developer.usernotifications.critical</w:t>
      </w:r>
      <w:r>
        <w:rPr>
          <w:b w:val="false"/>
          <w:bCs w:val="false"/>
        </w:rPr>
        <w:t xml:space="preserve">). Apple grants it to a narrow set of cleared medical applications and will not grant it here. Without it, every notification GlucoNoir could send is silently suppressed exactly when it would matter most — overnight. A nighttime alert that fires 80% of the time is more dangerous than no alert at all, because the user begins to rely on it. GlucoNoir therefore ships no glucose-threshold notifications of any kind.</w:t>
      </w:r>
    </w:p>
    <w:p>
      <w:pPr>
        <w:spacing w:after="120" w:line="276"/>
      </w:pPr>
      <w:r>
        <w:rPr>
          <w:b w:val="false"/>
          <w:bCs w:val="false"/>
        </w:rPr>
        <w:t xml:space="preserve">The forecast still surfaces impending lows, but only on surfaces the user is already looking at: the in-app hero area, the Live Activity, and the Watch complication (§3.2.3). This is information the user pulls, never a signal the app pushes.</w:t>
      </w:r>
    </w:p>
    <w:p>
      <w:pPr>
        <w:spacing w:after="100" w:before="180"/>
      </w:pPr>
      <w:r>
        <w:rPr>
          <w:b/>
          <w:bCs/>
          <w:color w:val="1F4D78"/>
        </w:rPr>
        <w:t xml:space="preserve">Staleness enforcement</w:t>
      </w:r>
    </w:p>
    <w:p>
      <w:pPr>
        <w:spacing w:after="120" w:line="276"/>
      </w:pPr>
      <w:r>
        <w:rPr>
          <w:b w:val="false"/>
          <w:bCs w:val="false"/>
        </w:rPr>
        <w:t xml:space="preserve">The UI surfaces data age prominently. Thresholds are set to survive normal signal-loss behaviour without crying wolf: a single missed G7 reading is routine, so a 10-minute warning threshold would fire many times a day and train the user to ignore it.</w:t>
      </w:r>
    </w:p>
    <w:p>
      <w:pPr>
        <w:pStyle w:val="ListParagraph"/>
        <w:numPr>
          <w:ilvl w:val="0"/>
          <w:numId w:val="2"/>
        </w:numPr>
        <w:spacing w:after="80" w:line="276"/>
      </w:pPr>
      <w:r>
        <w:rPr>
          <w:b/>
          <w:bCs/>
        </w:rPr>
        <w:t xml:space="preserve">Fresh:</w:t>
      </w:r>
      <w:r>
        <w:rPr>
          <w:b w:val="false"/>
          <w:bCs w:val="false"/>
        </w:rPr>
        <w:t xml:space="preserve"> newest reading under 12 minutes old. Normal display.</w:t>
      </w:r>
    </w:p>
    <w:p>
      <w:pPr>
        <w:pStyle w:val="ListParagraph"/>
        <w:numPr>
          <w:ilvl w:val="0"/>
          <w:numId w:val="2"/>
        </w:numPr>
        <w:spacing w:after="80" w:line="276"/>
      </w:pPr>
      <w:r>
        <w:rPr>
          <w:b/>
          <w:bCs/>
        </w:rPr>
        <w:t xml:space="preserve">Stale (amber):</w:t>
      </w:r>
      <w:r>
        <w:rPr>
          <w:b w:val="false"/>
          <w:bCs w:val="false"/>
        </w:rPr>
        <w:t xml:space="preserve"> 12 to 30 minutes. Freshness label turns amber; the hero number desaturates.</w:t>
      </w:r>
    </w:p>
    <w:p>
      <w:pPr>
        <w:pStyle w:val="ListParagraph"/>
        <w:numPr>
          <w:ilvl w:val="0"/>
          <w:numId w:val="2"/>
        </w:numPr>
        <w:spacing w:after="80" w:line="276"/>
      </w:pPr>
      <w:r>
        <w:rPr>
          <w:b/>
          <w:bCs/>
        </w:rPr>
        <w:t xml:space="preserve">Critically stale (red):</w:t>
      </w:r>
      <w:r>
        <w:rPr>
          <w:b w:val="false"/>
          <w:bCs w:val="false"/>
        </w:rPr>
        <w:t xml:space="preserve"> over 30 minutes. Hero number is replaced by the last value in a muted treatment with an explicit “open the Dexcom app” prompt. The trend arrow and the forecast are both hidden, because both are meaningless on stale data.</w:t>
      </w:r>
    </w:p>
    <w:p>
      <w:pPr>
        <w:pBdr>
          <w:left w:val="single" w:color="BFD3E6" w:sz="12" w:space="8"/>
        </w:pBdr>
        <w:spacing w:after="160" w:line="260"/>
        <w:ind w:left="180"/>
      </w:pPr>
      <w:r>
        <w:rPr>
          <w:b w:val="false"/>
          <w:bCs w:val="false"/>
          <w:i/>
          <w:iCs/>
          <w:color w:val="595959"/>
          <w:sz w:val="20"/>
          <w:szCs w:val="20"/>
        </w:rPr>
        <w:t xml:space="preserve">Changed in v1.2: thresholds moved from 10/20 minutes to 12/30. Hiding the forecast and arrow in the critically-stale state is new — v1.1 would have continued extrapolating from an old reading.</w:t>
      </w:r>
    </w:p>
    <w:p>
      <w:pPr>
        <w:spacing w:after="120" w:line="276"/>
      </w:pPr>
      <w:r>
        <w:rPr>
          <w:b w:val="false"/>
          <w:bCs w:val="false"/>
        </w:rPr>
        <w:t xml:space="preserve">An always-visible disclaimer appears on the Settings screen, and the critically-stale state repeats it inline.</w:t>
      </w:r>
    </w:p>
    <w:p>
      <w:pPr>
        <w:pStyle w:val="Heading2"/>
        <w:spacing w:after="140" w:before="280"/>
      </w:pPr>
      <w:r>
        <w:rPr>
          <w:b w:val="false"/>
          <w:bCs w:val="false"/>
        </w:rPr>
        <w:t xml:space="preserve">1.4 Regulatory &amp; Distribution Boundary</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v1.1 asserted that the app is not a medical device. That is correct as long as the boundary is understood to be </w:t>
      </w:r>
      <w:r>
        <w:rPr>
          <w:b/>
          <w:bCs/>
        </w:rPr>
        <w:t xml:space="preserve">distribution</w:t>
      </w:r>
      <w:r>
        <w:rPr>
          <w:b w:val="false"/>
          <w:bCs w:val="false"/>
        </w:rPr>
        <w:t xml:space="preserve">, not intent.</w:t>
      </w:r>
    </w:p>
    <w:p>
      <w:pPr>
        <w:pStyle w:val="ListParagraph"/>
        <w:numPr>
          <w:ilvl w:val="0"/>
          <w:numId w:val="2"/>
        </w:numPr>
        <w:spacing w:after="80" w:line="276"/>
      </w:pPr>
      <w:r>
        <w:rPr>
          <w:b/>
          <w:bCs/>
        </w:rPr>
        <w:t xml:space="preserve">Personal use.</w:t>
      </w:r>
      <w:r>
        <w:rPr>
          <w:b w:val="false"/>
          <w:bCs w:val="false"/>
        </w:rPr>
        <w:t xml:space="preserve"> An application built by an individual, signed with their own account, and installed only on their own devices is not a regulated medical device and not subject to FDA premarket requirements. This is the intended and permanent operating mode for GlucoNoir.</w:t>
      </w:r>
    </w:p>
    <w:p>
      <w:pPr>
        <w:pStyle w:val="ListParagraph"/>
        <w:numPr>
          <w:ilvl w:val="0"/>
          <w:numId w:val="2"/>
        </w:numPr>
        <w:spacing w:after="80" w:line="276"/>
      </w:pPr>
      <w:r>
        <w:rPr>
          <w:b/>
          <w:bCs/>
        </w:rPr>
        <w:t xml:space="preserve">The line.</w:t>
      </w:r>
      <w:r>
        <w:rPr>
          <w:b w:val="false"/>
          <w:bCs w:val="false"/>
        </w:rPr>
        <w:t xml:space="preserve"> Distributing the app to even one other person changes the analysis. Displaying CGM data for someone else is secondary display of CGM output, a category the FDA does regulate (Dexcom's own Follow app is separately cleared). App Review Guideline 1.4.1 additionally covers apps that could cause physical harm through inaccurate data.</w:t>
      </w:r>
    </w:p>
    <w:p>
      <w:pPr>
        <w:pStyle w:val="ListParagraph"/>
        <w:numPr>
          <w:ilvl w:val="0"/>
          <w:numId w:val="2"/>
        </w:numPr>
        <w:spacing w:after="80" w:line="276"/>
      </w:pPr>
      <w:r>
        <w:rPr>
          <w:b/>
          <w:bCs/>
        </w:rPr>
        <w:t xml:space="preserve">Terms of service.</w:t>
      </w:r>
      <w:r>
        <w:rPr>
          <w:b w:val="false"/>
          <w:bCs w:val="false"/>
        </w:rPr>
        <w:t xml:space="preserve"> Changed in v1.3. v1 uses no Dexcom API — the app reads the sensor's own Bluetooth broadcasts and Apple Health, so the Share terms-of-service question does not arise unless the optional §4.2.4 fallback is built. Reading a device you own over BLE occupies a different and considerably more comfortable position than authenticating against an undocumented server API. The same distribution line still applies.</w:t>
      </w:r>
    </w:p>
    <w:p>
      <w:pPr>
        <w:pStyle w:val="ListParagraph"/>
        <w:numPr>
          <w:ilvl w:val="0"/>
          <w:numId w:val="2"/>
        </w:numPr>
        <w:spacing w:after="80" w:line="276"/>
      </w:pPr>
      <w:r>
        <w:rPr>
          <w:b/>
          <w:bCs/>
        </w:rPr>
        <w:t xml:space="preserve">Practical consequence.</w:t>
      </w:r>
      <w:r>
        <w:rPr>
          <w:b w:val="false"/>
          <w:bCs w:val="false"/>
        </w:rPr>
        <w:t xml:space="preserve"> GlucoNoir is installed via personal-team signing or a personal TestFlight build with no external testers. No public TestFlight link, no App Store submission, no sharing of the build.</w:t>
      </w:r>
    </w:p>
    <w:p>
      <w:pPr>
        <w:spacing w:after="100" w:before="180"/>
      </w:pPr>
      <w:r>
        <w:rPr>
          <w:b/>
          <w:bCs/>
          <w:color w:val="1F4D78"/>
        </w:rPr>
        <w:t xml:space="preserve">Why not the official Dexcom Developer API?</w:t>
      </w:r>
    </w:p>
    <w:p>
      <w:pPr>
        <w:spacing w:after="120" w:line="276"/>
      </w:pPr>
      <w:r>
        <w:rPr>
          <w:b w:val="false"/>
          <w:bCs w:val="false"/>
        </w:rPr>
        <w:t xml:space="preserve">This is the first question any future reader will ask. The official Dexcom Developer API (developer.dexcom.com) is documented, supported, and sanctioned — and unusable here, because its data is delivered on a multi-hour delay by design. It is built for retrospective analytics, not live display. The unofficial Share endpoints are the only sanctioned-adjacent path to sub-10-minute data, which is precisely why the Nightscout and xDrip communities settled on them. This is a deliberate, informed trade, not an oversight.</w:t>
      </w:r>
    </w:p>
    <w:p>
      <w:pPr>
        <w:pStyle w:val="Heading1"/>
        <w:spacing w:after="160" w:before="360"/>
      </w:pPr>
      <w:r>
        <w:rPr>
          <w:b w:val="false"/>
          <w:bCs w:val="false"/>
        </w:rPr>
        <w:t xml:space="preserve">2. User &amp; Use Cases</w:t>
      </w:r>
    </w:p>
    <w:p>
      <w:pPr>
        <w:pStyle w:val="Heading2"/>
        <w:spacing w:after="140" w:before="280"/>
      </w:pPr>
      <w:r>
        <w:rPr>
          <w:b w:val="false"/>
          <w:bCs w:val="false"/>
        </w:rPr>
        <w:t xml:space="preserve">2.1 Target User</w:t>
      </w:r>
    </w:p>
    <w:p>
      <w:pPr>
        <w:spacing w:after="120" w:line="276"/>
      </w:pPr>
      <w:r>
        <w:rPr>
          <w:b w:val="false"/>
          <w:bCs w:val="false"/>
        </w:rPr>
        <w:t xml:space="preserve">A single primary user: an adult with Type 1 Diabetes who wears a Dexcom G7, manages insulin manually (MDI or pump, not a closed-loop system this app integrates with), and is comfortable with iOS. Technical sophistication is high enough to build and side-load an app from Xcode, and to re-sign it weekly under free provisioning (§6.1).</w:t>
      </w:r>
    </w:p>
    <w:p>
      <w:pPr>
        <w:spacing w:after="120" w:line="276"/>
      </w:pPr>
      <w:r>
        <w:rPr>
          <w:b w:val="false"/>
          <w:bCs w:val="false"/>
        </w:rPr>
        <w:t xml:space="preserve">The user keeps the official Dexcom G7 app installed and running. This is not optional: it owns sensor pairing, and it owns the alarms (§1.3, §3.1.1).</w:t>
      </w:r>
    </w:p>
    <w:p>
      <w:pPr>
        <w:spacing w:after="120" w:line="276"/>
      </w:pPr>
      <w:r>
        <w:rPr>
          <w:b/>
          <w:bCs/>
        </w:rPr>
        <w:t xml:space="preserve">This user runs Dexcom Direct to Watch and owns no receiver</w:t>
      </w:r>
      <w:r>
        <w:rPr>
          <w:b w:val="false"/>
          <w:bCs w:val="false"/>
        </w:rPr>
        <w:t xml:space="preserve">, which is what makes the third Bluetooth channel available to GlucoNoir (§3.1.1).</w:t>
      </w:r>
    </w:p>
    <w:p>
      <w:pPr>
        <w:pBdr>
          <w:left w:val="single" w:color="BFD3E6" w:sz="12" w:space="8"/>
        </w:pBdr>
        <w:spacing w:after="160" w:line="260"/>
        <w:ind w:left="180"/>
      </w:pPr>
      <w:r>
        <w:rPr>
          <w:b w:val="false"/>
          <w:bCs w:val="false"/>
          <w:i/>
          <w:iCs/>
          <w:color w:val="595959"/>
          <w:sz w:val="20"/>
          <w:szCs w:val="20"/>
        </w:rPr>
        <w:t xml:space="preserve">Changed in v1.3: v1.1 defined the target user as someone maintaining a Share follower account, which v1.2 corrected to optional. With BLE primary, Share is not part of v1 at all, so the requirement is gone entirely. The real requirements are now the official app and a spare Bluetooth channel.</w:t>
      </w:r>
    </w:p>
    <w:p>
      <w:pPr>
        <w:pStyle w:val="Heading2"/>
        <w:spacing w:after="140" w:before="280"/>
      </w:pPr>
      <w:r>
        <w:rPr>
          <w:b w:val="false"/>
          <w:bCs w:val="false"/>
        </w:rPr>
        <w:t xml:space="preserve">2.2 Primary Use Cases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600"/>
        <w:gridCol w:w="1700"/>
        <w:gridCol w:w="5060"/>
      </w:tblGrid>
      <w:tr>
        <w:trPr>
          <w:tblHeader/>
        </w:trPr>
        <w:tc>
          <w:tcPr>
            <w:tcW w:type="dxa" w:w="2600"/>
            <w:shd w:fill="DEEAF6" w:color="auto" w:val="clear"/>
            <w:tcMar>
              <w:top w:type="dxa" w:w="60"/>
              <w:left w:type="dxa" w:w="100"/>
              <w:bottom w:type="dxa" w:w="60"/>
              <w:right w:type="dxa" w:w="100"/>
            </w:tcMar>
          </w:tcPr>
          <w:p>
            <w:pPr>
              <w:spacing w:after="0" w:line="250"/>
            </w:pPr>
            <w:r>
              <w:rPr>
                <w:b/>
                <w:bCs/>
                <w:sz w:val="20"/>
                <w:szCs w:val="20"/>
              </w:rPr>
              <w:t xml:space="preserve">Use Case</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Frequency</w:t>
            </w:r>
          </w:p>
        </w:tc>
        <w:tc>
          <w:tcPr>
            <w:tcW w:type="dxa" w:w="5060"/>
            <w:shd w:fill="DEEAF6" w:color="auto" w:val="clear"/>
            <w:tcMar>
              <w:top w:type="dxa" w:w="60"/>
              <w:left w:type="dxa" w:w="100"/>
              <w:bottom w:type="dxa" w:w="60"/>
              <w:right w:type="dxa" w:w="100"/>
            </w:tcMar>
          </w:tcPr>
          <w:p>
            <w:pPr>
              <w:spacing w:after="0" w:line="250"/>
            </w:pPr>
            <w:r>
              <w:rPr>
                <w:b/>
                <w:bCs/>
                <w:sz w:val="20"/>
                <w:szCs w:val="20"/>
              </w:rPr>
              <w:t xml:space="preserve">Example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Glance at current glucose without opening an app</w:t>
            </w:r>
          </w:p>
        </w:tc>
        <w:tc>
          <w:tcPr>
            <w:tcW w:type="dxa" w:w="1700"/>
            <w:tcMar>
              <w:top w:type="dxa" w:w="60"/>
              <w:left w:type="dxa" w:w="100"/>
              <w:bottom w:type="dxa" w:w="60"/>
              <w:right w:type="dxa" w:w="100"/>
            </w:tcMar>
          </w:tcPr>
          <w:p>
            <w:pPr>
              <w:spacing w:after="0" w:line="250"/>
            </w:pPr>
            <w:r>
              <w:rPr>
                <w:b w:val="false"/>
                <w:bCs w:val="false"/>
                <w:sz w:val="20"/>
                <w:szCs w:val="20"/>
              </w:rPr>
              <w:t xml:space="preserve">20 to 50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Lock Screen, Dynamic Island, or wrist. The dominant case; §3.2.4 exists to serve it.</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Open the app for a considered look</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 to 10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Wake up, open phone, see number and 3h curve without retina shock.</w:t>
            </w:r>
          </w:p>
        </w:tc>
      </w:tr>
      <w:tr>
        <w:tc>
          <w:tcPr>
            <w:tcW w:type="dxa" w:w="2600"/>
            <w:tcMar>
              <w:top w:type="dxa" w:w="60"/>
              <w:left w:type="dxa" w:w="100"/>
              <w:bottom w:type="dxa" w:w="60"/>
              <w:right w:type="dxa" w:w="100"/>
            </w:tcMar>
          </w:tcPr>
          <w:p>
            <w:pPr>
              <w:spacing w:after="0" w:line="250"/>
            </w:pPr>
            <w:r>
              <w:rPr>
                <w:b w:val="false"/>
                <w:bCs w:val="false"/>
                <w:sz w:val="20"/>
                <w:szCs w:val="20"/>
              </w:rPr>
              <w:t xml:space="preserve">Check trajectory before activity</w:t>
            </w:r>
          </w:p>
        </w:tc>
        <w:tc>
          <w:tcPr>
            <w:tcW w:type="dxa" w:w="1700"/>
            <w:tcMar>
              <w:top w:type="dxa" w:w="60"/>
              <w:left w:type="dxa" w:w="100"/>
              <w:bottom w:type="dxa" w:w="60"/>
              <w:right w:type="dxa" w:w="100"/>
            </w:tcMar>
          </w:tcPr>
          <w:p>
            <w:pPr>
              <w:spacing w:after="0" w:line="250"/>
            </w:pPr>
            <w:r>
              <w:rPr>
                <w:b w:val="false"/>
                <w:bCs w:val="false"/>
                <w:sz w:val="20"/>
                <w:szCs w:val="20"/>
              </w:rPr>
              <w:t xml:space="preserve">3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Before meals, exercise, driving, sleeping.</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a meal with carb estimate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3 to 5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Snap photo, enter carbs, mark insulin dose.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Log an insulin dose</w:t>
            </w:r>
          </w:p>
        </w:tc>
        <w:tc>
          <w:tcPr>
            <w:tcW w:type="dxa" w:w="1700"/>
            <w:tcMar>
              <w:top w:type="dxa" w:w="60"/>
              <w:left w:type="dxa" w:w="100"/>
              <w:bottom w:type="dxa" w:w="60"/>
              <w:right w:type="dxa" w:w="100"/>
            </w:tcMar>
          </w:tcPr>
          <w:p>
            <w:pPr>
              <w:spacing w:after="0" w:line="250"/>
            </w:pPr>
            <w:r>
              <w:rPr>
                <w:b w:val="false"/>
                <w:bCs w:val="false"/>
                <w:sz w:val="20"/>
                <w:szCs w:val="20"/>
              </w:rPr>
              <w:t xml:space="preserve">4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Bolus or correction, tied to a timestamp.</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exercise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0 to 2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Type, duration, intensity. Auto-suggested from HealthKit workouts.</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24h pattern</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Identify spikes, post-meal curves, overnight trends.</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Check a repeated meal's history</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1 to 3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“What did this do to me last four times?” before dosing.</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14 or 30 days</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week</w:t>
            </w:r>
          </w:p>
        </w:tc>
        <w:tc>
          <w:tcPr>
            <w:tcW w:type="dxa" w:w="5060"/>
            <w:tcMar>
              <w:top w:type="dxa" w:w="60"/>
              <w:left w:type="dxa" w:w="100"/>
              <w:bottom w:type="dxa" w:w="60"/>
              <w:right w:type="dxa" w:w="100"/>
            </w:tcMar>
          </w:tcPr>
          <w:p>
            <w:pPr>
              <w:spacing w:after="0" w:line="250"/>
            </w:pPr>
            <w:r>
              <w:rPr>
                <w:b w:val="false"/>
                <w:bCs w:val="false"/>
                <w:sz w:val="20"/>
                <w:szCs w:val="20"/>
              </w:rPr>
              <w:t xml:space="preserve">Time-in-range, average, GMI, CV for self-review.</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Export for endo visit</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Every 3 months</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PDF formatted as an AGP-style report, plus flagged patterns.</w:t>
            </w:r>
          </w:p>
        </w:tc>
      </w:tr>
    </w:tbl>
    <w:p>
      <w:pPr>
        <w:pBdr>
          <w:left w:val="single" w:color="BFD3E6" w:sz="12" w:space="8"/>
        </w:pBdr>
        <w:spacing w:after="160" w:line="260"/>
        <w:ind w:left="180"/>
      </w:pPr>
      <w:r>
        <w:rPr>
          <w:b w:val="false"/>
          <w:bCs w:val="false"/>
          <w:i/>
          <w:iCs/>
          <w:color w:val="595959"/>
          <w:sz w:val="20"/>
          <w:szCs w:val="20"/>
        </w:rPr>
        <w:t xml:space="preserve">Changed in v1.2: the top row is new. v1.1 counted 20–50 daily app opens; in practice a glanceable surface absorbs most of those, and the roadmap should reflect where the volume actually is.</w:t>
      </w:r>
    </w:p>
    <w:p>
      <w:pPr>
        <w:pStyle w:val="Heading1"/>
        <w:spacing w:after="160" w:before="360"/>
      </w:pPr>
      <w:r>
        <w:rPr>
          <w:b w:val="false"/>
          <w:bCs w:val="false"/>
        </w:rPr>
        <w:t xml:space="preserve">3. Feature Specification</w:t>
      </w:r>
    </w:p>
    <w:p>
      <w:pPr>
        <w:spacing w:after="120" w:line="276"/>
      </w:pPr>
      <w:r>
        <w:rPr>
          <w:b w:val="false"/>
          <w:bCs w:val="false"/>
        </w:rPr>
        <w:t xml:space="preserve">Features are grouped by release phase. v1 is the minimum useful product. v2 adds the differentiating logging, prediction, and glanceable features. v3 is polish and stretch.</w:t>
      </w:r>
    </w:p>
    <w:p>
      <w:pPr>
        <w:pStyle w:val="Heading2"/>
        <w:spacing w:after="140" w:before="280"/>
      </w:pPr>
      <w:r>
        <w:rPr>
          <w:b w:val="false"/>
          <w:bCs w:val="false"/>
        </w:rPr>
        <w:t xml:space="preserve">3.1 v1 — Minimum Viable App</w:t>
      </w:r>
    </w:p>
    <w:p>
      <w:pPr>
        <w:pStyle w:val="Heading3"/>
        <w:spacing w:after="120" w:before="220"/>
      </w:pPr>
      <w:r>
        <w:rPr>
          <w:b w:val="false"/>
          <w:bCs w:val="false"/>
        </w:rPr>
        <w:t xml:space="preserve">3.1.1 Data Source Integration</w:t>
      </w:r>
    </w:p>
    <w:p>
      <w:pPr>
        <w:spacing w:after="120" w:line="276"/>
      </w:pPr>
      <w:r>
        <w:rPr>
          <w:b w:val="false"/>
          <w:bCs w:val="false"/>
        </w:rPr>
        <w:t xml:space="preserve">Two sources. Only the first is live.</w:t>
      </w:r>
    </w:p>
    <w:p>
      <w:pPr>
        <w:spacing w:after="100" w:before="180"/>
      </w:pPr>
      <w:r>
        <w:rPr>
          <w:b/>
          <w:bCs/>
          <w:color w:val="1F4D78"/>
        </w:rPr>
        <w:t xml:space="preserve">Source A — Dexcom Share (primary, live)</w:t>
      </w:r>
    </w:p>
    <w:p>
      <w:pPr>
        <w:pStyle w:val="ListParagraph"/>
        <w:numPr>
          <w:ilvl w:val="0"/>
          <w:numId w:val="2"/>
        </w:numPr>
        <w:spacing w:after="80" w:line="276"/>
      </w:pPr>
      <w:r>
        <w:rPr>
          <w:b/>
          <w:bCs/>
        </w:rPr>
        <w:t xml:space="preserve">Role:</w:t>
      </w:r>
      <w:r>
        <w:rPr>
          <w:b w:val="false"/>
          <w:bCs w:val="false"/>
        </w:rPr>
        <w:t xml:space="preserve"> the live source. Polls Dexcom's cloud for readings the official app has uploaded.</w:t>
      </w:r>
    </w:p>
    <w:p>
      <w:pPr>
        <w:pStyle w:val="ListParagraph"/>
        <w:numPr>
          <w:ilvl w:val="0"/>
          <w:numId w:val="2"/>
        </w:numPr>
        <w:spacing w:after="80" w:line="276"/>
      </w:pPr>
      <w:r>
        <w:rPr>
          <w:b/>
          <w:bCs/>
        </w:rPr>
        <w:t xml:space="preserve">Credentials:</w:t>
      </w:r>
      <w:r>
        <w:rPr>
          <w:b w:val="false"/>
          <w:bCs w:val="false"/>
        </w:rPr>
        <w:t xml:space="preserve"> the </w:t>
      </w:r>
      <w:r>
        <w:rPr>
          <w:b/>
          <w:bCs/>
        </w:rPr>
        <w:t xml:space="preserve">account holder's own</w:t>
      </w:r>
      <w:r>
        <w:rPr>
          <w:b w:val="false"/>
          <w:bCs w:val="false"/>
        </w:rPr>
        <w:t xml:space="preserve"> Dexcom username and password — never a follower's. A follower must merely *exist* for Dexcom to enable the Share service. Stored in the iOS Keychain (§6.2) and nowhere else.</w:t>
      </w:r>
    </w:p>
    <w:p>
      <w:pPr>
        <w:pStyle w:val="ListParagraph"/>
        <w:numPr>
          <w:ilvl w:val="0"/>
          <w:numId w:val="2"/>
        </w:numPr>
        <w:spacing w:after="80" w:line="276"/>
      </w:pPr>
      <w:r>
        <w:rPr>
          <w:b/>
          <w:bCs/>
        </w:rPr>
        <w:t xml:space="preserve">Region:</w:t>
      </w:r>
      <w:r>
        <w:rPr>
          <w:b w:val="false"/>
          <w:bCs w:val="false"/>
        </w:rPr>
        <w:t xml:space="preserve"> US (</w:t>
      </w:r>
      <w:r>
        <w:rPr>
          <w:rFonts w:ascii="Consolas" w:cs="Consolas" w:eastAsia="Consolas" w:hAnsi="Consolas"/>
          <w:b w:val="false"/>
          <w:bCs w:val="false"/>
          <w:sz w:val="19"/>
          <w:szCs w:val="19"/>
        </w:rPr>
        <w:t xml:space="preserve">share2.dexcom.com</w:t>
      </w:r>
      <w:r>
        <w:rPr>
          <w:b w:val="false"/>
          <w:bCs w:val="false"/>
        </w:rPr>
        <w:t xml:space="preserve">), Outside US (</w:t>
      </w:r>
      <w:r>
        <w:rPr>
          <w:rFonts w:ascii="Consolas" w:cs="Consolas" w:eastAsia="Consolas" w:hAnsi="Consolas"/>
          <w:b w:val="false"/>
          <w:bCs w:val="false"/>
          <w:sz w:val="19"/>
          <w:szCs w:val="19"/>
        </w:rPr>
        <w:t xml:space="preserve">shareous1.dexcom.com</w:t>
      </w:r>
      <w:r>
        <w:rPr>
          <w:b w:val="false"/>
          <w:bCs w:val="false"/>
        </w:rPr>
        <w:t xml:space="preserve">), or Japan (</w:t>
      </w:r>
      <w:r>
        <w:rPr>
          <w:rFonts w:ascii="Consolas" w:cs="Consolas" w:eastAsia="Consolas" w:hAnsi="Consolas"/>
          <w:b w:val="false"/>
          <w:bCs w:val="false"/>
          <w:sz w:val="19"/>
          <w:szCs w:val="19"/>
        </w:rPr>
        <w:t xml:space="preserve">share.dexcom.jp</w:t>
      </w:r>
      <w:r>
        <w:rPr>
          <w:b w:val="false"/>
          <w:bCs w:val="false"/>
        </w:rPr>
        <w:t xml:space="preserve">), each with its own </w:t>
      </w:r>
      <w:r>
        <w:rPr>
          <w:rFonts w:ascii="Consolas" w:cs="Consolas" w:eastAsia="Consolas" w:hAnsi="Consolas"/>
          <w:b w:val="false"/>
          <w:bCs w:val="false"/>
          <w:sz w:val="19"/>
          <w:szCs w:val="19"/>
        </w:rPr>
        <w:t xml:space="preserve">applicationId</w:t>
      </w:r>
      <w:r>
        <w:rPr>
          <w:b w:val="false"/>
          <w:bCs w:val="false"/>
        </w:rPr>
        <w:t xml:space="preserve"> constant (§4.2.3).</w:t>
      </w:r>
    </w:p>
    <w:p>
      <w:pPr>
        <w:pStyle w:val="ListParagraph"/>
        <w:numPr>
          <w:ilvl w:val="0"/>
          <w:numId w:val="2"/>
        </w:numPr>
        <w:spacing w:after="80" w:line="276"/>
      </w:pPr>
      <w:r>
        <w:rPr>
          <w:b/>
          <w:bCs/>
        </w:rPr>
        <w:t xml:space="preserve">Polling cadence:</w:t>
      </w:r>
      <w:r>
        <w:rPr>
          <w:b w:val="false"/>
          <w:bCs w:val="false"/>
        </w:rPr>
        <w:t xml:space="preserve"> anchored to the sensor's own 5-minute rhythm rather than a blind interval. After a reading timestamped T, the next poll is scheduled for T + 5min + 25s. An immediate poll also fires whenever the app becomes active, so opening the app always fetches rather than showing a cached value.</w:t>
      </w:r>
    </w:p>
    <w:p>
      <w:pPr>
        <w:pStyle w:val="ListParagraph"/>
        <w:numPr>
          <w:ilvl w:val="0"/>
          <w:numId w:val="2"/>
        </w:numPr>
        <w:spacing w:after="80" w:line="276"/>
      </w:pPr>
      <w:r>
        <w:rPr>
          <w:b/>
          <w:bCs/>
        </w:rPr>
        <w:t xml:space="preserve">Failure handling:</w:t>
      </w:r>
      <w:r>
        <w:rPr>
          <w:b w:val="false"/>
          <w:bCs w:val="false"/>
        </w:rPr>
        <w:t xml:space="preserve"> authentication failures are </w:t>
      </w:r>
      <w:r>
        <w:rPr>
          <w:b/>
          <w:bCs/>
        </w:rPr>
        <w:t xml:space="preserve">terminal</w:t>
      </w:r>
      <w:r>
        <w:rPr>
          <w:b w:val="false"/>
          <w:bCs w:val="false"/>
        </w:rPr>
        <w:t xml:space="preserve"> — polling stops and the user is prompted. Only session expiry, network errors, and 5xx responses are retried, with 30s/60s/120s/300s backoff. Retrying a rejected password is what locks the Dexcom account, and that account is the official app's too (§4.2.3).</w:t>
      </w:r>
    </w:p>
    <w:p>
      <w:pPr>
        <w:spacing w:after="100" w:before="180"/>
      </w:pPr>
      <w:r>
        <w:rPr>
          <w:b/>
          <w:bCs/>
          <w:color w:val="1F4D78"/>
        </w:rPr>
        <w:t xml:space="preserve">Source B — Apple HealthKit (historical backfill only)</w:t>
      </w:r>
    </w:p>
    <w:p>
      <w:pPr>
        <w:pStyle w:val="ListParagraph"/>
        <w:numPr>
          <w:ilvl w:val="0"/>
          <w:numId w:val="2"/>
        </w:numPr>
        <w:spacing w:after="80" w:line="276"/>
      </w:pPr>
      <w:r>
        <w:rPr>
          <w:b/>
          <w:bCs/>
        </w:rPr>
        <w:t xml:space="preserve">Dexcom writes to Apple Health on a documented three-hour delay.</w:t>
      </w:r>
      <w:r>
        <w:rPr>
          <w:b w:val="false"/>
          <w:bCs w:val="false"/>
        </w:rPr>
        <w:t xml:space="preserve"> Never used for a displayed current value, and structurally barred from being selected as one.</w:t>
      </w:r>
    </w:p>
    <w:p>
      <w:pPr>
        <w:pStyle w:val="ListParagraph"/>
        <w:numPr>
          <w:ilvl w:val="0"/>
          <w:numId w:val="2"/>
        </w:numPr>
        <w:spacing w:after="80" w:line="276"/>
      </w:pPr>
      <w:r>
        <w:rPr>
          <w:b/>
          <w:bCs/>
        </w:rPr>
        <w:t xml:space="preserve">Role:</w:t>
      </w:r>
      <w:r>
        <w:rPr>
          <w:b w:val="false"/>
          <w:bCs w:val="false"/>
        </w:rPr>
        <w:t xml:space="preserve"> populate the historical store with up to 90 days on first launch, plus a daily top-up, so the app is immediately useful rather than accumulating history from zero.</w:t>
      </w:r>
    </w:p>
    <w:p>
      <w:pPr>
        <w:pStyle w:val="ListParagraph"/>
        <w:numPr>
          <w:ilvl w:val="0"/>
          <w:numId w:val="2"/>
        </w:numPr>
        <w:spacing w:after="80" w:line="276"/>
      </w:pPr>
      <w:r>
        <w:rPr>
          <w:b/>
          <w:bCs/>
        </w:rPr>
        <w:t xml:space="preserve">Optional context reads</w:t>
      </w:r>
      <w:r>
        <w:rPr>
          <w:b w:val="false"/>
          <w:bCs w:val="false"/>
        </w:rPr>
        <w:t xml:space="preserve">, all degrading gracefully if denied: </w:t>
      </w:r>
      <w:r>
        <w:rPr>
          <w:rFonts w:ascii="Consolas" w:cs="Consolas" w:eastAsia="Consolas" w:hAnsi="Consolas"/>
          <w:b w:val="false"/>
          <w:bCs w:val="false"/>
          <w:sz w:val="19"/>
          <w:szCs w:val="19"/>
        </w:rPr>
        <w:t xml:space="preserve">sleepAnalysis</w:t>
      </w:r>
      <w:r>
        <w:rPr>
          <w:b w:val="false"/>
          <w:bCs w:val="false"/>
        </w:rPr>
        <w:t xml:space="preserve"> to segment overnight statistics; </w:t>
      </w:r>
      <w:r>
        <w:rPr>
          <w:rFonts w:ascii="Consolas" w:cs="Consolas" w:eastAsia="Consolas" w:hAnsi="Consolas"/>
          <w:b w:val="false"/>
          <w:bCs w:val="false"/>
          <w:sz w:val="19"/>
          <w:szCs w:val="19"/>
        </w:rPr>
        <w:t xml:space="preserve">workoutType</w:t>
      </w:r>
      <w:r>
        <w:rPr>
          <w:b w:val="false"/>
          <w:bCs w:val="false"/>
        </w:rPr>
        <w:t xml:space="preserve"> and </w:t>
      </w:r>
      <w:r>
        <w:rPr>
          <w:rFonts w:ascii="Consolas" w:cs="Consolas" w:eastAsia="Consolas" w:hAnsi="Consolas"/>
          <w:b w:val="false"/>
          <w:bCs w:val="false"/>
          <w:sz w:val="19"/>
          <w:szCs w:val="19"/>
        </w:rPr>
        <w:t xml:space="preserve">stepCount</w:t>
      </w:r>
      <w:r>
        <w:rPr>
          <w:b w:val="false"/>
          <w:bCs w:val="false"/>
        </w:rPr>
        <w:t xml:space="preserve"> to auto-suggest exercise entries; </w:t>
      </w:r>
      <w:r>
        <w:rPr>
          <w:rFonts w:ascii="Consolas" w:cs="Consolas" w:eastAsia="Consolas" w:hAnsi="Consolas"/>
          <w:b w:val="false"/>
          <w:bCs w:val="false"/>
          <w:sz w:val="19"/>
          <w:szCs w:val="19"/>
        </w:rPr>
        <w:t xml:space="preserve">dietaryCarbohydrates</w:t>
      </w:r>
      <w:r>
        <w:rPr>
          <w:b w:val="false"/>
          <w:bCs w:val="false"/>
        </w:rPr>
        <w:t xml:space="preserve"> and </w:t>
      </w:r>
      <w:r>
        <w:rPr>
          <w:rFonts w:ascii="Consolas" w:cs="Consolas" w:eastAsia="Consolas" w:hAnsi="Consolas"/>
          <w:b w:val="false"/>
          <w:bCs w:val="false"/>
          <w:sz w:val="19"/>
          <w:szCs w:val="19"/>
        </w:rPr>
        <w:t xml:space="preserve">insulinDelivery</w:t>
      </w:r>
      <w:r>
        <w:rPr>
          <w:b w:val="false"/>
          <w:bCs w:val="false"/>
        </w:rPr>
        <w:t xml:space="preserve"> to import events logged elsewhere.</w:t>
      </w:r>
    </w:p>
    <w:p>
      <w:pPr>
        <w:spacing w:after="100" w:before="180"/>
      </w:pPr>
      <w:r>
        <w:rPr>
          <w:b/>
          <w:bCs/>
          <w:color w:val="1F4D78"/>
        </w:rPr>
        <w:t xml:space="preserve">Ruled out — Direct Bluetooth</w:t>
      </w:r>
    </w:p>
    <w:p>
      <w:pPr>
        <w:pBdr>
          <w:left w:val="single" w:color="BFD3E6" w:sz="12" w:space="8"/>
        </w:pBdr>
        <w:spacing w:after="160" w:line="260"/>
        <w:ind w:left="180"/>
      </w:pPr>
      <w:r>
        <w:rPr>
          <w:b w:val="false"/>
          <w:bCs w:val="false"/>
          <w:i/>
          <w:iCs/>
          <w:color w:val="595959"/>
          <w:sz w:val="20"/>
          <w:szCs w:val="20"/>
        </w:rPr>
        <w:t xml:space="preserve">Tested and rejected in v1.4. Retained here so the decision is not revisited without new evidence.</w:t>
      </w:r>
    </w:p>
    <w:p>
      <w:pPr>
        <w:spacing w:after="120" w:line="276"/>
      </w:pPr>
      <w:r>
        <w:rPr>
          <w:b w:val="false"/>
          <w:bCs w:val="false"/>
        </w:rPr>
        <w:t xml:space="preserve">Reading the G7 directly over BLE was v1.3's primary architecture. It was implemented and tested against the real sensor. It does not work while the official Dexcom app is installed, and the official app cannot be removed.</w:t>
      </w:r>
    </w:p>
    <w:p>
      <w:pPr>
        <w:pStyle w:val="ListParagraph"/>
        <w:numPr>
          <w:ilvl w:val="0"/>
          <w:numId w:val="2"/>
        </w:numPr>
        <w:spacing w:after="80" w:line="276"/>
      </w:pPr>
      <w:r>
        <w:rPr>
          <w:b/>
          <w:bCs/>
        </w:rPr>
        <w:t xml:space="preserve">What was observed:</w:t>
      </w:r>
      <w:r>
        <w:rPr>
          <w:b w:val="false"/>
          <w:bCs w:val="false"/>
        </w:rPr>
        <w:t xml:space="preserve"> the client discovered the sensor, connected reliably every 5 minutes, enumerated the CGM service, and subscribed to all four notifiable characteristics with every subscription confirmed by CoreBluetooth. Across repeated connection windows it received </w:t>
      </w:r>
      <w:r>
        <w:rPr>
          <w:b/>
          <w:bCs/>
        </w:rPr>
        <w:t xml:space="preserve">zero bytes on any characteristic</w:t>
      </w:r>
      <w:r>
        <w:rPr>
          <w:b w:val="false"/>
          <w:bCs w:val="false"/>
        </w:rPr>
        <w:t xml:space="preserve">. Each session lasted almost exactly 10.2 seconds before the sensor disconnected.</w:t>
      </w:r>
    </w:p>
    <w:p>
      <w:pPr>
        <w:pStyle w:val="ListParagraph"/>
        <w:numPr>
          <w:ilvl w:val="0"/>
          <w:numId w:val="2"/>
        </w:numPr>
        <w:spacing w:after="80" w:line="276"/>
      </w:pPr>
      <w:r>
        <w:rPr>
          <w:b/>
          <w:bCs/>
        </w:rPr>
        <w:t xml:space="preserve">What was excluded:</w:t>
      </w:r>
      <w:r>
        <w:rPr>
          <w:b w:val="false"/>
          <w:bCs w:val="false"/>
        </w:rPr>
        <w:t xml:space="preserve"> signal strength (−87 dBm, healthy); Bluetooth channel exhaustion (freeing the watch channel changed nothing); subscription failure (confirmed active by the system); and wrong-characteristic routing (all were monitored, and the sensor's characteristic set was logged).</w:t>
      </w:r>
    </w:p>
    <w:p>
      <w:pPr>
        <w:pStyle w:val="ListParagraph"/>
        <w:numPr>
          <w:ilvl w:val="0"/>
          <w:numId w:val="2"/>
        </w:numPr>
        <w:spacing w:after="80" w:line="276"/>
      </w:pPr>
      <w:r>
        <w:rPr>
          <w:b/>
          <w:bCs/>
        </w:rPr>
        <w:t xml:space="preserve">Conclusion:</w:t>
      </w:r>
      <w:r>
        <w:rPr>
          <w:b w:val="false"/>
          <w:bCs w:val="false"/>
        </w:rPr>
        <w:t xml:space="preserve"> the G7 permits one collecting application per sensor. That application is the official Dexcom app, which cannot be displaced because it owns pairing and the alarms.</w:t>
      </w:r>
    </w:p>
    <w:p>
      <w:pPr>
        <w:pStyle w:val="ListParagraph"/>
        <w:numPr>
          <w:ilvl w:val="0"/>
          <w:numId w:val="2"/>
        </w:numPr>
        <w:spacing w:after="80" w:line="276"/>
      </w:pPr>
      <w:r>
        <w:rPr>
          <w:b/>
          <w:bCs/>
        </w:rPr>
        <w:t xml:space="preserve">What would change this:</w:t>
      </w:r>
      <w:r>
        <w:rPr>
          <w:b w:val="false"/>
          <w:bCs w:val="false"/>
        </w:rPr>
        <w:t xml:space="preserve"> a sensor firmware revision, or a G7SensorKit update demonstrating coexistence on current firmware. The sensor tested exposed an undocumented characteristic (</w:t>
      </w:r>
      <w:r>
        <w:rPr>
          <w:rFonts w:ascii="Consolas" w:cs="Consolas" w:eastAsia="Consolas" w:hAnsi="Consolas"/>
          <w:b w:val="false"/>
          <w:bCs w:val="false"/>
          <w:sz w:val="19"/>
          <w:szCs w:val="19"/>
        </w:rPr>
        <w:t xml:space="preserve">F8083538</w:t>
      </w:r>
      <w:r>
        <w:rPr>
          <w:b w:val="false"/>
          <w:bCs w:val="false"/>
        </w:rPr>
        <w:t xml:space="preserve">) and lacked one G7SensorKit expects (</w:t>
      </w:r>
      <w:r>
        <w:rPr>
          <w:rFonts w:ascii="Consolas" w:cs="Consolas" w:eastAsia="Consolas" w:hAnsi="Consolas"/>
          <w:b w:val="false"/>
          <w:bCs w:val="false"/>
          <w:sz w:val="19"/>
          <w:szCs w:val="19"/>
        </w:rPr>
        <w:t xml:space="preserve">F8083533</w:t>
      </w:r>
      <w:r>
        <w:rPr>
          <w:b w:val="false"/>
          <w:bCs w:val="false"/>
        </w:rPr>
        <w:t xml:space="preserve">), suggesting its firmware has moved beyond what the community implementation targets.</w:t>
      </w:r>
    </w:p>
    <w:p>
      <w:pPr>
        <w:spacing w:after="100" w:before="180"/>
      </w:pPr>
      <w:r>
        <w:rPr>
          <w:b/>
          <w:bCs/>
          <w:color w:val="1F4D78"/>
        </w:rPr>
        <w:t xml:space="preserve">Source coordinator</w:t>
      </w:r>
    </w:p>
    <w:p>
      <w:pPr>
        <w:pStyle w:val="ListParagraph"/>
        <w:numPr>
          <w:ilvl w:val="0"/>
          <w:numId w:val="2"/>
        </w:numPr>
        <w:spacing w:after="80" w:line="276"/>
      </w:pPr>
      <w:r>
        <w:rPr>
          <w:b w:val="false"/>
          <w:bCs w:val="false"/>
        </w:rPr>
        <w:t xml:space="preserve">A single coordinator receives readings from active sources and emits a unified stream.</w:t>
      </w:r>
    </w:p>
    <w:p>
      <w:pPr>
        <w:pStyle w:val="ListParagraph"/>
        <w:numPr>
          <w:ilvl w:val="0"/>
          <w:numId w:val="2"/>
        </w:numPr>
        <w:spacing w:after="80" w:line="276"/>
      </w:pPr>
      <w:r>
        <w:rPr>
          <w:b/>
          <w:bCs/>
        </w:rPr>
        <w:t xml:space="preserve">Deduplication and persistence</w:t>
      </w:r>
      <w:r>
        <w:rPr>
          <w:b w:val="false"/>
          <w:bCs w:val="false"/>
        </w:rPr>
        <w:t xml:space="preserve"> are keyed on sensor sample time, upserted rather than inserted, because HealthKit backfill routinely re-delivers readings Share already captured.</w:t>
      </w:r>
    </w:p>
    <w:p>
      <w:pPr>
        <w:pStyle w:val="ListParagraph"/>
        <w:numPr>
          <w:ilvl w:val="0"/>
          <w:numId w:val="2"/>
        </w:numPr>
        <w:spacing w:after="80" w:line="276"/>
      </w:pPr>
      <w:r>
        <w:rPr>
          <w:b/>
          <w:bCs/>
        </w:rPr>
        <w:t xml:space="preserve">Live-source rule:</w:t>
      </w:r>
      <w:r>
        <w:rPr>
          <w:b w:val="false"/>
          <w:bCs w:val="false"/>
        </w:rPr>
        <w:t xml:space="preserve"> only Share may supply the displayed current value. HealthKit readings are historical by definition and excluded from that selection regardless of timestamp.</w:t>
      </w:r>
    </w:p>
    <w:p>
      <w:pPr>
        <w:pStyle w:val="ListParagraph"/>
        <w:numPr>
          <w:ilvl w:val="0"/>
          <w:numId w:val="2"/>
        </w:numPr>
        <w:spacing w:after="80" w:line="276"/>
      </w:pPr>
      <w:r>
        <w:rPr>
          <w:b/>
          <w:bCs/>
        </w:rPr>
        <w:t xml:space="preserve">Units:</w:t>
      </w:r>
      <w:r>
        <w:rPr>
          <w:b w:val="false"/>
          <w:bCs w:val="false"/>
        </w:rPr>
        <w:t xml:space="preserve"> stored canonically as integer mg/dL; conversion happens at display time only, so switching units is lossless (§3.1.6).</w:t>
      </w:r>
    </w:p>
    <w:p>
      <w:pPr>
        <w:pStyle w:val="Heading3"/>
        <w:spacing w:after="120" w:before="220"/>
      </w:pPr>
      <w:r>
        <w:rPr>
          <w:b w:val="false"/>
          <w:bCs w:val="false"/>
        </w:rPr>
        <w:t xml:space="preserve">3.1.2 Current Reading Screen</w:t>
      </w:r>
    </w:p>
    <w:p>
      <w:pPr>
        <w:pStyle w:val="ListParagraph"/>
        <w:numPr>
          <w:ilvl w:val="0"/>
          <w:numId w:val="2"/>
        </w:numPr>
        <w:spacing w:after="80" w:line="276"/>
      </w:pPr>
      <w:r>
        <w:rPr>
          <w:b/>
          <w:bCs/>
        </w:rPr>
        <w:t xml:space="preserve">Hero number:</w:t>
      </w:r>
      <w:r>
        <w:rPr>
          <w:b w:val="false"/>
          <w:bCs w:val="false"/>
        </w:rPr>
        <w:t xml:space="preserve"> large, high-contrast glucose value, colour-coded by range (in-range, low, high, urgent).</w:t>
      </w:r>
    </w:p>
    <w:p>
      <w:pPr>
        <w:pStyle w:val="ListParagraph"/>
        <w:numPr>
          <w:ilvl w:val="0"/>
          <w:numId w:val="2"/>
        </w:numPr>
        <w:spacing w:after="80" w:line="276"/>
      </w:pPr>
      <w:r>
        <w:rPr>
          <w:b/>
          <w:bCs/>
        </w:rPr>
        <w:t xml:space="preserve">Out-of-range values:</w:t>
      </w:r>
      <w:r>
        <w:rPr>
          <w:b w:val="false"/>
          <w:bCs w:val="false"/>
        </w:rPr>
        <w:t xml:space="preserve"> the G7 reports only 40–400 mg/dL, confirmed against G7SensorKit's </w:t>
      </w:r>
      <w:r>
        <w:rPr>
          <w:rFonts w:ascii="Consolas" w:cs="Consolas" w:eastAsia="Consolas" w:hAnsi="Consolas"/>
          <w:b w:val="false"/>
          <w:bCs w:val="false"/>
          <w:sz w:val="19"/>
          <w:szCs w:val="19"/>
        </w:rPr>
        <w:t xml:space="preserve">GlucoseLimits</w:t>
      </w:r>
      <w:r>
        <w:rPr>
          <w:b w:val="false"/>
          <w:bCs w:val="false"/>
        </w:rPr>
        <w:t xml:space="preserve">. Values at the rails render as </w:t>
      </w:r>
      <w:r>
        <w:rPr>
          <w:b/>
          <w:bCs/>
        </w:rPr>
        <w:t xml:space="preserve">LOW</w:t>
      </w:r>
      <w:r>
        <w:rPr>
          <w:b w:val="false"/>
          <w:bCs w:val="false"/>
        </w:rPr>
        <w:t xml:space="preserve"> and </w:t>
      </w:r>
      <w:r>
        <w:rPr>
          <w:b/>
          <w:bCs/>
        </w:rPr>
        <w:t xml:space="preserve">HIGH</w:t>
      </w:r>
      <w:r>
        <w:rPr>
          <w:b w:val="false"/>
          <w:bCs w:val="false"/>
        </w:rPr>
        <w:t xml:space="preserve">, never as the numbers 40 and 400, which would present an unknown value as a measured one.</w:t>
      </w:r>
    </w:p>
    <w:p>
      <w:pPr>
        <w:pStyle w:val="ListParagraph"/>
        <w:numPr>
          <w:ilvl w:val="0"/>
          <w:numId w:val="2"/>
        </w:numPr>
        <w:spacing w:after="80" w:line="276"/>
      </w:pPr>
      <w:r>
        <w:rPr>
          <w:b/>
          <w:bCs/>
        </w:rPr>
        <w:t xml:space="preserve">Trend arrow:</w:t>
      </w:r>
      <w:r>
        <w:rPr>
          <w:b w:val="false"/>
          <w:bCs w:val="false"/>
        </w:rPr>
        <w:t xml:space="preserve"> taken directly from the sensor's reported rate of change (§4.2.7). When the sensor reports no trend, no arrow is drawn — a flat arrow is not the same statement as “unknown”.</w:t>
      </w:r>
    </w:p>
    <w:p>
      <w:pPr>
        <w:pStyle w:val="ListParagraph"/>
        <w:numPr>
          <w:ilvl w:val="0"/>
          <w:numId w:val="2"/>
        </w:numPr>
        <w:spacing w:after="80" w:line="276"/>
      </w:pPr>
      <w:r>
        <w:rPr>
          <w:b/>
          <w:bCs/>
        </w:rPr>
        <w:t xml:space="preserve">Freshness:</w:t>
      </w:r>
      <w:r>
        <w:rPr>
          <w:b w:val="false"/>
          <w:bCs w:val="false"/>
        </w:rPr>
        <w:t xml:space="preserve"> rendered from the reading's measured </w:t>
      </w:r>
      <w:r>
        <w:rPr>
          <w:rFonts w:ascii="Consolas" w:cs="Consolas" w:eastAsia="Consolas" w:hAnsi="Consolas"/>
          <w:b w:val="false"/>
          <w:bCs w:val="false"/>
          <w:sz w:val="19"/>
          <w:szCs w:val="19"/>
        </w:rPr>
        <w:t xml:space="preserve">age</w:t>
      </w:r>
      <w:r>
        <w:rPr>
          <w:b w:val="false"/>
          <w:bCs w:val="false"/>
        </w:rPr>
        <w:t xml:space="preserve">, not from arrival time. Amber at &gt;7 min, red at &gt;20 min (§3.1.3).</w:t>
      </w:r>
    </w:p>
    <w:p>
      <w:pPr>
        <w:pStyle w:val="ListParagraph"/>
        <w:numPr>
          <w:ilvl w:val="0"/>
          <w:numId w:val="2"/>
        </w:numPr>
        <w:spacing w:after="80" w:line="276"/>
      </w:pPr>
      <w:r>
        <w:rPr>
          <w:b/>
          <w:bCs/>
        </w:rPr>
        <w:t xml:space="preserve">Connection state:</w:t>
      </w:r>
      <w:r>
        <w:rPr>
          <w:b w:val="false"/>
          <w:bCs w:val="false"/>
        </w:rPr>
        <w:t xml:space="preserve"> a small, low-contrast indicator for the BLE link — connected, reconnecting, or unavailable. Deliberately quiet: reconnection is routine and must not read as an emergency.</w:t>
      </w:r>
    </w:p>
    <w:p>
      <w:pPr>
        <w:pStyle w:val="ListParagraph"/>
        <w:numPr>
          <w:ilvl w:val="0"/>
          <w:numId w:val="2"/>
        </w:numPr>
        <w:spacing w:after="80" w:line="276"/>
      </w:pPr>
      <w:r>
        <w:rPr>
          <w:b/>
          <w:bCs/>
        </w:rPr>
        <w:t xml:space="preserve">Sensor state banner:</w:t>
      </w:r>
      <w:r>
        <w:rPr>
          <w:b w:val="false"/>
          <w:bCs w:val="false"/>
        </w:rPr>
        <w:t xml:space="preserve"> surfaces warmup, temporary issue, failure, and session end as distinct states (§3.1.3), so a routine 30-minute warmup does not present as a broken app.</w:t>
      </w:r>
    </w:p>
    <w:p>
      <w:pPr>
        <w:pStyle w:val="ListParagraph"/>
        <w:numPr>
          <w:ilvl w:val="0"/>
          <w:numId w:val="2"/>
        </w:numPr>
        <w:spacing w:after="80" w:line="276"/>
      </w:pPr>
      <w:r>
        <w:rPr>
          <w:b/>
          <w:bCs/>
        </w:rPr>
        <w:t xml:space="preserve">Delta:</w:t>
      </w:r>
      <w:r>
        <w:rPr>
          <w:b w:val="false"/>
          <w:bCs w:val="false"/>
        </w:rPr>
        <w:t xml:space="preserve"> change from the previous reading and from 15 minutes ago. Suppressed when the intervening data has gaps.</w:t>
      </w:r>
    </w:p>
    <w:p>
      <w:pPr>
        <w:pStyle w:val="ListParagraph"/>
        <w:numPr>
          <w:ilvl w:val="0"/>
          <w:numId w:val="2"/>
        </w:numPr>
        <w:spacing w:after="80" w:line="276"/>
      </w:pPr>
      <w:r>
        <w:rPr>
          <w:b/>
          <w:bCs/>
        </w:rPr>
        <w:t xml:space="preserve">3h chart:</w:t>
      </w:r>
      <w:r>
        <w:rPr>
          <w:b w:val="false"/>
          <w:bCs w:val="false"/>
        </w:rPr>
        <w:t xml:space="preserve"> compact line chart of the last 3 hours with the target range band.</w:t>
      </w:r>
    </w:p>
    <w:p>
      <w:pPr>
        <w:pStyle w:val="Heading3"/>
        <w:spacing w:after="120" w:before="220"/>
      </w:pPr>
      <w:r>
        <w:rPr>
          <w:b w:val="false"/>
          <w:bCs w:val="false"/>
        </w:rPr>
        <w:t xml:space="preserve">3.1.3 Data States &amp; Staleness</w:t>
      </w:r>
    </w:p>
    <w:p>
      <w:pPr>
        <w:pBdr>
          <w:left w:val="single" w:color="BFD3E6" w:sz="12" w:space="8"/>
        </w:pBdr>
        <w:spacing w:after="160" w:line="260"/>
        <w:ind w:left="180"/>
      </w:pPr>
      <w:r>
        <w:rPr>
          <w:b w:val="false"/>
          <w:bCs w:val="false"/>
          <w:i/>
          <w:iCs/>
          <w:color w:val="595959"/>
          <w:sz w:val="20"/>
          <w:szCs w:val="20"/>
        </w:rPr>
        <w:t xml:space="preserve">Rewritten in v1.4. v1.3 modelled sensor lifecycle on the </w:t>
      </w:r>
      <w:r>
        <w:rPr>
          <w:rFonts w:ascii="Consolas" w:cs="Consolas" w:eastAsia="Consolas" w:hAnsi="Consolas"/>
          <w:b w:val="false"/>
          <w:bCs w:val="false"/>
          <w:i/>
          <w:iCs/>
          <w:color w:val="595959"/>
          <w:sz w:val="19"/>
          <w:szCs w:val="19"/>
        </w:rPr>
        <w:t xml:space="preserve">algorithmState</w:t>
      </w:r>
      <w:r>
        <w:rPr>
          <w:b w:val="false"/>
          <w:bCs w:val="false"/>
          <w:i/>
          <w:iCs/>
          <w:color w:val="595959"/>
          <w:sz w:val="20"/>
          <w:szCs w:val="20"/>
        </w:rPr>
        <w:t xml:space="preserve"> byte the sensor broadcasts over BLE. Share exposes no such field, so these states must be inferred from data timing instead — a genuine loss of fidelity compared with the Bluetooth design.</w:t>
      </w:r>
    </w:p>
    <w:p>
      <w:pPr>
        <w:spacing w:after="120" w:line="276"/>
      </w:pPr>
      <w:r>
        <w:rPr>
          <w:b w:val="false"/>
          <w:bCs w:val="false"/>
        </w:rPr>
        <w:t xml:space="preserve">Share returns only a value, a trend, and a timestamp. Warmup, sensor failure, and session end are therefore indistinguishable from one another and from ordinary signal loss: all present as an absence of new readings. The app must not guess between them.</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800"/>
        <w:gridCol w:w="3200"/>
        <w:gridCol w:w="4360"/>
      </w:tblGrid>
      <w:tr>
        <w:trPr>
          <w:tblHeader/>
        </w:trPr>
        <w:tc>
          <w:tcPr>
            <w:tcW w:type="dxa" w:w="1800"/>
            <w:shd w:fill="DEEAF6" w:color="auto" w:val="clear"/>
            <w:tcMar>
              <w:top w:type="dxa" w:w="60"/>
              <w:left w:type="dxa" w:w="100"/>
              <w:bottom w:type="dxa" w:w="60"/>
              <w:right w:type="dxa" w:w="100"/>
            </w:tcMar>
          </w:tcPr>
          <w:p>
            <w:pPr>
              <w:spacing w:after="0" w:line="250"/>
            </w:pPr>
            <w:r>
              <w:rPr>
                <w:b/>
                <w:bCs/>
                <w:sz w:val="20"/>
                <w:szCs w:val="20"/>
              </w:rPr>
              <w:t xml:space="preserve">State</w:t>
            </w:r>
          </w:p>
        </w:tc>
        <w:tc>
          <w:tcPr>
            <w:tcW w:type="dxa" w:w="3200"/>
            <w:shd w:fill="DEEAF6" w:color="auto" w:val="clear"/>
            <w:tcMar>
              <w:top w:type="dxa" w:w="60"/>
              <w:left w:type="dxa" w:w="100"/>
              <w:bottom w:type="dxa" w:w="60"/>
              <w:right w:type="dxa" w:w="100"/>
            </w:tcMar>
          </w:tcPr>
          <w:p>
            <w:pPr>
              <w:spacing w:after="0" w:line="250"/>
            </w:pPr>
            <w:r>
              <w:rPr>
                <w:b/>
                <w:bCs/>
                <w:sz w:val="20"/>
                <w:szCs w:val="20"/>
              </w:rPr>
              <w:t xml:space="preserve">Condition</w:t>
            </w:r>
          </w:p>
        </w:tc>
        <w:tc>
          <w:tcPr>
            <w:tcW w:type="dxa" w:w="4360"/>
            <w:shd w:fill="DEEAF6" w:color="auto" w:val="clear"/>
            <w:tcMar>
              <w:top w:type="dxa" w:w="60"/>
              <w:left w:type="dxa" w:w="100"/>
              <w:bottom w:type="dxa" w:w="60"/>
              <w:right w:type="dxa" w:w="100"/>
            </w:tcMar>
          </w:tcPr>
          <w:p>
            <w:pPr>
              <w:spacing w:after="0" w:line="250"/>
            </w:pPr>
            <w:r>
              <w:rPr>
                <w:b/>
                <w:bCs/>
                <w:sz w:val="20"/>
                <w:szCs w:val="20"/>
              </w:rPr>
              <w:t xml:space="preserve">Treatment</w:t>
            </w:r>
          </w:p>
        </w:tc>
      </w:tr>
      <w:tr>
        <w:tc>
          <w:tcPr>
            <w:tcW w:type="dxa" w:w="1800"/>
            <w:tcMar>
              <w:top w:type="dxa" w:w="60"/>
              <w:left w:type="dxa" w:w="100"/>
              <w:bottom w:type="dxa" w:w="60"/>
              <w:right w:type="dxa" w:w="100"/>
            </w:tcMar>
          </w:tcPr>
          <w:p>
            <w:pPr>
              <w:spacing w:after="0" w:line="250"/>
            </w:pPr>
            <w:r>
              <w:rPr>
                <w:b w:val="false"/>
                <w:bCs w:val="false"/>
                <w:sz w:val="20"/>
                <w:szCs w:val="20"/>
              </w:rPr>
              <w:t xml:space="preserve">Fresh</w:t>
            </w:r>
          </w:p>
        </w:tc>
        <w:tc>
          <w:tcPr>
            <w:tcW w:type="dxa" w:w="3200"/>
            <w:tcMar>
              <w:top w:type="dxa" w:w="60"/>
              <w:left w:type="dxa" w:w="100"/>
              <w:bottom w:type="dxa" w:w="60"/>
              <w:right w:type="dxa" w:w="100"/>
            </w:tcMar>
          </w:tcPr>
          <w:p>
            <w:pPr>
              <w:spacing w:after="0" w:line="250"/>
            </w:pPr>
            <w:r>
              <w:rPr>
                <w:b w:val="false"/>
                <w:bCs w:val="false"/>
                <w:sz w:val="20"/>
                <w:szCs w:val="20"/>
              </w:rPr>
              <w:t xml:space="preserve">Newest reading under 12 minutes old</w:t>
            </w:r>
          </w:p>
        </w:tc>
        <w:tc>
          <w:tcPr>
            <w:tcW w:type="dxa" w:w="4360"/>
            <w:tcMar>
              <w:top w:type="dxa" w:w="60"/>
              <w:left w:type="dxa" w:w="100"/>
              <w:bottom w:type="dxa" w:w="60"/>
              <w:right w:type="dxa" w:w="100"/>
            </w:tcMar>
          </w:tcPr>
          <w:p>
            <w:pPr>
              <w:spacing w:after="0" w:line="250"/>
            </w:pPr>
            <w:r>
              <w:rPr>
                <w:b w:val="false"/>
                <w:bCs w:val="false"/>
                <w:sz w:val="20"/>
                <w:szCs w:val="20"/>
              </w:rPr>
              <w:t xml:space="preserve">Full display: value, trend.</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Stale</w:t>
            </w:r>
          </w:p>
        </w:tc>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12 to 30 minutes</w:t>
            </w:r>
          </w:p>
        </w:tc>
        <w:tc>
          <w:tcPr>
            <w:tcW w:type="dxa" w:w="4360"/>
            <w:shd w:fill="F5F8FC" w:color="auto" w:val="clear"/>
            <w:tcMar>
              <w:top w:type="dxa" w:w="60"/>
              <w:left w:type="dxa" w:w="100"/>
              <w:bottom w:type="dxa" w:w="60"/>
              <w:right w:type="dxa" w:w="100"/>
            </w:tcMar>
          </w:tcPr>
          <w:p>
            <w:pPr>
              <w:spacing w:after="0" w:line="250"/>
            </w:pPr>
            <w:r>
              <w:rPr>
                <w:b w:val="false"/>
                <w:bCs w:val="false"/>
                <w:sz w:val="20"/>
                <w:szCs w:val="20"/>
              </w:rPr>
              <w:t xml:space="preserve">Freshness label amber; value desaturated.</w:t>
            </w:r>
          </w:p>
        </w:tc>
      </w:tr>
      <w:tr>
        <w:tc>
          <w:tcPr>
            <w:tcW w:type="dxa" w:w="1800"/>
            <w:tcMar>
              <w:top w:type="dxa" w:w="60"/>
              <w:left w:type="dxa" w:w="100"/>
              <w:bottom w:type="dxa" w:w="60"/>
              <w:right w:type="dxa" w:w="100"/>
            </w:tcMar>
          </w:tcPr>
          <w:p>
            <w:pPr>
              <w:spacing w:after="0" w:line="250"/>
            </w:pPr>
            <w:r>
              <w:rPr>
                <w:b w:val="false"/>
                <w:bCs w:val="false"/>
                <w:sz w:val="20"/>
                <w:szCs w:val="20"/>
              </w:rPr>
              <w:t xml:space="preserve">Critically stale</w:t>
            </w:r>
          </w:p>
        </w:tc>
        <w:tc>
          <w:tcPr>
            <w:tcW w:type="dxa" w:w="3200"/>
            <w:tcMar>
              <w:top w:type="dxa" w:w="60"/>
              <w:left w:type="dxa" w:w="100"/>
              <w:bottom w:type="dxa" w:w="60"/>
              <w:right w:type="dxa" w:w="100"/>
            </w:tcMar>
          </w:tcPr>
          <w:p>
            <w:pPr>
              <w:spacing w:after="0" w:line="250"/>
            </w:pPr>
            <w:r>
              <w:rPr>
                <w:b w:val="false"/>
                <w:bCs w:val="false"/>
                <w:sz w:val="20"/>
                <w:szCs w:val="20"/>
              </w:rPr>
              <w:t xml:space="preserve">Over 30 minutes</w:t>
            </w:r>
          </w:p>
        </w:tc>
        <w:tc>
          <w:tcPr>
            <w:tcW w:type="dxa" w:w="4360"/>
            <w:tcMar>
              <w:top w:type="dxa" w:w="60"/>
              <w:left w:type="dxa" w:w="100"/>
              <w:bottom w:type="dxa" w:w="60"/>
              <w:right w:type="dxa" w:w="100"/>
            </w:tcMar>
          </w:tcPr>
          <w:p>
            <w:pPr>
              <w:spacing w:after="0" w:line="250"/>
            </w:pPr>
            <w:r>
              <w:rPr>
                <w:b w:val="false"/>
                <w:bCs w:val="false"/>
                <w:sz w:val="20"/>
                <w:szCs w:val="20"/>
              </w:rPr>
              <w:t xml:space="preserve">Value muted, </w:t>
            </w:r>
            <w:r>
              <w:rPr>
                <w:b/>
                <w:bCs/>
                <w:sz w:val="20"/>
                <w:szCs w:val="20"/>
              </w:rPr>
              <w:t xml:space="preserve">trend arrow hidden</w:t>
            </w:r>
            <w:r>
              <w:rPr>
                <w:b w:val="false"/>
                <w:bCs w:val="false"/>
                <w:sz w:val="20"/>
                <w:szCs w:val="20"/>
              </w:rPr>
              <w:t xml:space="preserve">, explicit prompt to open the official Dexcom app.</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No data</w:t>
            </w:r>
          </w:p>
        </w:tc>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Share returns an empty set</w:t>
            </w:r>
          </w:p>
        </w:tc>
        <w:tc>
          <w:tcPr>
            <w:tcW w:type="dxa" w:w="4360"/>
            <w:shd w:fill="F5F8FC" w:color="auto" w:val="clear"/>
            <w:tcMar>
              <w:top w:type="dxa" w:w="60"/>
              <w:left w:type="dxa" w:w="100"/>
              <w:bottom w:type="dxa" w:w="60"/>
              <w:right w:type="dxa" w:w="100"/>
            </w:tcMar>
          </w:tcPr>
          <w:p>
            <w:pPr>
              <w:spacing w:after="0" w:line="250"/>
            </w:pPr>
            <w:r>
              <w:rPr>
                <w:b w:val="false"/>
                <w:bCs w:val="false"/>
                <w:sz w:val="20"/>
                <w:szCs w:val="20"/>
              </w:rPr>
              <w:t xml:space="preserve">No value. Most often sensor warmup or a session gap — the app says it cannot tell which, rather than inventing a reason.</w:t>
            </w:r>
          </w:p>
        </w:tc>
      </w:tr>
      <w:tr>
        <w:tc>
          <w:tcPr>
            <w:tcW w:type="dxa" w:w="1800"/>
            <w:tcMar>
              <w:top w:type="dxa" w:w="60"/>
              <w:left w:type="dxa" w:w="100"/>
              <w:bottom w:type="dxa" w:w="60"/>
              <w:right w:type="dxa" w:w="100"/>
            </w:tcMar>
          </w:tcPr>
          <w:p>
            <w:pPr>
              <w:spacing w:after="0" w:line="250"/>
            </w:pPr>
            <w:r>
              <w:rPr>
                <w:b w:val="false"/>
                <w:bCs w:val="false"/>
                <w:sz w:val="20"/>
                <w:szCs w:val="20"/>
              </w:rPr>
              <w:t xml:space="preserve">Signed out / auth failed</w:t>
            </w:r>
          </w:p>
        </w:tc>
        <w:tc>
          <w:tcPr>
            <w:tcW w:type="dxa" w:w="3200"/>
            <w:tcMar>
              <w:top w:type="dxa" w:w="60"/>
              <w:left w:type="dxa" w:w="100"/>
              <w:bottom w:type="dxa" w:w="60"/>
              <w:right w:type="dxa" w:w="100"/>
            </w:tcMar>
          </w:tcPr>
          <w:p>
            <w:pPr>
              <w:spacing w:after="0" w:line="250"/>
            </w:pPr>
            <w:r>
              <w:rPr>
                <w:b w:val="false"/>
                <w:bCs w:val="false"/>
                <w:sz w:val="20"/>
                <w:szCs w:val="20"/>
              </w:rPr>
              <w:t xml:space="preserve">Terminal auth error</w:t>
            </w:r>
          </w:p>
        </w:tc>
        <w:tc>
          <w:tcPr>
            <w:tcW w:type="dxa" w:w="4360"/>
            <w:tcMar>
              <w:top w:type="dxa" w:w="60"/>
              <w:left w:type="dxa" w:w="100"/>
              <w:bottom w:type="dxa" w:w="60"/>
              <w:right w:type="dxa" w:w="100"/>
            </w:tcMar>
          </w:tcPr>
          <w:p>
            <w:pPr>
              <w:spacing w:after="0" w:line="250"/>
            </w:pPr>
            <w:r>
              <w:rPr>
                <w:b w:val="false"/>
                <w:bCs w:val="false"/>
                <w:sz w:val="20"/>
                <w:szCs w:val="20"/>
              </w:rPr>
              <w:t xml:space="preserve">Polling stopped, credentials prompt. Never retried automatically (§4.2.3).</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Offline</w:t>
            </w:r>
          </w:p>
        </w:tc>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Network unreachable</w:t>
            </w:r>
          </w:p>
        </w:tc>
        <w:tc>
          <w:tcPr>
            <w:tcW w:type="dxa" w:w="4360"/>
            <w:shd w:fill="F5F8FC" w:color="auto" w:val="clear"/>
            <w:tcMar>
              <w:top w:type="dxa" w:w="60"/>
              <w:left w:type="dxa" w:w="100"/>
              <w:bottom w:type="dxa" w:w="60"/>
              <w:right w:type="dxa" w:w="100"/>
            </w:tcMar>
          </w:tcPr>
          <w:p>
            <w:pPr>
              <w:spacing w:after="0" w:line="250"/>
            </w:pPr>
            <w:r>
              <w:rPr>
                <w:b w:val="false"/>
                <w:bCs w:val="false"/>
                <w:sz w:val="20"/>
                <w:szCs w:val="20"/>
              </w:rPr>
              <w:t xml:space="preserve">Last known value with accurate age, retry with backoff.</w:t>
            </w:r>
          </w:p>
        </w:tc>
      </w:tr>
    </w:tbl>
    <w:p>
      <w:pPr>
        <w:spacing w:after="100"/>
      </w:pPr>
    </w:p>
    <w:p>
      <w:pPr>
        <w:spacing w:after="120" w:line="276"/>
      </w:pPr>
      <w:r>
        <w:rPr>
          <w:b w:val="false"/>
          <w:bCs w:val="false"/>
        </w:rPr>
        <w:t xml:space="preserve">Thresholds are 12 and 30 minutes: Share adds a minute or two on top of the sensor's 5-minute cadence, so a single missed reading is routine and must not raise an alarm, while a genuine gap should surface before the user acts on an old number.</w:t>
      </w:r>
    </w:p>
    <w:p>
      <w:pPr>
        <w:spacing w:after="120" w:line="276"/>
      </w:pPr>
      <w:r>
        <w:rPr>
          <w:b/>
          <w:bCs/>
        </w:rPr>
        <w:t xml:space="preserve">The trend arrow is hidden in the critically-stale state.</w:t>
      </w:r>
      <w:r>
        <w:rPr>
          <w:b w:val="false"/>
          <w:bCs w:val="false"/>
        </w:rPr>
        <w:t xml:space="preserve"> An arrow is a claim about the present derived from the recent past; on data half an hour old it is not merely unhelpful but misleading.</w:t>
      </w:r>
    </w:p>
    <w:p>
      <w:pPr>
        <w:spacing w:after="100" w:before="180"/>
      </w:pPr>
      <w:r>
        <w:rPr>
          <w:b/>
          <w:bCs/>
          <w:color w:val="1F4D78"/>
        </w:rPr>
        <w:t xml:space="preserve">What is lost relative to the Bluetooth design</w:t>
      </w:r>
    </w:p>
    <w:p>
      <w:pPr>
        <w:spacing w:after="120" w:line="276"/>
      </w:pPr>
      <w:r>
        <w:rPr>
          <w:b w:val="false"/>
          <w:bCs w:val="false"/>
        </w:rPr>
        <w:t xml:space="preserve">The BLE path would have supplied </w:t>
      </w:r>
      <w:r>
        <w:rPr>
          <w:rFonts w:ascii="Consolas" w:cs="Consolas" w:eastAsia="Consolas" w:hAnsi="Consolas"/>
          <w:b w:val="false"/>
          <w:bCs w:val="false"/>
          <w:sz w:val="19"/>
          <w:szCs w:val="19"/>
        </w:rPr>
        <w:t xml:space="preserve">algorithmState</w:t>
      </w:r>
      <w:r>
        <w:rPr>
          <w:b w:val="false"/>
          <w:bCs w:val="false"/>
        </w:rPr>
        <w:t xml:space="preserve"> (26 distinct sensor states including specific failure modes), a measured </w:t>
      </w:r>
      <w:r>
        <w:rPr>
          <w:rFonts w:ascii="Consolas" w:cs="Consolas" w:eastAsia="Consolas" w:hAnsi="Consolas"/>
          <w:b w:val="false"/>
          <w:bCs w:val="false"/>
          <w:sz w:val="19"/>
          <w:szCs w:val="19"/>
        </w:rPr>
        <w:t xml:space="preserve">age</w:t>
      </w:r>
      <w:r>
        <w:rPr>
          <w:b w:val="false"/>
          <w:bCs w:val="false"/>
        </w:rPr>
        <w:t xml:space="preserve"> in seconds per reading, and the sensor's own forward prediction. None is available via Share. Sensor session tracking (§3.3) becomes inference from gap patterns rather than direct reporting, and is correspondingly less reliable.</w:t>
      </w:r>
    </w:p>
    <w:p>
      <w:pPr>
        <w:pStyle w:val="Heading3"/>
        <w:spacing w:after="120" w:before="220"/>
      </w:pPr>
      <w:r>
        <w:rPr>
          <w:b w:val="false"/>
          <w:bCs w:val="false"/>
        </w:rPr>
        <w:t xml:space="preserve">3.1.4 Adaptive Theme System</w:t>
      </w:r>
    </w:p>
    <w:p>
      <w:pPr>
        <w:pStyle w:val="ListParagraph"/>
        <w:numPr>
          <w:ilvl w:val="0"/>
          <w:numId w:val="2"/>
        </w:numPr>
        <w:spacing w:after="80" w:line="276"/>
      </w:pPr>
      <w:r>
        <w:rPr>
          <w:b/>
          <w:bCs/>
        </w:rPr>
        <w:t xml:space="preserve">Three themes:</w:t>
      </w:r>
      <w:r>
        <w:rPr>
          <w:b w:val="false"/>
          <w:bCs w:val="false"/>
        </w:rPr>
        <w:t xml:space="preserve"> True Black (OLED, pure #000000 background), Soft Dark (#1C1C1E, iOS-standard), Light (high-contrast white for outdoor visibility).</w:t>
      </w:r>
    </w:p>
    <w:p>
      <w:pPr>
        <w:pStyle w:val="ListParagraph"/>
        <w:numPr>
          <w:ilvl w:val="0"/>
          <w:numId w:val="2"/>
        </w:numPr>
        <w:spacing w:after="80" w:line="276"/>
      </w:pPr>
      <w:r>
        <w:rPr>
          <w:b/>
          <w:bCs/>
        </w:rPr>
        <w:t xml:space="preserve">System sync:</w:t>
      </w:r>
      <w:r>
        <w:rPr>
          <w:b w:val="false"/>
          <w:bCs w:val="false"/>
        </w:rPr>
        <w:t xml:space="preserve"> honour the iOS appearance setting by default; the user can override.</w:t>
      </w:r>
    </w:p>
    <w:p>
      <w:pPr>
        <w:pStyle w:val="ListParagraph"/>
        <w:numPr>
          <w:ilvl w:val="0"/>
          <w:numId w:val="2"/>
        </w:numPr>
        <w:spacing w:after="80" w:line="276"/>
      </w:pPr>
      <w:r>
        <w:rPr>
          <w:b/>
          <w:bCs/>
        </w:rPr>
        <w:t xml:space="preserve">Bedside Mode:</w:t>
      </w:r>
      <w:r>
        <w:rPr>
          <w:b w:val="false"/>
          <w:bCs w:val="false"/>
        </w:rPr>
        <w:t xml:space="preserve"> a separate toggle — dimmed, red-shifted palette for nighttime checks without disrupting dark adaptation. Activates manually or on a schedule (default 10pm to 7am), with the ambient light sensor used only as a modifier, never as the sole trigger (§8).</w:t>
      </w:r>
    </w:p>
    <w:p>
      <w:pPr>
        <w:pStyle w:val="ListParagraph"/>
        <w:numPr>
          <w:ilvl w:val="0"/>
          <w:numId w:val="2"/>
        </w:numPr>
        <w:spacing w:after="80" w:line="276"/>
      </w:pPr>
      <w:r>
        <w:rPr>
          <w:b/>
          <w:bCs/>
        </w:rPr>
        <w:t xml:space="preserve">Colour-blind safety:</w:t>
      </w:r>
      <w:r>
        <w:rPr>
          <w:b w:val="false"/>
          <w:bCs w:val="false"/>
        </w:rPr>
        <w:t xml:space="preserve"> range state is encoded in colour </w:t>
      </w:r>
      <w:r>
        <w:rPr>
          <w:b/>
          <w:bCs/>
        </w:rPr>
        <w:t xml:space="preserve">and</w:t>
      </w:r>
      <w:r>
        <w:rPr>
          <w:b w:val="false"/>
          <w:bCs w:val="false"/>
        </w:rPr>
        <w:t xml:space="preserve"> shape (a distinct glyph per range), because in-range green and low red are precisely the deuteranopia-confusable pair. The glyph is load-bearing, not decorative, and must be legible at complication size.</w:t>
      </w:r>
    </w:p>
    <w:p>
      <w:pPr>
        <w:spacing w:after="120" w:line="276"/>
      </w:pPr>
      <w:r>
        <w:rPr>
          <w:b w:val="false"/>
          <w:bCs w:val="false"/>
        </w:rPr>
        <w:t xml:space="preserve">Implementation details, including the corrected dimming approach, are in §5.3.</w:t>
      </w:r>
    </w:p>
    <w:p>
      <w:pPr>
        <w:pStyle w:val="Heading3"/>
        <w:spacing w:after="120" w:before="220"/>
      </w:pPr>
      <w:r>
        <w:rPr>
          <w:b w:val="false"/>
          <w:bCs w:val="false"/>
        </w:rPr>
        <w:t xml:space="preserve">3.1.5 Historical View</w:t>
      </w:r>
    </w:p>
    <w:p>
      <w:pPr>
        <w:pStyle w:val="ListParagraph"/>
        <w:numPr>
          <w:ilvl w:val="0"/>
          <w:numId w:val="2"/>
        </w:numPr>
        <w:spacing w:after="80" w:line="276"/>
      </w:pPr>
      <w:r>
        <w:rPr>
          <w:b/>
          <w:bCs/>
        </w:rPr>
        <w:t xml:space="preserve">Time windows:</w:t>
      </w:r>
      <w:r>
        <w:rPr>
          <w:b w:val="false"/>
          <w:bCs w:val="false"/>
        </w:rPr>
        <w:t xml:space="preserve"> 3h, 6h, 12h, 24h, 7d, 14d, 30d, 90d.</w:t>
      </w:r>
    </w:p>
    <w:p>
      <w:pPr>
        <w:spacing w:after="100" w:before="180"/>
      </w:pPr>
      <w:r>
        <w:rPr>
          <w:b/>
          <w:bCs/>
          <w:color w:val="1F4D78"/>
        </w:rPr>
        <w:t xml:space="preserve">Statistics</w:t>
      </w:r>
    </w:p>
    <w:p>
      <w:pPr>
        <w:spacing w:after="120" w:line="276"/>
      </w:pPr>
      <w:r>
        <w:rPr>
          <w:b w:val="false"/>
          <w:bCs w:val="false"/>
        </w:rPr>
        <w:t xml:space="preserve">Reported per window, using the international consensus (ATTD/ADA) definitions rather than a simplified three-band split:</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000"/>
        <w:gridCol w:w="2100"/>
        <w:gridCol w:w="2200"/>
        <w:gridCol w:w="3060"/>
      </w:tblGrid>
      <w:tr>
        <w:trPr>
          <w:tblHeader/>
        </w:trPr>
        <w:tc>
          <w:tcPr>
            <w:tcW w:type="dxa" w:w="2000"/>
            <w:shd w:fill="DEEAF6" w:color="auto" w:val="clear"/>
            <w:tcMar>
              <w:top w:type="dxa" w:w="60"/>
              <w:left w:type="dxa" w:w="100"/>
              <w:bottom w:type="dxa" w:w="60"/>
              <w:right w:type="dxa" w:w="100"/>
            </w:tcMar>
          </w:tcPr>
          <w:p>
            <w:pPr>
              <w:spacing w:after="0" w:line="250"/>
            </w:pPr>
            <w:r>
              <w:rPr>
                <w:b/>
                <w:bCs/>
                <w:sz w:val="20"/>
                <w:szCs w:val="20"/>
              </w:rPr>
              <w:t xml:space="preserve">Band</w:t>
            </w:r>
          </w:p>
        </w:tc>
        <w:tc>
          <w:tcPr>
            <w:tcW w:type="dxa" w:w="2100"/>
            <w:shd w:fill="DEEAF6" w:color="auto" w:val="clear"/>
            <w:tcMar>
              <w:top w:type="dxa" w:w="60"/>
              <w:left w:type="dxa" w:w="100"/>
              <w:bottom w:type="dxa" w:w="60"/>
              <w:right w:type="dxa" w:w="100"/>
            </w:tcMar>
          </w:tcPr>
          <w:p>
            <w:pPr>
              <w:spacing w:after="0" w:line="250"/>
            </w:pPr>
            <w:r>
              <w:rPr>
                <w:b/>
                <w:bCs/>
                <w:sz w:val="20"/>
                <w:szCs w:val="20"/>
              </w:rPr>
              <w:t xml:space="preserve">mg/dL</w:t>
            </w:r>
          </w:p>
        </w:tc>
        <w:tc>
          <w:tcPr>
            <w:tcW w:type="dxa" w:w="2200"/>
            <w:shd w:fill="DEEAF6" w:color="auto" w:val="clear"/>
            <w:tcMar>
              <w:top w:type="dxa" w:w="60"/>
              <w:left w:type="dxa" w:w="100"/>
              <w:bottom w:type="dxa" w:w="60"/>
              <w:right w:type="dxa" w:w="100"/>
            </w:tcMar>
          </w:tcPr>
          <w:p>
            <w:pPr>
              <w:spacing w:after="0" w:line="250"/>
            </w:pPr>
            <w:r>
              <w:rPr>
                <w:b/>
                <w:bCs/>
                <w:sz w:val="20"/>
                <w:szCs w:val="20"/>
              </w:rPr>
              <w:t xml:space="preserve">mmol/L</w:t>
            </w:r>
          </w:p>
        </w:tc>
        <w:tc>
          <w:tcPr>
            <w:tcW w:type="dxa" w:w="3060"/>
            <w:shd w:fill="DEEAF6" w:color="auto" w:val="clear"/>
            <w:tcMar>
              <w:top w:type="dxa" w:w="60"/>
              <w:left w:type="dxa" w:w="100"/>
              <w:bottom w:type="dxa" w:w="60"/>
              <w:right w:type="dxa" w:w="100"/>
            </w:tcMar>
          </w:tcPr>
          <w:p>
            <w:pPr>
              <w:spacing w:after="0" w:line="250"/>
            </w:pPr>
            <w:r>
              <w:rPr>
                <w:b/>
                <w:bCs/>
                <w:sz w:val="20"/>
                <w:szCs w:val="20"/>
              </w:rPr>
              <w:t xml:space="preserve">Consensus target</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Low</w:t>
            </w:r>
          </w:p>
        </w:tc>
        <w:tc>
          <w:tcPr>
            <w:tcW w:type="dxa" w:w="2100"/>
            <w:tcMar>
              <w:top w:type="dxa" w:w="60"/>
              <w:left w:type="dxa" w:w="100"/>
              <w:bottom w:type="dxa" w:w="60"/>
              <w:right w:type="dxa" w:w="100"/>
            </w:tcMar>
          </w:tcPr>
          <w:p>
            <w:pPr>
              <w:spacing w:after="0" w:line="250"/>
            </w:pPr>
            <w:r>
              <w:rPr>
                <w:b w:val="false"/>
                <w:bCs w:val="false"/>
                <w:sz w:val="20"/>
                <w:szCs w:val="20"/>
              </w:rPr>
              <w:t xml:space="preserve">&lt; 54</w:t>
            </w:r>
          </w:p>
        </w:tc>
        <w:tc>
          <w:tcPr>
            <w:tcW w:type="dxa" w:w="2200"/>
            <w:tcMar>
              <w:top w:type="dxa" w:w="60"/>
              <w:left w:type="dxa" w:w="100"/>
              <w:bottom w:type="dxa" w:w="60"/>
              <w:right w:type="dxa" w:w="100"/>
            </w:tcMar>
          </w:tcPr>
          <w:p>
            <w:pPr>
              <w:spacing w:after="0" w:line="250"/>
            </w:pPr>
            <w:r>
              <w:rPr>
                <w:b w:val="false"/>
                <w:bCs w:val="false"/>
                <w:sz w:val="20"/>
                <w:szCs w:val="20"/>
              </w:rPr>
              <w:t xml:space="preserve">&lt; 3.0</w:t>
            </w:r>
          </w:p>
        </w:tc>
        <w:tc>
          <w:tcPr>
            <w:tcW w:type="dxa" w:w="3060"/>
            <w:tcMar>
              <w:top w:type="dxa" w:w="60"/>
              <w:left w:type="dxa" w:w="100"/>
              <w:bottom w:type="dxa" w:w="60"/>
              <w:right w:type="dxa" w:w="100"/>
            </w:tcMar>
          </w:tcPr>
          <w:p>
            <w:pPr>
              <w:spacing w:after="0" w:line="250"/>
            </w:pPr>
            <w:r>
              <w:rPr>
                <w:b w:val="false"/>
                <w:bCs w:val="false"/>
                <w:sz w:val="20"/>
                <w:szCs w:val="20"/>
              </w:rPr>
              <w:t xml:space="preserve">&lt; 1% of readings</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Low</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54 – 69</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3.0 – 3.8</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4% (Low + Very Low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Target</w:t>
            </w:r>
          </w:p>
        </w:tc>
        <w:tc>
          <w:tcPr>
            <w:tcW w:type="dxa" w:w="2100"/>
            <w:tcMar>
              <w:top w:type="dxa" w:w="60"/>
              <w:left w:type="dxa" w:w="100"/>
              <w:bottom w:type="dxa" w:w="60"/>
              <w:right w:type="dxa" w:w="100"/>
            </w:tcMar>
          </w:tcPr>
          <w:p>
            <w:pPr>
              <w:spacing w:after="0" w:line="250"/>
            </w:pPr>
            <w:r>
              <w:rPr>
                <w:b w:val="false"/>
                <w:bCs w:val="false"/>
                <w:sz w:val="20"/>
                <w:szCs w:val="20"/>
              </w:rPr>
              <w:t xml:space="preserve">70 – 180</w:t>
            </w:r>
          </w:p>
        </w:tc>
        <w:tc>
          <w:tcPr>
            <w:tcW w:type="dxa" w:w="2200"/>
            <w:tcMar>
              <w:top w:type="dxa" w:w="60"/>
              <w:left w:type="dxa" w:w="100"/>
              <w:bottom w:type="dxa" w:w="60"/>
              <w:right w:type="dxa" w:w="100"/>
            </w:tcMar>
          </w:tcPr>
          <w:p>
            <w:pPr>
              <w:spacing w:after="0" w:line="250"/>
            </w:pPr>
            <w:r>
              <w:rPr>
                <w:b w:val="false"/>
                <w:bCs w:val="false"/>
                <w:sz w:val="20"/>
                <w:szCs w:val="20"/>
              </w:rPr>
              <w:t xml:space="preserve">3.9 – 10.0</w:t>
            </w:r>
          </w:p>
        </w:tc>
        <w:tc>
          <w:tcPr>
            <w:tcW w:type="dxa" w:w="3060"/>
            <w:tcMar>
              <w:top w:type="dxa" w:w="60"/>
              <w:left w:type="dxa" w:w="100"/>
              <w:bottom w:type="dxa" w:w="60"/>
              <w:right w:type="dxa" w:w="100"/>
            </w:tcMar>
          </w:tcPr>
          <w:p>
            <w:pPr>
              <w:spacing w:after="0" w:line="250"/>
            </w:pPr>
            <w:r>
              <w:rPr>
                <w:b w:val="false"/>
                <w:bCs w:val="false"/>
                <w:sz w:val="20"/>
                <w:szCs w:val="20"/>
              </w:rPr>
              <w:t xml:space="preserve">&gt; 70%</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High</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181 – 250</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10.1 – 13.9</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25% (High + Very High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High</w:t>
            </w:r>
          </w:p>
        </w:tc>
        <w:tc>
          <w:tcPr>
            <w:tcW w:type="dxa" w:w="2100"/>
            <w:tcMar>
              <w:top w:type="dxa" w:w="60"/>
              <w:left w:type="dxa" w:w="100"/>
              <w:bottom w:type="dxa" w:w="60"/>
              <w:right w:type="dxa" w:w="100"/>
            </w:tcMar>
          </w:tcPr>
          <w:p>
            <w:pPr>
              <w:spacing w:after="0" w:line="250"/>
            </w:pPr>
            <w:r>
              <w:rPr>
                <w:b w:val="false"/>
                <w:bCs w:val="false"/>
                <w:sz w:val="20"/>
                <w:szCs w:val="20"/>
              </w:rPr>
              <w:t xml:space="preserve">&gt; 250</w:t>
            </w:r>
          </w:p>
        </w:tc>
        <w:tc>
          <w:tcPr>
            <w:tcW w:type="dxa" w:w="2200"/>
            <w:tcMar>
              <w:top w:type="dxa" w:w="60"/>
              <w:left w:type="dxa" w:w="100"/>
              <w:bottom w:type="dxa" w:w="60"/>
              <w:right w:type="dxa" w:w="100"/>
            </w:tcMar>
          </w:tcPr>
          <w:p>
            <w:pPr>
              <w:spacing w:after="0" w:line="250"/>
            </w:pPr>
            <w:r>
              <w:rPr>
                <w:b w:val="false"/>
                <w:bCs w:val="false"/>
                <w:sz w:val="20"/>
                <w:szCs w:val="20"/>
              </w:rPr>
              <w:t xml:space="preserve">&gt; 13.9</w:t>
            </w:r>
          </w:p>
        </w:tc>
        <w:tc>
          <w:tcPr>
            <w:tcW w:type="dxa" w:w="3060"/>
            <w:tcMar>
              <w:top w:type="dxa" w:w="60"/>
              <w:left w:type="dxa" w:w="100"/>
              <w:bottom w:type="dxa" w:w="60"/>
              <w:right w:type="dxa" w:w="100"/>
            </w:tcMar>
          </w:tcPr>
          <w:p>
            <w:pPr>
              <w:spacing w:after="0" w:line="250"/>
            </w:pPr>
            <w:r>
              <w:rPr>
                <w:b w:val="false"/>
                <w:bCs w:val="false"/>
                <w:sz w:val="20"/>
                <w:szCs w:val="20"/>
              </w:rPr>
              <w:t xml:space="preserve">&lt; 5%</w:t>
            </w:r>
          </w:p>
        </w:tc>
      </w:tr>
    </w:tbl>
    <w:p>
      <w:pPr>
        <w:spacing w:after="100"/>
      </w:pPr>
    </w:p>
    <w:p>
      <w:pPr>
        <w:pStyle w:val="ListParagraph"/>
        <w:numPr>
          <w:ilvl w:val="0"/>
          <w:numId w:val="2"/>
        </w:numPr>
        <w:spacing w:after="80" w:line="276"/>
      </w:pPr>
      <w:r>
        <w:rPr>
          <w:b/>
          <w:bCs/>
        </w:rPr>
        <w:t xml:space="preserve">Average</w:t>
      </w:r>
      <w:r>
        <w:rPr>
          <w:b w:val="false"/>
          <w:bCs w:val="false"/>
        </w:rPr>
        <w:t xml:space="preserve"> glucose over the window.</w:t>
      </w:r>
    </w:p>
    <w:p>
      <w:pPr>
        <w:pStyle w:val="ListParagraph"/>
        <w:numPr>
          <w:ilvl w:val="0"/>
          <w:numId w:val="2"/>
        </w:numPr>
        <w:spacing w:after="80" w:line="276"/>
      </w:pPr>
      <w:r>
        <w:rPr>
          <w:b/>
          <w:bCs/>
        </w:rPr>
        <w:t xml:space="preserve">Coefficient of variation (CV%)</w:t>
      </w:r>
      <w:r>
        <w:rPr>
          <w:b w:val="false"/>
          <w:bCs w:val="false"/>
        </w:rPr>
        <w:t xml:space="preserve"> = SD / mean × 100. Target &lt; 36%. This is the standard glycaemic-variability metric and is more interpretable than raw SD, which is reported alongside it but de-emphasised.</w:t>
      </w:r>
    </w:p>
    <w:p>
      <w:pPr>
        <w:pStyle w:val="ListParagraph"/>
        <w:numPr>
          <w:ilvl w:val="0"/>
          <w:numId w:val="2"/>
        </w:numPr>
        <w:spacing w:after="80" w:line="276"/>
      </w:pPr>
      <w:r>
        <w:rPr>
          <w:b/>
          <w:bCs/>
        </w:rPr>
        <w:t xml:space="preserve">Standard deviation</w:t>
      </w:r>
      <w:r>
        <w:rPr>
          <w:b w:val="false"/>
          <w:bCs w:val="false"/>
        </w:rPr>
        <w:t xml:space="preserve">, retained for continuity.</w:t>
      </w:r>
    </w:p>
    <w:p>
      <w:pPr>
        <w:pStyle w:val="ListParagraph"/>
        <w:numPr>
          <w:ilvl w:val="0"/>
          <w:numId w:val="2"/>
        </w:numPr>
        <w:spacing w:after="80" w:line="276"/>
      </w:pPr>
      <w:r>
        <w:rPr>
          <w:b/>
          <w:bCs/>
        </w:rPr>
        <w:t xml:space="preserve">GMI</w:t>
      </w:r>
      <w:r>
        <w:rPr>
          <w:b w:val="false"/>
          <w:bCs w:val="false"/>
        </w:rPr>
        <w:t xml:space="preserve">, computed as </w:t>
      </w:r>
      <w:r>
        <w:rPr>
          <w:rFonts w:ascii="Consolas" w:cs="Consolas" w:eastAsia="Consolas" w:hAnsi="Consolas"/>
          <w:b w:val="false"/>
          <w:bCs w:val="false"/>
          <w:sz w:val="19"/>
          <w:szCs w:val="19"/>
        </w:rPr>
        <w:t xml:space="preserve">GMI(%) = 3.31 + 0.02392 × mean mg/dL</w:t>
      </w:r>
      <w:r>
        <w:rPr>
          <w:b w:val="false"/>
          <w:bCs w:val="false"/>
        </w:rPr>
        <w:t xml:space="preserve"> (equivalently </w:t>
      </w:r>
      <w:r>
        <w:rPr>
          <w:rFonts w:ascii="Consolas" w:cs="Consolas" w:eastAsia="Consolas" w:hAnsi="Consolas"/>
          <w:b w:val="false"/>
          <w:bCs w:val="false"/>
          <w:sz w:val="19"/>
          <w:szCs w:val="19"/>
        </w:rPr>
        <w:t xml:space="preserve">12.71 + 4.70587 × mean mmol/L</w:t>
      </w:r>
      <w:r>
        <w:rPr>
          <w:b w:val="false"/>
          <w:bCs w:val="false"/>
        </w:rPr>
        <w:t xml:space="preserve">). </w:t>
      </w:r>
      <w:r>
        <w:rPr>
          <w:b/>
          <w:bCs/>
        </w:rPr>
        <w:t xml:space="preserve">GMI is displayed only for windows of 14 days or longer with at least 70% data capture.</w:t>
      </w:r>
      <w:r>
        <w:rPr>
          <w:b w:val="false"/>
          <w:bCs w:val="false"/>
        </w:rPr>
        <w:t xml:space="preserve"> Below that threshold it is statistically meaningless and is hidden rather than shown with a caveat. v1.1 would have rendered a GMI for a 3-hour window.</w:t>
      </w:r>
    </w:p>
    <w:p>
      <w:pPr>
        <w:pStyle w:val="ListParagraph"/>
        <w:numPr>
          <w:ilvl w:val="0"/>
          <w:numId w:val="2"/>
        </w:numPr>
        <w:spacing w:after="80" w:line="276"/>
      </w:pPr>
      <w:r>
        <w:rPr>
          <w:b/>
          <w:bCs/>
        </w:rPr>
        <w:t xml:space="preserve">Data capture %</w:t>
      </w:r>
      <w:r>
        <w:rPr>
          <w:b w:val="false"/>
          <w:bCs w:val="false"/>
        </w:rPr>
        <w:t xml:space="preserve"> — the proportion of expected 5-minute samples actually present. Every other statistic in this list is unreliable below ~70% capture, so it is shown next to them, not buried.</w:t>
      </w:r>
    </w:p>
    <w:p>
      <w:pPr>
        <w:spacing w:after="100" w:before="180"/>
      </w:pPr>
      <w:r>
        <w:rPr>
          <w:b/>
          <w:bCs/>
          <w:color w:val="1F4D78"/>
        </w:rPr>
        <w:t xml:space="preserve">Ambulatory Glucose Profile</w:t>
      </w:r>
    </w:p>
    <w:p>
      <w:pPr>
        <w:spacing w:after="120" w:line="276"/>
      </w:pPr>
      <w:r>
        <w:rPr>
          <w:b w:val="false"/>
          <w:bCs w:val="false"/>
        </w:rPr>
        <w:t xml:space="preserve">A true AGP is not an overlay of raw daily curves. Readings are binned by time of day (30-minute bins) across the selected window, and the chart renders </w:t>
      </w:r>
      <w:r>
        <w:rPr>
          <w:b/>
          <w:bCs/>
        </w:rPr>
        <w:t xml:space="preserve">percentile bands</w:t>
      </w:r>
      <w:r>
        <w:rPr>
          <w:b w:val="false"/>
          <w:bCs w:val="false"/>
        </w:rPr>
        <w:t xml:space="preserve"> — 5th, 25th, 50th (median), 75th, and 95th — as nested shaded regions with the median as a solid line.</w:t>
      </w:r>
    </w:p>
    <w:p>
      <w:pPr>
        <w:spacing w:after="120" w:line="276"/>
      </w:pPr>
      <w:r>
        <w:rPr>
          <w:b w:val="false"/>
          <w:bCs w:val="false"/>
        </w:rPr>
        <w:t xml:space="preserve">v1.1 described stacking 14 days of raw curves, which is a spaghetti plot, and then promised a v3 “PDF export styled like the AGP report.” Building the percentile computation in v1 makes the v3 export a rendering exercise rather than a new feature.</w:t>
      </w:r>
    </w:p>
    <w:p>
      <w:pPr>
        <w:pBdr>
          <w:left w:val="single" w:color="BFD3E6" w:sz="12" w:space="8"/>
        </w:pBdr>
        <w:spacing w:after="160" w:line="260"/>
        <w:ind w:left="180"/>
      </w:pPr>
      <w:r>
        <w:rPr>
          <w:b w:val="false"/>
          <w:bCs w:val="false"/>
          <w:i/>
          <w:iCs/>
          <w:color w:val="595959"/>
          <w:sz w:val="20"/>
          <w:szCs w:val="20"/>
        </w:rPr>
        <w:t xml:space="preserve">Changed in v1.2: five-band TIR, CV%, GMI validity gating, data-capture reporting, and percentile-band AGP are all new or corrected.</w:t>
      </w:r>
    </w:p>
    <w:p>
      <w:pPr>
        <w:pStyle w:val="Heading3"/>
        <w:spacing w:after="120" w:before="220"/>
      </w:pPr>
      <w:r>
        <w:rPr>
          <w:b w:val="false"/>
          <w:bCs w:val="false"/>
        </w:rPr>
        <w:t xml:space="preserve">3.1.6 Settings</w:t>
      </w:r>
    </w:p>
    <w:p>
      <w:pPr>
        <w:pStyle w:val="ListParagraph"/>
        <w:numPr>
          <w:ilvl w:val="0"/>
          <w:numId w:val="2"/>
        </w:numPr>
        <w:spacing w:after="80" w:line="276"/>
      </w:pPr>
      <w:r>
        <w:rPr>
          <w:b/>
          <w:bCs/>
        </w:rPr>
        <w:t xml:space="preserve">Dexcom Share</w:t>
      </w:r>
      <w:r>
        <w:rPr>
          <w:b w:val="false"/>
          <w:bCs w:val="false"/>
        </w:rPr>
        <w:t xml:space="preserve"> credentials and region (optional; the app is fully functional in HealthKit-only mode).</w:t>
      </w:r>
    </w:p>
    <w:p>
      <w:pPr>
        <w:pStyle w:val="ListParagraph"/>
        <w:numPr>
          <w:ilvl w:val="0"/>
          <w:numId w:val="2"/>
        </w:numPr>
        <w:spacing w:after="80" w:line="276"/>
      </w:pPr>
      <w:r>
        <w:rPr>
          <w:b/>
          <w:bCs/>
        </w:rPr>
        <w:t xml:space="preserve">HealthKit permission status</w:t>
      </w:r>
      <w:r>
        <w:rPr>
          <w:b w:val="false"/>
          <w:bCs w:val="false"/>
        </w:rPr>
        <w:t xml:space="preserve"> with a shortcut to Settings.app if denied, listed per data type.</w:t>
      </w:r>
    </w:p>
    <w:p>
      <w:pPr>
        <w:pStyle w:val="ListParagraph"/>
        <w:numPr>
          <w:ilvl w:val="0"/>
          <w:numId w:val="2"/>
        </w:numPr>
        <w:spacing w:after="80" w:line="276"/>
      </w:pPr>
      <w:r>
        <w:rPr>
          <w:b/>
          <w:bCs/>
        </w:rPr>
        <w:t xml:space="preserve">Active source indicator</w:t>
      </w:r>
      <w:r>
        <w:rPr>
          <w:b w:val="false"/>
          <w:bCs w:val="false"/>
        </w:rPr>
        <w:t xml:space="preserve"> showing which source provided the most recent reading.</w:t>
      </w:r>
    </w:p>
    <w:p>
      <w:pPr>
        <w:pStyle w:val="ListParagraph"/>
        <w:numPr>
          <w:ilvl w:val="0"/>
          <w:numId w:val="2"/>
        </w:numPr>
        <w:spacing w:after="80" w:line="276"/>
      </w:pPr>
      <w:r>
        <w:rPr>
          <w:b/>
          <w:bCs/>
        </w:rPr>
        <w:t xml:space="preserve">Units</w:t>
      </w:r>
      <w:r>
        <w:rPr>
          <w:b w:val="false"/>
          <w:bCs w:val="false"/>
        </w:rPr>
        <w:t xml:space="preserve"> (mg/dL or mmol/L), toggleable directly from the reading screen. Defaults from device region.</w:t>
      </w:r>
    </w:p>
    <w:p>
      <w:pPr>
        <w:pBdr>
          <w:left w:val="single" w:color="BFD3E6" w:sz="12" w:space="8"/>
        </w:pBdr>
        <w:spacing w:after="160" w:line="260"/>
        <w:ind w:left="180"/>
      </w:pPr>
      <w:r>
        <w:rPr>
          <w:b w:val="false"/>
          <w:bCs w:val="false"/>
          <w:i/>
          <w:iCs/>
          <w:color w:val="595959"/>
          <w:sz w:val="20"/>
          <w:szCs w:val="20"/>
        </w:rPr>
        <w:t xml:space="preserve">Conversion constant, corrected in v1.4: mmol/L = mg/dL ÷ </w:t>
      </w:r>
      <w:r>
        <w:rPr>
          <w:b/>
          <w:bCs/>
          <w:i/>
          <w:iCs/>
          <w:color w:val="595959"/>
          <w:sz w:val="20"/>
          <w:szCs w:val="20"/>
        </w:rPr>
        <w:t xml:space="preserve">18.0182</w:t>
      </w:r>
      <w:r>
        <w:rPr>
          <w:b w:val="false"/>
          <w:bCs w:val="false"/>
          <w:i/>
          <w:iCs/>
          <w:color w:val="595959"/>
          <w:sz w:val="20"/>
          <w:szCs w:val="20"/>
        </w:rPr>
        <w:t xml:space="preserve">, which is Dexcom's own divisor — not the precise molar mass 18.01559. The two disagree at boundary values: 100 mg/dL renders as </w:t>
      </w:r>
      <w:r>
        <w:rPr>
          <w:b/>
          <w:bCs/>
          <w:i/>
          <w:iCs/>
          <w:color w:val="595959"/>
          <w:sz w:val="20"/>
          <w:szCs w:val="20"/>
        </w:rPr>
        <w:t xml:space="preserve">5.5</w:t>
      </w:r>
      <w:r>
        <w:rPr>
          <w:b w:val="false"/>
          <w:bCs w:val="false"/>
          <w:i/>
          <w:iCs/>
          <w:color w:val="595959"/>
          <w:sz w:val="20"/>
          <w:szCs w:val="20"/>
        </w:rPr>
        <w:t xml:space="preserve"> under Dexcom's constant and </w:t>
      </w:r>
      <w:r>
        <w:rPr>
          <w:b/>
          <w:bCs/>
          <w:i/>
          <w:iCs/>
          <w:color w:val="595959"/>
          <w:sz w:val="20"/>
          <w:szCs w:val="20"/>
        </w:rPr>
        <w:t xml:space="preserve">5.6</w:t>
      </w:r>
      <w:r>
        <w:rPr>
          <w:b w:val="false"/>
          <w:bCs w:val="false"/>
          <w:i/>
          <w:iCs/>
          <w:color w:val="595959"/>
          <w:sz w:val="20"/>
          <w:szCs w:val="20"/>
        </w:rPr>
        <w:t xml:space="preserve"> under the chemically precise one. An app that disagrees with the device the user is checking against is worse than no app. Seven boundary values are pinned by test.</w:t>
      </w:r>
    </w:p>
    <w:p>
      <w:pPr>
        <w:pStyle w:val="ListParagraph"/>
        <w:numPr>
          <w:ilvl w:val="0"/>
          <w:numId w:val="2"/>
        </w:numPr>
        <w:spacing w:after="80" w:line="276"/>
      </w:pPr>
      <w:r>
        <w:rPr>
          <w:b/>
          <w:bCs/>
        </w:rPr>
        <w:t xml:space="preserve">Target range</w:t>
      </w:r>
      <w:r>
        <w:rPr>
          <w:b w:val="false"/>
          <w:bCs w:val="false"/>
        </w:rPr>
        <w:t xml:space="preserve"> (default 70–180 mg/dL, fully editable). Band thresholds for Very Low/Very High are fixed at the consensus values and are not user-editable, because editing them would silently invalidate comparison against clinical targets.</w:t>
      </w:r>
    </w:p>
    <w:p>
      <w:pPr>
        <w:pStyle w:val="ListParagraph"/>
        <w:numPr>
          <w:ilvl w:val="0"/>
          <w:numId w:val="2"/>
        </w:numPr>
        <w:spacing w:after="80" w:line="276"/>
      </w:pPr>
      <w:r>
        <w:rPr>
          <w:b/>
          <w:bCs/>
        </w:rPr>
        <w:t xml:space="preserve">Insulin sensitivity factor (ISF)</w:t>
      </w:r>
      <w:r>
        <w:rPr>
          <w:b w:val="false"/>
          <w:bCs w:val="false"/>
        </w:rPr>
        <w:t xml:space="preserve"> — mg/dL drop per unit. Required by the prediction engine (§4.4). No default is guessed; the field is empty until the user enters a value, and the meal-response forecast is disabled until then.</w:t>
      </w:r>
    </w:p>
    <w:p>
      <w:pPr>
        <w:pStyle w:val="ListParagraph"/>
        <w:numPr>
          <w:ilvl w:val="0"/>
          <w:numId w:val="2"/>
        </w:numPr>
        <w:spacing w:after="80" w:line="276"/>
      </w:pPr>
      <w:r>
        <w:rPr>
          <w:b/>
          <w:bCs/>
        </w:rPr>
        <w:t xml:space="preserve">Insulin-to-carb ratio (ICR)</w:t>
      </w:r>
      <w:r>
        <w:rPr>
          <w:b w:val="false"/>
          <w:bCs w:val="false"/>
        </w:rPr>
        <w:t xml:space="preserve"> — grams covered per unit. Same treatment as ISF.</w:t>
      </w:r>
    </w:p>
    <w:p>
      <w:pPr>
        <w:pStyle w:val="ListParagraph"/>
        <w:numPr>
          <w:ilvl w:val="0"/>
          <w:numId w:val="2"/>
        </w:numPr>
        <w:spacing w:after="80" w:line="276"/>
      </w:pPr>
      <w:r>
        <w:rPr>
          <w:b/>
          <w:bCs/>
        </w:rPr>
        <w:t xml:space="preserve">Insulin action curve</w:t>
      </w:r>
      <w:r>
        <w:rPr>
          <w:b w:val="false"/>
          <w:bCs w:val="false"/>
        </w:rPr>
        <w:t xml:space="preserve"> — peak time and duration of action per insulin type (§4.4), pre-filled with the defaults in that section and editable.</w:t>
      </w:r>
    </w:p>
    <w:p>
      <w:pPr>
        <w:pStyle w:val="ListParagraph"/>
        <w:numPr>
          <w:ilvl w:val="0"/>
          <w:numId w:val="2"/>
        </w:numPr>
        <w:spacing w:after="80" w:line="276"/>
      </w:pPr>
      <w:r>
        <w:rPr>
          <w:b/>
          <w:bCs/>
        </w:rPr>
        <w:t xml:space="preserve">Carb absorption time</w:t>
      </w:r>
      <w:r>
        <w:rPr>
          <w:b w:val="false"/>
          <w:bCs w:val="false"/>
        </w:rPr>
        <w:t xml:space="preserve"> — default 180 minutes, with faster and slower presets.</w:t>
      </w:r>
    </w:p>
    <w:p>
      <w:pPr>
        <w:pStyle w:val="ListParagraph"/>
        <w:numPr>
          <w:ilvl w:val="0"/>
          <w:numId w:val="2"/>
        </w:numPr>
        <w:spacing w:after="80" w:line="276"/>
      </w:pPr>
      <w:r>
        <w:rPr>
          <w:b/>
          <w:bCs/>
        </w:rPr>
        <w:t xml:space="preserve">Theme and Bedside Mode schedule.</w:t>
      </w:r>
    </w:p>
    <w:p>
      <w:pPr>
        <w:pStyle w:val="ListParagraph"/>
        <w:numPr>
          <w:ilvl w:val="0"/>
          <w:numId w:val="2"/>
        </w:numPr>
        <w:spacing w:after="80" w:line="276"/>
      </w:pPr>
      <w:r>
        <w:rPr>
          <w:b/>
          <w:bCs/>
        </w:rPr>
        <w:t xml:space="preserve">Export and backup</w:t>
      </w:r>
      <w:r>
        <w:rPr>
          <w:b w:val="false"/>
          <w:bCs w:val="false"/>
        </w:rPr>
        <w:t xml:space="preserve"> (§3.1.7).</w:t>
      </w:r>
    </w:p>
    <w:p>
      <w:pPr>
        <w:pStyle w:val="ListParagraph"/>
        <w:numPr>
          <w:ilvl w:val="0"/>
          <w:numId w:val="2"/>
        </w:numPr>
        <w:spacing w:after="80" w:line="276"/>
      </w:pPr>
      <w:r>
        <w:rPr>
          <w:b/>
          <w:bCs/>
        </w:rPr>
        <w:t xml:space="preserve">Diagnostics</w:t>
      </w:r>
      <w:r>
        <w:rPr>
          <w:b w:val="false"/>
          <w:bCs w:val="false"/>
        </w:rPr>
        <w:t xml:space="preserve"> — local-only log of source errors, parse failures, and background wake events, with a copy-to-clipboard action. For an app talking to an undocumented API, this is what makes a 2am failure debuggable.</w:t>
      </w:r>
    </w:p>
    <w:p>
      <w:pPr>
        <w:pStyle w:val="ListParagraph"/>
        <w:numPr>
          <w:ilvl w:val="0"/>
          <w:numId w:val="2"/>
        </w:numPr>
        <w:spacing w:after="80" w:line="276"/>
      </w:pPr>
      <w:r>
        <w:rPr>
          <w:b/>
          <w:bCs/>
        </w:rPr>
        <w:t xml:space="preserve">Always-visible safety disclaimer.</w:t>
      </w:r>
    </w:p>
    <w:p>
      <w:pPr>
        <w:pStyle w:val="ListParagraph"/>
        <w:numPr>
          <w:ilvl w:val="0"/>
          <w:numId w:val="2"/>
        </w:numPr>
        <w:spacing w:after="80" w:line="276"/>
      </w:pPr>
      <w:r>
        <w:rPr>
          <w:b/>
          <w:bCs/>
        </w:rPr>
        <w:t xml:space="preserve">Sign out and clear local data</w:t>
      </w:r>
      <w:r>
        <w:rPr>
          <w:b w:val="false"/>
          <w:bCs w:val="false"/>
        </w:rPr>
        <w:t xml:space="preserve">, with an explicit confirmation naming how many readings and events will be destroyed.</w:t>
      </w:r>
    </w:p>
    <w:p>
      <w:pPr>
        <w:pBdr>
          <w:left w:val="single" w:color="BFD3E6" w:sz="12" w:space="8"/>
        </w:pBdr>
        <w:spacing w:after="160" w:line="260"/>
        <w:ind w:left="180"/>
      </w:pPr>
      <w:r>
        <w:rPr>
          <w:b w:val="false"/>
          <w:bCs w:val="false"/>
          <w:i/>
          <w:iCs/>
          <w:color w:val="595959"/>
          <w:sz w:val="20"/>
          <w:szCs w:val="20"/>
        </w:rPr>
        <w:t xml:space="preserve">Changed in v1.2: ISF, ICR, insulin action curve, carb absorption, and export/backup are new. ISF and ICR were mathematically required by v1.1's §4.4 but appeared in neither its settings nor its data model.</w:t>
      </w:r>
    </w:p>
    <w:p>
      <w:pPr>
        <w:pStyle w:val="Heading3"/>
        <w:spacing w:after="120" w:before="220"/>
      </w:pPr>
      <w:r>
        <w:rPr>
          <w:b w:val="false"/>
          <w:bCs w:val="false"/>
        </w:rPr>
        <w:t xml:space="preserve">3.1.7 Export &amp; Backup</w:t>
      </w:r>
    </w:p>
    <w:p>
      <w:pPr>
        <w:pBdr>
          <w:left w:val="single" w:color="BFD3E6" w:sz="12" w:space="8"/>
        </w:pBdr>
        <w:spacing w:after="160" w:line="260"/>
        <w:ind w:left="180"/>
      </w:pPr>
      <w:r>
        <w:rPr>
          <w:b w:val="false"/>
          <w:bCs w:val="false"/>
          <w:i/>
          <w:iCs/>
          <w:color w:val="595959"/>
          <w:sz w:val="20"/>
          <w:szCs w:val="20"/>
        </w:rPr>
        <w:t xml:space="preserve">New in v1.2. v1.1 had no path for getting data out of the app before v3's iCloud sync — an unacceptable single point of failure for years of personal medical history.</w:t>
      </w:r>
    </w:p>
    <w:p>
      <w:pPr>
        <w:pStyle w:val="ListParagraph"/>
        <w:numPr>
          <w:ilvl w:val="0"/>
          <w:numId w:val="2"/>
        </w:numPr>
        <w:spacing w:after="80" w:line="276"/>
      </w:pPr>
      <w:r>
        <w:rPr>
          <w:b/>
          <w:bCs/>
        </w:rPr>
        <w:t xml:space="preserve">Full export:</w:t>
      </w:r>
      <w:r>
        <w:rPr>
          <w:b w:val="false"/>
          <w:bCs w:val="false"/>
        </w:rPr>
        <w:t xml:space="preserve"> all readings and events as CSV and JSON, via the standard share sheet.</w:t>
      </w:r>
    </w:p>
    <w:p>
      <w:pPr>
        <w:pStyle w:val="ListParagraph"/>
        <w:numPr>
          <w:ilvl w:val="0"/>
          <w:numId w:val="2"/>
        </w:numPr>
        <w:spacing w:after="80" w:line="276"/>
      </w:pPr>
      <w:r>
        <w:rPr>
          <w:b/>
          <w:bCs/>
        </w:rPr>
        <w:t xml:space="preserve">Database backup:</w:t>
      </w:r>
      <w:r>
        <w:rPr>
          <w:b w:val="false"/>
          <w:bCs w:val="false"/>
        </w:rPr>
        <w:t xml:space="preserve"> a single-file export of the SwiftData store, restorable on a fresh install. Manual, plus an automatic weekly write to the user's iCloud Drive folder if enabled.</w:t>
      </w:r>
    </w:p>
    <w:p>
      <w:pPr>
        <w:pStyle w:val="ListParagraph"/>
        <w:numPr>
          <w:ilvl w:val="0"/>
          <w:numId w:val="2"/>
        </w:numPr>
        <w:spacing w:after="80" w:line="276"/>
      </w:pPr>
      <w:r>
        <w:rPr>
          <w:b/>
          <w:bCs/>
        </w:rPr>
        <w:t xml:space="preserve">Nightscout-compatible JSON</w:t>
      </w:r>
      <w:r>
        <w:rPr>
          <w:b w:val="false"/>
          <w:bCs w:val="false"/>
        </w:rPr>
        <w:t xml:space="preserve"> for entries and treatments, so the data is portable into the wider T1D tooling ecosystem rather than trapped in this app.</w:t>
      </w:r>
    </w:p>
    <w:p>
      <w:pPr>
        <w:spacing w:after="120" w:line="276"/>
      </w:pPr>
      <w:r>
        <w:rPr>
          <w:b w:val="false"/>
          <w:bCs w:val="false"/>
        </w:rPr>
        <w:t xml:space="preserve">This ships in v1, not v3. Everything else in the app can be rebuilt; the readings cannot.</w:t>
      </w:r>
    </w:p>
    <w:p>
      <w:pPr>
        <w:pStyle w:val="Heading2"/>
        <w:spacing w:after="140" w:before="280"/>
      </w:pPr>
      <w:r>
        <w:rPr>
          <w:b w:val="false"/>
          <w:bCs w:val="false"/>
        </w:rPr>
        <w:t xml:space="preserve">3.2 v2 — Logging, Prediction &amp; Glanceable Surfaces</w:t>
      </w:r>
    </w:p>
    <w:p>
      <w:pPr>
        <w:pStyle w:val="Heading3"/>
        <w:spacing w:after="120" w:before="220"/>
      </w:pPr>
      <w:r>
        <w:rPr>
          <w:b w:val="false"/>
          <w:bCs w:val="false"/>
        </w:rPr>
        <w:t xml:space="preserve">3.2.1 Event Logging</w:t>
      </w:r>
    </w:p>
    <w:p>
      <w:pPr>
        <w:pStyle w:val="ListParagraph"/>
        <w:numPr>
          <w:ilvl w:val="0"/>
          <w:numId w:val="2"/>
        </w:numPr>
        <w:spacing w:after="80" w:line="276"/>
      </w:pPr>
      <w:r>
        <w:rPr>
          <w:b/>
          <w:bCs/>
        </w:rPr>
        <w:t xml:space="preserve">Meal log:</w:t>
      </w:r>
      <w:r>
        <w:rPr>
          <w:b w:val="false"/>
          <w:bCs w:val="false"/>
        </w:rPr>
        <w:t xml:space="preserve"> photo, carb count in grams, optional notes, optional meal tag (breakfast/lunch/dinner/snack), and an optional name that links it to the food memory (§3.2.5). Carbs are entered in grams only — a second “S/M/L” unit system would have to be reconciled with ICR arithmetic for no real speed gain (§8). A quick-pick row of the user's own recent and frequent entries provides the speed instead.</w:t>
      </w:r>
    </w:p>
    <w:p>
      <w:pPr>
        <w:pStyle w:val="ListParagraph"/>
        <w:numPr>
          <w:ilvl w:val="0"/>
          <w:numId w:val="2"/>
        </w:numPr>
        <w:spacing w:after="80" w:line="276"/>
      </w:pPr>
      <w:r>
        <w:rPr>
          <w:b/>
          <w:bCs/>
        </w:rPr>
        <w:t xml:space="preserve">Insulin log:</w:t>
      </w:r>
      <w:r>
        <w:rPr>
          <w:b w:val="false"/>
          <w:bCs w:val="false"/>
        </w:rPr>
        <w:t xml:space="preserve"> units, type, optional injection site. Type carries the action curve parameters used by the IOB calculation, so what matters is the curve, not the brand name — a short pre-seeded list is offered with free-text entry allowed, and every entry maps to an editable peak/duration pair (§8).</w:t>
      </w:r>
    </w:p>
    <w:p>
      <w:pPr>
        <w:pStyle w:val="ListParagraph"/>
        <w:numPr>
          <w:ilvl w:val="0"/>
          <w:numId w:val="2"/>
        </w:numPr>
        <w:spacing w:after="80" w:line="276"/>
      </w:pPr>
      <w:r>
        <w:rPr>
          <w:b/>
          <w:bCs/>
        </w:rPr>
        <w:t xml:space="preserve">Basal insulin is logged but excluded from IOB.</w:t>
      </w:r>
      <w:r>
        <w:rPr>
          <w:b w:val="false"/>
          <w:bCs w:val="false"/>
        </w:rPr>
        <w:t xml:space="preserve"> Long-acting insulin has a fundamentally different action profile and adding it to bolus IOB makes the number meaningless. It appears on the timeline and in its own display, never in the IOB figure used by the forecast.</w:t>
      </w:r>
    </w:p>
    <w:p>
      <w:pPr>
        <w:pStyle w:val="ListParagraph"/>
        <w:numPr>
          <w:ilvl w:val="0"/>
          <w:numId w:val="2"/>
        </w:numPr>
        <w:spacing w:after="80" w:line="276"/>
      </w:pPr>
      <w:r>
        <w:rPr>
          <w:b/>
          <w:bCs/>
        </w:rPr>
        <w:t xml:space="preserve">Exercise log:</w:t>
      </w:r>
      <w:r>
        <w:rPr>
          <w:b w:val="false"/>
          <w:bCs w:val="false"/>
        </w:rPr>
        <w:t xml:space="preserve"> type (cardio/strength/walk/other), duration, perceived intensity (1–5). Auto-suggested from HealthKit workouts so most entries are a confirmation tap rather than a form.</w:t>
      </w:r>
    </w:p>
    <w:p>
      <w:pPr>
        <w:pStyle w:val="ListParagraph"/>
        <w:numPr>
          <w:ilvl w:val="0"/>
          <w:numId w:val="2"/>
        </w:numPr>
        <w:spacing w:after="80" w:line="276"/>
      </w:pPr>
      <w:r>
        <w:rPr>
          <w:b/>
          <w:bCs/>
        </w:rPr>
        <w:t xml:space="preserve">Quick-add</w:t>
      </w:r>
      <w:r>
        <w:rPr>
          <w:b w:val="false"/>
          <w:bCs w:val="false"/>
        </w:rPr>
        <w:t xml:space="preserve"> via App Intents (§3.2.4).</w:t>
      </w:r>
    </w:p>
    <w:p>
      <w:pPr>
        <w:pStyle w:val="ListParagraph"/>
        <w:numPr>
          <w:ilvl w:val="0"/>
          <w:numId w:val="2"/>
        </w:numPr>
        <w:spacing w:after="80" w:line="276"/>
      </w:pPr>
      <w:r>
        <w:rPr>
          <w:b/>
          <w:bCs/>
        </w:rPr>
        <w:t xml:space="preserve">Edit and delete:</w:t>
      </w:r>
      <w:r>
        <w:rPr>
          <w:b w:val="false"/>
          <w:bCs w:val="false"/>
        </w:rPr>
        <w:t xml:space="preserve"> all logged events are editable with an audit trail (created/edited timestamps).</w:t>
      </w:r>
    </w:p>
    <w:p>
      <w:pPr>
        <w:pStyle w:val="Heading3"/>
        <w:spacing w:after="120" w:before="220"/>
      </w:pPr>
      <w:r>
        <w:rPr>
          <w:b w:val="false"/>
          <w:bCs w:val="false"/>
        </w:rPr>
        <w:t xml:space="preserve">3.2.2 Unified Timeline</w:t>
      </w:r>
    </w:p>
    <w:p>
      <w:pPr>
        <w:pStyle w:val="ListParagraph"/>
        <w:numPr>
          <w:ilvl w:val="0"/>
          <w:numId w:val="2"/>
        </w:numPr>
        <w:spacing w:after="80" w:line="276"/>
      </w:pPr>
      <w:r>
        <w:rPr>
          <w:b w:val="false"/>
          <w:bCs w:val="false"/>
        </w:rPr>
        <w:t xml:space="preserve">Glucose curve with overlaid event markers (meal, insulin, exercise glyphs).</w:t>
      </w:r>
    </w:p>
    <w:p>
      <w:pPr>
        <w:pStyle w:val="ListParagraph"/>
        <w:numPr>
          <w:ilvl w:val="0"/>
          <w:numId w:val="2"/>
        </w:numPr>
        <w:spacing w:after="80" w:line="276"/>
      </w:pPr>
      <w:r>
        <w:rPr>
          <w:b w:val="false"/>
          <w:bCs w:val="false"/>
        </w:rPr>
        <w:t xml:space="preserve">Tap an event to see details and the glucose response over the following 1, 2, and 3 hours.</w:t>
      </w:r>
    </w:p>
    <w:p>
      <w:pPr>
        <w:pStyle w:val="ListParagraph"/>
        <w:numPr>
          <w:ilvl w:val="0"/>
          <w:numId w:val="2"/>
        </w:numPr>
        <w:spacing w:after="80" w:line="276"/>
      </w:pPr>
      <w:r>
        <w:rPr>
          <w:b w:val="false"/>
          <w:bCs w:val="false"/>
        </w:rPr>
        <w:t xml:space="preserve">Filter by event type.</w:t>
      </w:r>
    </w:p>
    <w:p>
      <w:pPr>
        <w:pStyle w:val="ListParagraph"/>
        <w:numPr>
          <w:ilvl w:val="0"/>
          <w:numId w:val="2"/>
        </w:numPr>
        <w:spacing w:after="80" w:line="276"/>
      </w:pPr>
      <w:r>
        <w:rPr>
          <w:b w:val="false"/>
          <w:bCs w:val="false"/>
        </w:rPr>
        <w:t xml:space="preserve">Long-press an event to compare it against the median response to the same tagged meal (§3.2.5).</w:t>
      </w:r>
    </w:p>
    <w:p>
      <w:pPr>
        <w:pStyle w:val="Heading3"/>
        <w:spacing w:after="120" w:before="220"/>
      </w:pPr>
      <w:r>
        <w:rPr>
          <w:b w:val="false"/>
          <w:bCs w:val="false"/>
        </w:rPr>
        <w:t xml:space="preserve">3.2.3 Prediction Engine</w:t>
      </w:r>
    </w:p>
    <w:p>
      <w:pPr>
        <w:spacing w:after="120" w:line="276"/>
      </w:pPr>
      <w:r>
        <w:rPr>
          <w:b w:val="false"/>
          <w:bCs w:val="false"/>
        </w:rPr>
        <w:t xml:space="preserve">All prediction is transparent statistics — no machine learning, no black boxes. Every prediction surface carries a “How is this calculated?” link that shows the actual formula and the actual input values used. Full mathematics is in §4.4.</w:t>
      </w:r>
    </w:p>
    <w:p>
      <w:pPr>
        <w:pStyle w:val="ListParagraph"/>
        <w:numPr>
          <w:ilvl w:val="0"/>
          <w:numId w:val="2"/>
        </w:numPr>
        <w:spacing w:after="80" w:line="276"/>
      </w:pPr>
      <w:r>
        <w:rPr>
          <w:b/>
          <w:bCs/>
        </w:rPr>
        <w:t xml:space="preserve">Short-term forecast (15 to 30 min):</w:t>
      </w:r>
      <w:r>
        <w:rPr>
          <w:b w:val="false"/>
          <w:bCs w:val="false"/>
        </w:rPr>
        <w:t xml:space="preserve"> ordinary least-squares regression on the last 30 minutes of readings, projected forward with </w:t>
      </w:r>
      <w:r>
        <w:rPr>
          <w:b/>
          <w:bCs/>
        </w:rPr>
        <w:t xml:space="preserve">exponential damping</w:t>
      </w:r>
      <w:r>
        <w:rPr>
          <w:b w:val="false"/>
          <w:bCs w:val="false"/>
        </w:rPr>
        <w:t xml:space="preserve"> so the projection flattens toward the horizon rather than continuing linearly. Undamped extrapolation overshoots badly at exactly the moments the user cares about — the post-meal peak and the post-correction nadir. The slope is additionally clamped to ±4 mg/dL/min, outside which glucose does not physiologically move.</w:t>
      </w:r>
    </w:p>
    <w:p>
      <w:pPr>
        <w:pStyle w:val="ListParagraph"/>
        <w:numPr>
          <w:ilvl w:val="0"/>
          <w:numId w:val="2"/>
        </w:numPr>
        <w:spacing w:after="80" w:line="276"/>
      </w:pPr>
      <w:r>
        <w:rPr>
          <w:b/>
          <w:bCs/>
        </w:rPr>
        <w:t xml:space="preserve">Confidence band:</w:t>
      </w:r>
      <w:r>
        <w:rPr>
          <w:b w:val="false"/>
          <w:bCs w:val="false"/>
        </w:rPr>
        <w:t xml:space="preserve"> empirical quantiles (10th/90th) of the app's own historical forecast errors at the same horizon, computed by backtesting against the user's own stored data. Not ±1 SD — that assumes residuals are stationary and normally distributed, and glucose residuals are neither (§8).</w:t>
      </w:r>
    </w:p>
    <w:p>
      <w:pPr>
        <w:pStyle w:val="ListParagraph"/>
        <w:numPr>
          <w:ilvl w:val="0"/>
          <w:numId w:val="2"/>
        </w:numPr>
        <w:spacing w:after="80" w:line="276"/>
      </w:pPr>
      <w:r>
        <w:rPr>
          <w:b/>
          <w:bCs/>
        </w:rPr>
        <w:t xml:space="preserve">Post-meal forecast:</w:t>
      </w:r>
      <w:r>
        <w:rPr>
          <w:b w:val="false"/>
          <w:bCs w:val="false"/>
        </w:rPr>
        <w:t xml:space="preserve"> carb absorption and insulin activity combined into an expected curve using the user's ISF and ICR, compared against actual readings as they arrive. The gap between expected and actual is the useful output — it surfaces dosing accuracy.</w:t>
      </w:r>
    </w:p>
    <w:p>
      <w:pPr>
        <w:pStyle w:val="ListParagraph"/>
        <w:numPr>
          <w:ilvl w:val="0"/>
          <w:numId w:val="2"/>
        </w:numPr>
        <w:spacing w:after="80" w:line="276"/>
      </w:pPr>
      <w:r>
        <w:rPr>
          <w:b/>
          <w:bCs/>
        </w:rPr>
        <w:t xml:space="preserve">IOB:</w:t>
      </w:r>
      <w:r>
        <w:rPr>
          <w:b w:val="false"/>
          <w:bCs w:val="false"/>
        </w:rPr>
        <w:t xml:space="preserve"> continuously calculated from logged bolus doses using the bi-exponential model (§4.4), visible as a numeric badge. </w:t>
      </w:r>
      <w:r>
        <w:rPr>
          <w:b/>
          <w:bCs/>
        </w:rPr>
        <w:t xml:space="preserve">COB</w:t>
      </w:r>
      <w:r>
        <w:rPr>
          <w:b w:val="false"/>
          <w:bCs w:val="false"/>
        </w:rPr>
        <w:t xml:space="preserve"> is displayed alongside it.</w:t>
      </w:r>
    </w:p>
    <w:p>
      <w:pPr>
        <w:pStyle w:val="ListParagraph"/>
        <w:numPr>
          <w:ilvl w:val="0"/>
          <w:numId w:val="2"/>
        </w:numPr>
        <w:spacing w:after="80" w:line="276"/>
      </w:pPr>
      <w:r>
        <w:rPr>
          <w:b/>
          <w:bCs/>
        </w:rPr>
        <w:t xml:space="preserve">Exercise adjustment:</w:t>
      </w:r>
      <w:r>
        <w:rPr>
          <w:b w:val="false"/>
          <w:bCs w:val="false"/>
        </w:rPr>
        <w:t xml:space="preserve"> an active or recent exercise event applies a documented multiplier to insulin sensitivity in the forecast. v1.1 logged exercise and then never used it anywhere, despite it being one of the largest drivers of glucose response.</w:t>
      </w:r>
    </w:p>
    <w:p>
      <w:pPr>
        <w:spacing w:after="100" w:before="180"/>
      </w:pPr>
      <w:r>
        <w:rPr>
          <w:b/>
          <w:bCs/>
          <w:color w:val="1F4D78"/>
        </w:rPr>
        <w:t xml:space="preserve">Predicted-low heads-up</w:t>
      </w:r>
    </w:p>
    <w:p>
      <w:pPr>
        <w:spacing w:after="120" w:line="276"/>
      </w:pPr>
      <w:r>
        <w:rPr>
          <w:b w:val="false"/>
          <w:bCs w:val="false"/>
        </w:rPr>
        <w:t xml:space="preserve">When the forecast crosses the low threshold within the horizon, the app surfaces it prominently in-app, on the Live Activity, and on the Watch complication. It does </w:t>
      </w:r>
      <w:r>
        <w:rPr>
          <w:b/>
          <w:bCs/>
        </w:rPr>
        <w:t xml:space="preserve">not</w:t>
      </w:r>
      <w:r>
        <w:rPr>
          <w:b w:val="false"/>
          <w:bCs w:val="false"/>
        </w:rPr>
        <w:t xml:space="preserve"> send a notification (§1.3). This is deliberately a pull, not a push: the official app keeps the alarm, GlucoNoir keeps the foresight.</w:t>
      </w:r>
    </w:p>
    <w:p>
      <w:pPr>
        <w:spacing w:after="120" w:line="276"/>
      </w:pPr>
      <w:r>
        <w:rPr>
          <w:b w:val="false"/>
          <w:bCs w:val="false"/>
        </w:rPr>
        <w:t xml:space="preserve">The heads-up is visually distinct from anything actionable. A prediction curve sitting next to a dose entry field is dose guidance in practice regardless of how it is labelled, so the two never share a screen region.</w:t>
      </w:r>
    </w:p>
    <w:p>
      <w:pPr>
        <w:pStyle w:val="Heading3"/>
        <w:spacing w:after="120" w:before="220"/>
      </w:pPr>
      <w:r>
        <w:rPr>
          <w:b w:val="false"/>
          <w:bCs w:val="false"/>
        </w:rPr>
        <w:t xml:space="preserve">3.2.4 Glanceable Surfaces</w:t>
      </w:r>
    </w:p>
    <w:p>
      <w:pPr>
        <w:pBdr>
          <w:left w:val="single" w:color="BFD3E6" w:sz="12" w:space="8"/>
        </w:pBdr>
        <w:spacing w:after="160" w:line="260"/>
        <w:ind w:left="180"/>
      </w:pPr>
      <w:r>
        <w:rPr>
          <w:b w:val="false"/>
          <w:bCs w:val="false"/>
          <w:i/>
          <w:iCs/>
          <w:color w:val="595959"/>
          <w:sz w:val="20"/>
          <w:szCs w:val="20"/>
        </w:rPr>
        <w:t xml:space="preserve">New in v1.2 as a consolidated section. v1.1 placed the widget and Watch complication in v2 (§3.2.1) while simultaneously listing them in v3 (§3.3, §4.5). They are consolidated here, in v2, because §2.2's dominant use case is a glance that should not require opening an app.</w:t>
      </w:r>
    </w:p>
    <w:p>
      <w:pPr>
        <w:spacing w:after="100" w:before="180"/>
      </w:pPr>
      <w:r>
        <w:rPr>
          <w:b/>
          <w:bCs/>
          <w:color w:val="1F4D78"/>
        </w:rPr>
        <w:t xml:space="preserve">Live Activity &amp; Dynamic Island</w:t>
      </w:r>
    </w:p>
    <w:p>
      <w:pPr>
        <w:pStyle w:val="ListParagraph"/>
        <w:numPr>
          <w:ilvl w:val="0"/>
          <w:numId w:val="2"/>
        </w:numPr>
        <w:spacing w:after="80" w:line="276"/>
      </w:pPr>
      <w:r>
        <w:rPr>
          <w:b w:val="false"/>
          <w:bCs w:val="false"/>
        </w:rPr>
        <w:t xml:space="preserve">Current value, trend arrow, minutes since reading, and — when relevant — the predicted-low heads-up.</w:t>
      </w:r>
    </w:p>
    <w:p>
      <w:pPr>
        <w:pStyle w:val="ListParagraph"/>
        <w:numPr>
          <w:ilvl w:val="0"/>
          <w:numId w:val="2"/>
        </w:numPr>
        <w:spacing w:after="80" w:line="276"/>
      </w:pPr>
      <w:r>
        <w:rPr>
          <w:b w:val="false"/>
          <w:bCs w:val="false"/>
        </w:rPr>
        <w:t xml:space="preserve">Updated from the same HealthKit background wake that drives everything else (§4.2.1). Add </w:t>
      </w:r>
      <w:r>
        <w:rPr>
          <w:rFonts w:ascii="Consolas" w:cs="Consolas" w:eastAsia="Consolas" w:hAnsi="Consolas"/>
          <w:b w:val="false"/>
          <w:bCs w:val="false"/>
          <w:sz w:val="19"/>
          <w:szCs w:val="19"/>
        </w:rPr>
        <w:t xml:space="preserve">NSSupportsLiveActivitiesFrequentUpdates</w:t>
      </w:r>
      <w:r>
        <w:rPr>
          <w:b w:val="false"/>
          <w:bCs w:val="false"/>
        </w:rPr>
        <w:t xml:space="preserve"> to Info.plist.</w:t>
      </w:r>
    </w:p>
    <w:p>
      <w:pPr>
        <w:pStyle w:val="ListParagraph"/>
        <w:numPr>
          <w:ilvl w:val="0"/>
          <w:numId w:val="2"/>
        </w:numPr>
        <w:spacing w:after="80" w:line="276"/>
      </w:pPr>
      <w:r>
        <w:rPr>
          <w:b w:val="false"/>
          <w:bCs w:val="false"/>
        </w:rPr>
        <w:t xml:space="preserve">Live Activities age out after roughly 8 hours. Plan for it: re-arm on app foreground, and provide an explicit “restart” affordance on the Lock Screen widget rather than pretending the session is indefinite.</w:t>
      </w:r>
    </w:p>
    <w:p>
      <w:pPr>
        <w:pStyle w:val="ListParagraph"/>
        <w:numPr>
          <w:ilvl w:val="0"/>
          <w:numId w:val="2"/>
        </w:numPr>
        <w:spacing w:after="80" w:line="276"/>
      </w:pPr>
      <w:r>
        <w:rPr>
          <w:b w:val="false"/>
          <w:bCs w:val="false"/>
        </w:rPr>
        <w:t xml:space="preserve">The compact and minimal Dynamic Island presentations must remain legible at a glance — value and arrow only, no chart.</w:t>
      </w:r>
    </w:p>
    <w:p>
      <w:pPr>
        <w:spacing w:after="100" w:before="180"/>
      </w:pPr>
      <w:r>
        <w:rPr>
          <w:b/>
          <w:bCs/>
          <w:color w:val="1F4D78"/>
        </w:rPr>
        <w:t xml:space="preserve">Apple Watch complication</w:t>
      </w:r>
    </w:p>
    <w:p>
      <w:pPr>
        <w:pStyle w:val="ListParagraph"/>
        <w:numPr>
          <w:ilvl w:val="0"/>
          <w:numId w:val="2"/>
        </w:numPr>
        <w:spacing w:after="80" w:line="276"/>
      </w:pPr>
      <w:r>
        <w:rPr>
          <w:b w:val="false"/>
          <w:bCs w:val="false"/>
        </w:rPr>
        <w:t xml:space="preserve">Current value, trend arrow, and staleness. The dominant surface for the 20–50 daily glances.</w:t>
      </w:r>
    </w:p>
    <w:p>
      <w:pPr>
        <w:pStyle w:val="ListParagraph"/>
        <w:numPr>
          <w:ilvl w:val="0"/>
          <w:numId w:val="2"/>
        </w:numPr>
        <w:spacing w:after="80" w:line="276"/>
      </w:pPr>
      <w:r>
        <w:rPr>
          <w:b w:val="false"/>
          <w:bCs w:val="false"/>
        </w:rPr>
        <w:t xml:space="preserve">The Watch app reads HealthKit </w:t>
      </w:r>
      <w:r>
        <w:rPr>
          <w:b/>
          <w:bCs/>
        </w:rPr>
        <w:t xml:space="preserve">directly</w:t>
      </w:r>
      <w:r>
        <w:rPr>
          <w:b w:val="false"/>
          <w:bCs w:val="false"/>
        </w:rPr>
        <w:t xml:space="preserve"> rather than depending on WatchConnectivity background transfer, which is unreliable and would make the complication the least fresh surface in the system instead of the most-used one.</w:t>
      </w:r>
    </w:p>
    <w:p>
      <w:pPr>
        <w:spacing w:after="100" w:before="180"/>
      </w:pPr>
      <w:r>
        <w:rPr>
          <w:b/>
          <w:bCs/>
          <w:color w:val="1F4D78"/>
        </w:rPr>
        <w:t xml:space="preserve">App Intents</w:t>
      </w:r>
    </w:p>
    <w:p>
      <w:pPr>
        <w:pStyle w:val="ListParagraph"/>
        <w:numPr>
          <w:ilvl w:val="0"/>
          <w:numId w:val="2"/>
        </w:numPr>
        <w:spacing w:after="80" w:line="276"/>
      </w:pPr>
      <w:r>
        <w:rPr>
          <w:b w:val="false"/>
          <w:bCs w:val="false"/>
        </w:rPr>
        <w:t xml:space="preserve">“Log 4 units”, “Log 30 grams of carbs”, “What's my glucose”. Voice or Lock Screen entry is the fastest logging path available and directly serves §10's sub-30-second target.</w:t>
      </w:r>
    </w:p>
    <w:p>
      <w:pPr>
        <w:pStyle w:val="ListParagraph"/>
        <w:numPr>
          <w:ilvl w:val="0"/>
          <w:numId w:val="2"/>
        </w:numPr>
        <w:spacing w:after="80" w:line="276"/>
      </w:pPr>
      <w:r>
        <w:rPr>
          <w:b w:val="false"/>
          <w:bCs w:val="false"/>
        </w:rPr>
        <w:t xml:space="preserve">One App Intents implementation yields Siri, Shortcuts, Spotlight, and interactive widget buttons together, which is why it belongs in v2 rather than being spread across v3.</w:t>
      </w:r>
    </w:p>
    <w:p>
      <w:pPr>
        <w:pStyle w:val="Heading3"/>
        <w:spacing w:after="120" w:before="220"/>
      </w:pPr>
      <w:r>
        <w:rPr>
          <w:b w:val="false"/>
          <w:bCs w:val="false"/>
        </w:rPr>
        <w:t xml:space="preserve">3.2.5 Meal Fingerprinting</w:t>
      </w:r>
    </w:p>
    <w:p>
      <w:pPr>
        <w:pBdr>
          <w:left w:val="single" w:color="BFD3E6" w:sz="12" w:space="8"/>
        </w:pBdr>
        <w:spacing w:after="160" w:line="260"/>
        <w:ind w:left="180"/>
      </w:pPr>
      <w:r>
        <w:rPr>
          <w:b w:val="false"/>
          <w:bCs w:val="false"/>
          <w:i/>
          <w:iCs/>
          <w:color w:val="595959"/>
          <w:sz w:val="20"/>
          <w:szCs w:val="20"/>
        </w:rPr>
        <w:t xml:space="preserve">Promoted in v1.2 from v1.1's v3 line item “personal food database”, and expanded. This is the feature the official app structurally cannot offer, and it is what justifies the logging discipline the rest of v2 asks for.</w:t>
      </w:r>
    </w:p>
    <w:p>
      <w:pPr>
        <w:pStyle w:val="ListParagraph"/>
        <w:numPr>
          <w:ilvl w:val="0"/>
          <w:numId w:val="2"/>
        </w:numPr>
        <w:spacing w:after="80" w:line="276"/>
      </w:pPr>
      <w:r>
        <w:rPr>
          <w:b w:val="false"/>
          <w:bCs w:val="false"/>
        </w:rPr>
        <w:t xml:space="preserve">Tag a meal with a name. Every subsequent log of the same name links to the same food record.</w:t>
      </w:r>
    </w:p>
    <w:p>
      <w:pPr>
        <w:pStyle w:val="ListParagraph"/>
        <w:numPr>
          <w:ilvl w:val="0"/>
          <w:numId w:val="2"/>
        </w:numPr>
        <w:spacing w:after="80" w:line="276"/>
      </w:pPr>
      <w:r>
        <w:rPr>
          <w:b w:val="false"/>
          <w:bCs w:val="false"/>
        </w:rPr>
        <w:t xml:space="preserve">Opening a tagged meal shows every past glucose response to it overlaid, with a median curve: “the last four times you ate this, you peaked at 210 around 75 minutes.”</w:t>
      </w:r>
    </w:p>
    <w:p>
      <w:pPr>
        <w:pStyle w:val="ListParagraph"/>
        <w:numPr>
          <w:ilvl w:val="0"/>
          <w:numId w:val="2"/>
        </w:numPr>
        <w:spacing w:after="80" w:line="276"/>
      </w:pPr>
      <w:r>
        <w:rPr>
          <w:b w:val="false"/>
          <w:bCs w:val="false"/>
        </w:rPr>
        <w:t xml:space="preserve">Per-meal derived statistics: median peak value, median time-to-peak, median 3-hour delta, and the observed effective carb ratio when a dose was logged with it.</w:t>
      </w:r>
    </w:p>
    <w:p>
      <w:pPr>
        <w:pStyle w:val="ListParagraph"/>
        <w:numPr>
          <w:ilvl w:val="0"/>
          <w:numId w:val="2"/>
        </w:numPr>
        <w:spacing w:after="80" w:line="276"/>
      </w:pPr>
      <w:r>
        <w:rPr>
          <w:b w:val="false"/>
          <w:bCs w:val="false"/>
        </w:rPr>
        <w:t xml:space="preserve">Sorted views: the meals with the highest peaks, the most variable responses, and the flattest curves.</w:t>
      </w:r>
    </w:p>
    <w:p>
      <w:pPr>
        <w:pStyle w:val="Heading3"/>
        <w:spacing w:after="120" w:before="220"/>
      </w:pPr>
      <w:r>
        <w:rPr>
          <w:b w:val="false"/>
          <w:bCs w:val="false"/>
        </w:rPr>
        <w:t xml:space="preserve">3.2.6 Overnight Report Card</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A card presented on first open each morning, covering the sleep window (segmented from HealthKit </w:t>
      </w:r>
      <w:r>
        <w:rPr>
          <w:rFonts w:ascii="Consolas" w:cs="Consolas" w:eastAsia="Consolas" w:hAnsi="Consolas"/>
          <w:b w:val="false"/>
          <w:bCs w:val="false"/>
          <w:sz w:val="19"/>
          <w:szCs w:val="19"/>
        </w:rPr>
        <w:t xml:space="preserve">sleepAnalysis</w:t>
      </w:r>
      <w:r>
        <w:rPr>
          <w:b w:val="false"/>
          <w:bCs w:val="false"/>
        </w:rPr>
        <w:t xml:space="preserve"> where available, otherwise the Bedside Mode schedule):</w:t>
      </w:r>
    </w:p>
    <w:p>
      <w:pPr>
        <w:pStyle w:val="ListParagraph"/>
        <w:numPr>
          <w:ilvl w:val="0"/>
          <w:numId w:val="2"/>
        </w:numPr>
        <w:spacing w:after="80" w:line="276"/>
      </w:pPr>
      <w:r>
        <w:rPr>
          <w:b w:val="false"/>
          <w:bCs w:val="false"/>
        </w:rPr>
        <w:t xml:space="preserve">Overnight low and high with times; time-in-range while asleep; longest flat stretch.</w:t>
      </w:r>
    </w:p>
    <w:p>
      <w:pPr>
        <w:pStyle w:val="ListParagraph"/>
        <w:numPr>
          <w:ilvl w:val="0"/>
          <w:numId w:val="2"/>
        </w:numPr>
        <w:spacing w:after="80" w:line="276"/>
      </w:pPr>
      <w:r>
        <w:rPr>
          <w:b w:val="false"/>
          <w:bCs w:val="false"/>
        </w:rPr>
        <w:t xml:space="preserve">A suspected </w:t>
      </w:r>
      <w:r>
        <w:rPr>
          <w:b/>
          <w:bCs/>
        </w:rPr>
        <w:t xml:space="preserve">compression low</w:t>
      </w:r>
      <w:r>
        <w:rPr>
          <w:b w:val="false"/>
          <w:bCs w:val="false"/>
        </w:rPr>
        <w:t xml:space="preserve"> flag — a sharp drop to a low value with an equally sharp recovery and no corresponding treatment, which is a sensor artifact rather than a physiological event. Flagging these prevents the user from over-correcting a pattern that was never real, and prevents the prediction engine's own error statistics from being polluted by them.</w:t>
      </w:r>
    </w:p>
    <w:p>
      <w:pPr>
        <w:pStyle w:val="ListParagraph"/>
        <w:numPr>
          <w:ilvl w:val="0"/>
          <w:numId w:val="2"/>
        </w:numPr>
        <w:spacing w:after="80" w:line="276"/>
      </w:pPr>
      <w:r>
        <w:rPr>
          <w:b w:val="false"/>
          <w:bCs w:val="false"/>
        </w:rPr>
        <w:t xml:space="preserve">Comparison against the trailing 14-night median.</w:t>
      </w:r>
    </w:p>
    <w:p>
      <w:pPr>
        <w:pStyle w:val="Heading3"/>
        <w:spacing w:after="120" w:before="220"/>
      </w:pPr>
      <w:r>
        <w:rPr>
          <w:b w:val="false"/>
          <w:bCs w:val="false"/>
        </w:rPr>
        <w:t xml:space="preserve">3.2.7 Bolus Outcome Review</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For each logged dose, show predicted versus actual glucose over the following three hours. This reuses the prediction engine with no new math, closes the loop between logging and learning, and directly serves the dosing-accuracy goal — while never recommending a dose. It is retrospective by construction, which is what keeps it on the safe side of §1.2.</w:t>
      </w:r>
    </w:p>
    <w:p>
      <w:pPr>
        <w:pStyle w:val="Heading2"/>
        <w:spacing w:after="140" w:before="280"/>
      </w:pPr>
      <w:r>
        <w:rPr>
          <w:b w:val="false"/>
          <w:bCs w:val="false"/>
        </w:rPr>
        <w:t xml:space="preserve">3.3 v3 — Polish &amp; Stretch</w:t>
      </w:r>
    </w:p>
    <w:p>
      <w:pPr>
        <w:pStyle w:val="ListParagraph"/>
        <w:numPr>
          <w:ilvl w:val="0"/>
          <w:numId w:val="2"/>
        </w:numPr>
        <w:spacing w:after="80" w:line="276"/>
      </w:pPr>
      <w:r>
        <w:rPr>
          <w:b/>
          <w:bCs/>
        </w:rPr>
        <w:t xml:space="preserve">AGP PDF export</w:t>
      </w:r>
      <w:r>
        <w:rPr>
          <w:b w:val="false"/>
          <w:bCs w:val="false"/>
        </w:rPr>
        <w:t xml:space="preserve"> styled like the report endocrinologists use, built on the percentile computation already shipped in §3.1.5.</w:t>
      </w:r>
    </w:p>
    <w:p>
      <w:pPr>
        <w:pStyle w:val="ListParagraph"/>
        <w:numPr>
          <w:ilvl w:val="0"/>
          <w:numId w:val="2"/>
        </w:numPr>
        <w:spacing w:after="80" w:line="276"/>
      </w:pPr>
      <w:r>
        <w:rPr>
          <w:b/>
          <w:bCs/>
        </w:rPr>
        <w:t xml:space="preserve">Auto-generated endo prep</w:t>
      </w:r>
      <w:r>
        <w:rPr>
          <w:b w:val="false"/>
          <w:bCs w:val="false"/>
        </w:rPr>
        <w:t xml:space="preserve"> — the top three patterns detected across 90 days (“Tuesday post-lunch spikes”, “overnight drift low after evening exercise”), attached to the export. More useful in an appointment than the raw AGP page.</w:t>
      </w:r>
    </w:p>
    <w:p>
      <w:pPr>
        <w:pStyle w:val="ListParagraph"/>
        <w:numPr>
          <w:ilvl w:val="0"/>
          <w:numId w:val="2"/>
        </w:numPr>
        <w:spacing w:after="80" w:line="276"/>
      </w:pPr>
      <w:r>
        <w:rPr>
          <w:b/>
          <w:bCs/>
        </w:rPr>
        <w:t xml:space="preserve">Lock Screen and StandBy widgets</w:t>
      </w:r>
      <w:r>
        <w:rPr>
          <w:b w:val="false"/>
          <w:bCs w:val="false"/>
        </w:rPr>
        <w:t xml:space="preserve">, extending §3.2.4's surfaces.</w:t>
      </w:r>
    </w:p>
    <w:p>
      <w:pPr>
        <w:pStyle w:val="ListParagraph"/>
        <w:numPr>
          <w:ilvl w:val="0"/>
          <w:numId w:val="2"/>
        </w:numPr>
        <w:spacing w:after="80" w:line="276"/>
      </w:pPr>
      <w:r>
        <w:rPr>
          <w:b/>
          <w:bCs/>
        </w:rPr>
        <w:t xml:space="preserve">HealthKit write-back</w:t>
      </w:r>
      <w:r>
        <w:rPr>
          <w:b w:val="false"/>
          <w:bCs w:val="false"/>
        </w:rPr>
        <w:t xml:space="preserve"> so logged events are visible to other Apple Health apps.</w:t>
      </w:r>
    </w:p>
    <w:p>
      <w:pPr>
        <w:pStyle w:val="ListParagraph"/>
        <w:numPr>
          <w:ilvl w:val="0"/>
          <w:numId w:val="2"/>
        </w:numPr>
        <w:spacing w:after="80" w:line="276"/>
      </w:pPr>
      <w:r>
        <w:rPr>
          <w:b/>
          <w:bCs/>
        </w:rPr>
        <w:t xml:space="preserve">iCloud sync</w:t>
      </w:r>
      <w:r>
        <w:rPr>
          <w:b w:val="false"/>
          <w:bCs w:val="false"/>
        </w:rPr>
        <w:t xml:space="preserve"> of logged events across the user's own devices, via CloudKit private database (see §4.3 for the schema constraints this imposes from day one).</w:t>
      </w:r>
    </w:p>
    <w:p>
      <w:pPr>
        <w:pStyle w:val="ListParagraph"/>
        <w:numPr>
          <w:ilvl w:val="0"/>
          <w:numId w:val="2"/>
        </w:numPr>
        <w:spacing w:after="80" w:line="276"/>
      </w:pPr>
      <w:r>
        <w:rPr>
          <w:b/>
          <w:bCs/>
        </w:rPr>
        <w:t xml:space="preserve">Full Apple Watch app</w:t>
      </w:r>
      <w:r>
        <w:rPr>
          <w:b w:val="false"/>
          <w:bCs w:val="false"/>
        </w:rPr>
        <w:t xml:space="preserve"> beyond the complication — historical chart and logging on-wrist.</w:t>
      </w:r>
    </w:p>
    <w:p>
      <w:pPr>
        <w:pBdr>
          <w:left w:val="single" w:color="BFD3E6" w:sz="12" w:space="8"/>
        </w:pBdr>
        <w:spacing w:after="160" w:line="260"/>
        <w:ind w:left="180"/>
      </w:pPr>
      <w:r>
        <w:rPr>
          <w:b w:val="false"/>
          <w:bCs w:val="false"/>
          <w:i/>
          <w:iCs/>
          <w:color w:val="595959"/>
          <w:sz w:val="20"/>
          <w:szCs w:val="20"/>
        </w:rPr>
        <w:t xml:space="preserve">Changed in v1.2: Watch complication, widgets for logging, Siri, and the food database moved to v2 (§3.2.4, §3.2.5). What remains here is genuinely stretch.</w:t>
      </w:r>
    </w:p>
    <w:p>
      <w:pPr>
        <w:pStyle w:val="Heading1"/>
        <w:spacing w:after="160" w:before="360"/>
      </w:pPr>
      <w:r>
        <w:rPr>
          <w:b w:val="false"/>
          <w:bCs w:val="false"/>
        </w:rPr>
        <w:t xml:space="preserve">4. Technical Architecture</w:t>
      </w:r>
    </w:p>
    <w:p>
      <w:pPr>
        <w:pStyle w:val="Heading2"/>
        <w:spacing w:after="140" w:before="280"/>
      </w:pPr>
      <w:r>
        <w:rPr>
          <w:b w:val="false"/>
          <w:bCs w:val="false"/>
        </w:rPr>
        <w:t xml:space="preserve">4.1 Stack</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600"/>
        <w:gridCol w:w="2300"/>
        <w:gridCol w:w="5460"/>
      </w:tblGrid>
      <w:tr>
        <w:trPr>
          <w:tblHeader/>
        </w:trPr>
        <w:tc>
          <w:tcPr>
            <w:tcW w:type="dxa" w:w="1600"/>
            <w:shd w:fill="DEEAF6" w:color="auto" w:val="clear"/>
            <w:tcMar>
              <w:top w:type="dxa" w:w="60"/>
              <w:left w:type="dxa" w:w="100"/>
              <w:bottom w:type="dxa" w:w="60"/>
              <w:right w:type="dxa" w:w="100"/>
            </w:tcMar>
          </w:tcPr>
          <w:p>
            <w:pPr>
              <w:spacing w:after="0" w:line="250"/>
            </w:pPr>
            <w:r>
              <w:rPr>
                <w:b/>
                <w:bCs/>
                <w:sz w:val="20"/>
                <w:szCs w:val="20"/>
              </w:rPr>
              <w:t xml:space="preserve">Layer</w:t>
            </w:r>
          </w:p>
        </w:tc>
        <w:tc>
          <w:tcPr>
            <w:tcW w:type="dxa" w:w="2300"/>
            <w:shd w:fill="DEEAF6" w:color="auto" w:val="clear"/>
            <w:tcMar>
              <w:top w:type="dxa" w:w="60"/>
              <w:left w:type="dxa" w:w="100"/>
              <w:bottom w:type="dxa" w:w="60"/>
              <w:right w:type="dxa" w:w="100"/>
            </w:tcMar>
          </w:tcPr>
          <w:p>
            <w:pPr>
              <w:spacing w:after="0" w:line="250"/>
            </w:pPr>
            <w:r>
              <w:rPr>
                <w:b/>
                <w:bCs/>
                <w:sz w:val="20"/>
                <w:szCs w:val="20"/>
              </w:rPr>
              <w:t xml:space="preserve">Choice</w:t>
            </w:r>
          </w:p>
        </w:tc>
        <w:tc>
          <w:tcPr>
            <w:tcW w:type="dxa" w:w="5460"/>
            <w:shd w:fill="DEEAF6" w:color="auto" w:val="clear"/>
            <w:tcMar>
              <w:top w:type="dxa" w:w="60"/>
              <w:left w:type="dxa" w:w="100"/>
              <w:bottom w:type="dxa" w:w="60"/>
              <w:right w:type="dxa" w:w="100"/>
            </w:tcMar>
          </w:tcPr>
          <w:p>
            <w:pPr>
              <w:spacing w:after="0" w:line="250"/>
            </w:pPr>
            <w:r>
              <w:rPr>
                <w:b/>
                <w:bCs/>
                <w:sz w:val="20"/>
                <w:szCs w:val="20"/>
              </w:rPr>
              <w:t xml:space="preserve">Rationale</w:t>
            </w:r>
          </w:p>
        </w:tc>
      </w:tr>
      <w:tr>
        <w:tc>
          <w:tcPr>
            <w:tcW w:type="dxa" w:w="1600"/>
            <w:tcMar>
              <w:top w:type="dxa" w:w="60"/>
              <w:left w:type="dxa" w:w="100"/>
              <w:bottom w:type="dxa" w:w="60"/>
              <w:right w:type="dxa" w:w="100"/>
            </w:tcMar>
          </w:tcPr>
          <w:p>
            <w:pPr>
              <w:spacing w:after="0" w:line="250"/>
            </w:pPr>
            <w:r>
              <w:rPr>
                <w:b w:val="false"/>
                <w:bCs w:val="false"/>
                <w:sz w:val="20"/>
                <w:szCs w:val="20"/>
              </w:rPr>
              <w:t xml:space="preserve">Language</w:t>
            </w:r>
          </w:p>
        </w:tc>
        <w:tc>
          <w:tcPr>
            <w:tcW w:type="dxa" w:w="2300"/>
            <w:tcMar>
              <w:top w:type="dxa" w:w="60"/>
              <w:left w:type="dxa" w:w="100"/>
              <w:bottom w:type="dxa" w:w="60"/>
              <w:right w:type="dxa" w:w="100"/>
            </w:tcMar>
          </w:tcPr>
          <w:p>
            <w:pPr>
              <w:spacing w:after="0" w:line="250"/>
            </w:pPr>
            <w:r>
              <w:rPr>
                <w:b w:val="false"/>
                <w:bCs w:val="false"/>
                <w:sz w:val="20"/>
                <w:szCs w:val="20"/>
              </w:rPr>
              <w:t xml:space="preserve">Swift 6</w:t>
            </w:r>
          </w:p>
        </w:tc>
        <w:tc>
          <w:tcPr>
            <w:tcW w:type="dxa" w:w="5460"/>
            <w:tcMar>
              <w:top w:type="dxa" w:w="60"/>
              <w:left w:type="dxa" w:w="100"/>
              <w:bottom w:type="dxa" w:w="60"/>
              <w:right w:type="dxa" w:w="100"/>
            </w:tcMar>
          </w:tcPr>
          <w:p>
            <w:pPr>
              <w:spacing w:after="0" w:line="250"/>
            </w:pPr>
            <w:r>
              <w:rPr>
                <w:b w:val="false"/>
                <w:bCs w:val="false"/>
                <w:sz w:val="20"/>
                <w:szCs w:val="20"/>
              </w:rPr>
              <w:t xml:space="preserve">Xcode 26 defaults new projects to MainActor isolation; pure value types must be marked </w:t>
            </w:r>
            <w:r>
              <w:rPr>
                <w:rFonts w:ascii="Consolas" w:cs="Consolas" w:eastAsia="Consolas" w:hAnsi="Consolas"/>
                <w:b w:val="false"/>
                <w:bCs w:val="false"/>
                <w:sz w:val="19"/>
                <w:szCs w:val="19"/>
              </w:rPr>
              <w:t xml:space="preserve">nonisolated</w:t>
            </w:r>
            <w:r>
              <w:rPr>
                <w:b w:val="false"/>
                <w:bCs w:val="false"/>
                <w:sz w:val="20"/>
                <w:szCs w:val="20"/>
              </w:rPr>
              <w:t xml:space="preserve"> to be usable from URLSession and CoreBluetooth callbacks.</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UI</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SwiftUI</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Adaptive theming, and later widgets and Live Activities.</w:t>
            </w:r>
          </w:p>
        </w:tc>
      </w:tr>
      <w:tr>
        <w:tc>
          <w:tcPr>
            <w:tcW w:type="dxa" w:w="1600"/>
            <w:tcMar>
              <w:top w:type="dxa" w:w="60"/>
              <w:left w:type="dxa" w:w="100"/>
              <w:bottom w:type="dxa" w:w="60"/>
              <w:right w:type="dxa" w:w="100"/>
            </w:tcMar>
          </w:tcPr>
          <w:p>
            <w:pPr>
              <w:spacing w:after="0" w:line="250"/>
            </w:pPr>
            <w:r>
              <w:rPr>
                <w:b w:val="false"/>
                <w:bCs w:val="false"/>
                <w:sz w:val="20"/>
                <w:szCs w:val="20"/>
              </w:rPr>
              <w:t xml:space="preserve">Min iOS</w:t>
            </w:r>
          </w:p>
        </w:tc>
        <w:tc>
          <w:tcPr>
            <w:tcW w:type="dxa" w:w="2300"/>
            <w:tcMar>
              <w:top w:type="dxa" w:w="60"/>
              <w:left w:type="dxa" w:w="100"/>
              <w:bottom w:type="dxa" w:w="60"/>
              <w:right w:type="dxa" w:w="100"/>
            </w:tcMar>
          </w:tcPr>
          <w:p>
            <w:pPr>
              <w:spacing w:after="0" w:line="250"/>
            </w:pPr>
            <w:r>
              <w:rPr>
                <w:b w:val="false"/>
                <w:bCs w:val="false"/>
                <w:sz w:val="20"/>
                <w:szCs w:val="20"/>
              </w:rPr>
              <w:t xml:space="preserve">26.5</w:t>
            </w:r>
          </w:p>
        </w:tc>
        <w:tc>
          <w:tcPr>
            <w:tcW w:type="dxa" w:w="5460"/>
            <w:tcMar>
              <w:top w:type="dxa" w:w="60"/>
              <w:left w:type="dxa" w:w="100"/>
              <w:bottom w:type="dxa" w:w="60"/>
              <w:right w:type="dxa" w:w="100"/>
            </w:tcMar>
          </w:tcPr>
          <w:p>
            <w:pPr>
              <w:spacing w:after="0" w:line="250"/>
            </w:pPr>
            <w:r>
              <w:rPr>
                <w:b w:val="false"/>
                <w:bCs w:val="false"/>
                <w:sz w:val="20"/>
                <w:szCs w:val="20"/>
              </w:rPr>
              <w:t xml:space="preserve">One user, one phone — no backward-compatibility burden.</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Live data</w:t>
            </w:r>
          </w:p>
        </w:tc>
        <w:tc>
          <w:tcPr>
            <w:tcW w:type="dxa" w:w="2300"/>
            <w:shd w:fill="F5F8FC" w:color="auto" w:val="clear"/>
            <w:tcMar>
              <w:top w:type="dxa" w:w="60"/>
              <w:left w:type="dxa" w:w="100"/>
              <w:bottom w:type="dxa" w:w="60"/>
              <w:right w:type="dxa" w:w="100"/>
            </w:tcMar>
          </w:tcPr>
          <w:p>
            <w:pPr>
              <w:spacing w:after="0" w:line="250"/>
            </w:pPr>
            <w:r>
              <w:rPr>
                <w:b/>
                <w:bCs/>
                <w:sz w:val="20"/>
                <w:szCs w:val="20"/>
              </w:rPr>
              <w:t xml:space="preserve">Dexcom Share over URLSession</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Changed in v1.4. Direct BLE was implemented and empirically ruled out (§4.2.1).</w:t>
            </w:r>
          </w:p>
        </w:tc>
      </w:tr>
      <w:tr>
        <w:tc>
          <w:tcPr>
            <w:tcW w:type="dxa" w:w="1600"/>
            <w:tcMar>
              <w:top w:type="dxa" w:w="60"/>
              <w:left w:type="dxa" w:w="100"/>
              <w:bottom w:type="dxa" w:w="60"/>
              <w:right w:type="dxa" w:w="100"/>
            </w:tcMar>
          </w:tcPr>
          <w:p>
            <w:pPr>
              <w:spacing w:after="0" w:line="250"/>
            </w:pPr>
            <w:r>
              <w:rPr>
                <w:b w:val="false"/>
                <w:bCs w:val="false"/>
                <w:sz w:val="20"/>
                <w:szCs w:val="20"/>
              </w:rPr>
              <w:t xml:space="preserve">History</w:t>
            </w:r>
          </w:p>
        </w:tc>
        <w:tc>
          <w:tcPr>
            <w:tcW w:type="dxa" w:w="2300"/>
            <w:tcMar>
              <w:top w:type="dxa" w:w="60"/>
              <w:left w:type="dxa" w:w="100"/>
              <w:bottom w:type="dxa" w:w="60"/>
              <w:right w:type="dxa" w:w="100"/>
            </w:tcMar>
          </w:tcPr>
          <w:p>
            <w:pPr>
              <w:spacing w:after="0" w:line="250"/>
            </w:pPr>
            <w:r>
              <w:rPr>
                <w:b w:val="false"/>
                <w:bCs w:val="false"/>
                <w:sz w:val="20"/>
                <w:szCs w:val="20"/>
              </w:rPr>
              <w:t xml:space="preserve">HealthKit anchored queries</w:t>
            </w:r>
          </w:p>
        </w:tc>
        <w:tc>
          <w:tcPr>
            <w:tcW w:type="dxa" w:w="5460"/>
            <w:tcMar>
              <w:top w:type="dxa" w:w="60"/>
              <w:left w:type="dxa" w:w="100"/>
              <w:bottom w:type="dxa" w:w="60"/>
              <w:right w:type="dxa" w:w="100"/>
            </w:tcMar>
          </w:tcPr>
          <w:p>
            <w:pPr>
              <w:spacing w:after="0" w:line="250"/>
            </w:pPr>
            <w:r>
              <w:rPr>
                <w:b w:val="false"/>
                <w:bCs w:val="false"/>
                <w:sz w:val="20"/>
                <w:szCs w:val="20"/>
              </w:rPr>
              <w:t xml:space="preserve">90-day backfill. Three-hour delay, so backfill only.</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Persistence</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SwiftData</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Versioned migrations; CloudKit-ready subject to §4.3's constraints.</w:t>
            </w:r>
          </w:p>
        </w:tc>
      </w:tr>
      <w:tr>
        <w:tc>
          <w:tcPr>
            <w:tcW w:type="dxa" w:w="1600"/>
            <w:tcMar>
              <w:top w:type="dxa" w:w="60"/>
              <w:left w:type="dxa" w:w="100"/>
              <w:bottom w:type="dxa" w:w="60"/>
              <w:right w:type="dxa" w:w="100"/>
            </w:tcMar>
          </w:tcPr>
          <w:p>
            <w:pPr>
              <w:spacing w:after="0" w:line="250"/>
            </w:pPr>
            <w:r>
              <w:rPr>
                <w:b w:val="false"/>
                <w:bCs w:val="false"/>
                <w:sz w:val="20"/>
                <w:szCs w:val="20"/>
              </w:rPr>
              <w:t xml:space="preserve">Charts</w:t>
            </w:r>
          </w:p>
        </w:tc>
        <w:tc>
          <w:tcPr>
            <w:tcW w:type="dxa" w:w="2300"/>
            <w:tcMar>
              <w:top w:type="dxa" w:w="60"/>
              <w:left w:type="dxa" w:w="100"/>
              <w:bottom w:type="dxa" w:w="60"/>
              <w:right w:type="dxa" w:w="100"/>
            </w:tcMar>
          </w:tcPr>
          <w:p>
            <w:pPr>
              <w:spacing w:after="0" w:line="250"/>
            </w:pPr>
            <w:r>
              <w:rPr>
                <w:b w:val="false"/>
                <w:bCs w:val="false"/>
                <w:sz w:val="20"/>
                <w:szCs w:val="20"/>
              </w:rPr>
              <w:t xml:space="preserve">Swift Charts (Apple)</w:t>
            </w:r>
          </w:p>
        </w:tc>
        <w:tc>
          <w:tcPr>
            <w:tcW w:type="dxa" w:w="5460"/>
            <w:tcMar>
              <w:top w:type="dxa" w:w="60"/>
              <w:left w:type="dxa" w:w="100"/>
              <w:bottom w:type="dxa" w:w="60"/>
              <w:right w:type="dxa" w:w="100"/>
            </w:tcMar>
          </w:tcPr>
          <w:p>
            <w:pPr>
              <w:spacing w:after="0" w:line="250"/>
            </w:pPr>
            <w:r>
              <w:rPr>
                <w:b w:val="false"/>
                <w:bCs w:val="false"/>
                <w:sz w:val="20"/>
                <w:szCs w:val="20"/>
              </w:rPr>
              <w:t xml:space="preserve">Requires downsampling above ~2,000 points (§4.5).</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Secrets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Keychain Services</w:t>
            </w:r>
          </w:p>
        </w:tc>
        <w:tc>
          <w:tcPr>
            <w:tcW w:type="dxa" w:w="5460"/>
            <w:shd w:fill="F5F8FC" w:color="auto" w:val="clear"/>
            <w:tcMar>
              <w:top w:type="dxa" w:w="60"/>
              <w:left w:type="dxa" w:w="100"/>
              <w:bottom w:type="dxa" w:w="60"/>
              <w:right w:type="dxa" w:w="100"/>
            </w:tcMar>
          </w:tcPr>
          <w:p>
            <w:pPr>
              <w:spacing w:after="0" w:line="250"/>
            </w:pPr>
            <w:r>
              <w:rPr>
                <w:rFonts w:ascii="Consolas" w:cs="Consolas" w:eastAsia="Consolas" w:hAnsi="Consolas"/>
                <w:b w:val="false"/>
                <w:bCs w:val="false"/>
                <w:sz w:val="19"/>
                <w:szCs w:val="19"/>
              </w:rPr>
              <w:t xml:space="preserve">kSecAttrAccessibleAfterFirstUnlockThisDeviceOnly</w:t>
            </w:r>
            <w:r>
              <w:rPr>
                <w:b w:val="false"/>
                <w:bCs w:val="false"/>
                <w:sz w:val="20"/>
                <w:szCs w:val="20"/>
              </w:rPr>
              <w:t xml:space="preserve"> — </w:t>
            </w:r>
            <w:r>
              <w:rPr>
                <w:rFonts w:ascii="Consolas" w:cs="Consolas" w:eastAsia="Consolas" w:hAnsi="Consolas"/>
                <w:b w:val="false"/>
                <w:bCs w:val="false"/>
                <w:sz w:val="19"/>
                <w:szCs w:val="19"/>
              </w:rPr>
              <w:t xml:space="preserve">WhenUnlocked</w:t>
            </w:r>
            <w:r>
              <w:rPr>
                <w:b w:val="false"/>
                <w:bCs w:val="false"/>
                <w:sz w:val="20"/>
                <w:szCs w:val="20"/>
              </w:rPr>
              <w:t xml:space="preserve"> would break polling while the phone is locked.</w:t>
            </w:r>
          </w:p>
        </w:tc>
      </w:tr>
      <w:tr>
        <w:tc>
          <w:tcPr>
            <w:tcW w:type="dxa" w:w="1600"/>
            <w:tcMar>
              <w:top w:type="dxa" w:w="60"/>
              <w:left w:type="dxa" w:w="100"/>
              <w:bottom w:type="dxa" w:w="60"/>
              <w:right w:type="dxa" w:w="100"/>
            </w:tcMar>
          </w:tcPr>
          <w:p>
            <w:pPr>
              <w:spacing w:after="0" w:line="250"/>
            </w:pPr>
            <w:r>
              <w:rPr>
                <w:b w:val="false"/>
                <w:bCs w:val="false"/>
                <w:sz w:val="20"/>
                <w:szCs w:val="20"/>
              </w:rPr>
              <w:t xml:space="preserve">Background</w:t>
            </w:r>
          </w:p>
        </w:tc>
        <w:tc>
          <w:tcPr>
            <w:tcW w:type="dxa" w:w="2300"/>
            <w:tcMar>
              <w:top w:type="dxa" w:w="60"/>
              <w:left w:type="dxa" w:w="100"/>
              <w:bottom w:type="dxa" w:w="60"/>
              <w:right w:type="dxa" w:w="100"/>
            </w:tcMar>
          </w:tcPr>
          <w:p>
            <w:pPr>
              <w:spacing w:after="0" w:line="250"/>
            </w:pPr>
            <w:r>
              <w:rPr>
                <w:b w:val="false"/>
                <w:bCs w:val="false"/>
                <w:sz w:val="20"/>
                <w:szCs w:val="20"/>
              </w:rPr>
              <w:t xml:space="preserve">BGAppRefreshTask (opportunistic)</w:t>
            </w:r>
          </w:p>
        </w:tc>
        <w:tc>
          <w:tcPr>
            <w:tcW w:type="dxa" w:w="5460"/>
            <w:tcMar>
              <w:top w:type="dxa" w:w="60"/>
              <w:left w:type="dxa" w:w="100"/>
              <w:bottom w:type="dxa" w:w="60"/>
              <w:right w:type="dxa" w:w="100"/>
            </w:tcMar>
          </w:tcPr>
          <w:p>
            <w:pPr>
              <w:spacing w:after="0" w:line="250"/>
            </w:pPr>
            <w:r>
              <w:rPr>
                <w:b w:val="false"/>
                <w:bCs w:val="false"/>
                <w:sz w:val="20"/>
                <w:szCs w:val="20"/>
              </w:rPr>
              <w:t xml:space="preserve">Changed in v1.4. With BLE ruled out there is no push wake mechanism; background freshness is now best-effort and must not be relied upon (§4.2.1).</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Entitlements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HealthKit; App Groups (v2, paid)</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v1 is buildable on a free personal team (§6.1).</w:t>
            </w:r>
          </w:p>
        </w:tc>
      </w:tr>
      <w:tr>
        <w:tc>
          <w:tcPr>
            <w:tcW w:type="dxa" w:w="1600"/>
            <w:tcMar>
              <w:top w:type="dxa" w:w="60"/>
              <w:left w:type="dxa" w:w="100"/>
              <w:bottom w:type="dxa" w:w="60"/>
              <w:right w:type="dxa" w:w="100"/>
            </w:tcMar>
          </w:tcPr>
          <w:p>
            <w:pPr>
              <w:spacing w:after="0" w:line="250"/>
            </w:pPr>
            <w:r>
              <w:rPr>
                <w:b w:val="false"/>
                <w:bCs w:val="false"/>
                <w:sz w:val="20"/>
                <w:szCs w:val="20"/>
              </w:rPr>
              <w:t xml:space="preserve">Testing</w:t>
            </w:r>
          </w:p>
        </w:tc>
        <w:tc>
          <w:tcPr>
            <w:tcW w:type="dxa" w:w="2300"/>
            <w:tcMar>
              <w:top w:type="dxa" w:w="60"/>
              <w:left w:type="dxa" w:w="100"/>
              <w:bottom w:type="dxa" w:w="60"/>
              <w:right w:type="dxa" w:w="100"/>
            </w:tcMar>
          </w:tcPr>
          <w:p>
            <w:pPr>
              <w:spacing w:after="0" w:line="250"/>
            </w:pPr>
            <w:r>
              <w:rPr>
                <w:b w:val="false"/>
                <w:bCs w:val="false"/>
                <w:sz w:val="20"/>
                <w:szCs w:val="20"/>
              </w:rPr>
              <w:t xml:space="preserve">Swift Testing</w:t>
            </w:r>
          </w:p>
        </w:tc>
        <w:tc>
          <w:tcPr>
            <w:tcW w:type="dxa" w:w="5460"/>
            <w:tcMar>
              <w:top w:type="dxa" w:w="60"/>
              <w:left w:type="dxa" w:w="100"/>
              <w:bottom w:type="dxa" w:w="60"/>
              <w:right w:type="dxa" w:w="100"/>
            </w:tcMar>
          </w:tcPr>
          <w:p>
            <w:pPr>
              <w:spacing w:after="0" w:line="250"/>
            </w:pPr>
            <w:r>
              <w:rPr>
                <w:b w:val="false"/>
                <w:bCs w:val="false"/>
                <w:sz w:val="20"/>
                <w:szCs w:val="20"/>
              </w:rPr>
              <w:t xml:space="preserve">35 tests covering Share parsing, unit conversion, and error classification.</w:t>
            </w:r>
          </w:p>
        </w:tc>
      </w:tr>
    </w:tbl>
    <w:p>
      <w:pPr>
        <w:pStyle w:val="Heading2"/>
        <w:spacing w:after="140" w:before="280"/>
      </w:pPr>
      <w:r>
        <w:rPr>
          <w:b w:val="false"/>
          <w:bCs w:val="false"/>
        </w:rPr>
        <w:t xml:space="preserve">4.2 Data Source Layer</w:t>
      </w:r>
    </w:p>
    <w:p>
      <w:pPr>
        <w:pStyle w:val="Heading3"/>
        <w:spacing w:after="120" w:before="220"/>
      </w:pPr>
      <w:r>
        <w:rPr>
          <w:b w:val="false"/>
          <w:bCs w:val="false"/>
        </w:rPr>
        <w:t xml:space="preserve">4.2.1 Background Refresh — and its limits</w:t>
      </w:r>
    </w:p>
    <w:p>
      <w:pPr>
        <w:pBdr>
          <w:left w:val="single" w:color="BFD3E6" w:sz="12" w:space="8"/>
        </w:pBdr>
        <w:spacing w:after="160" w:line="260"/>
        <w:ind w:left="180"/>
      </w:pPr>
      <w:r>
        <w:rPr>
          <w:b w:val="false"/>
          <w:bCs w:val="false"/>
          <w:i/>
          <w:iCs/>
          <w:color w:val="595959"/>
          <w:sz w:val="20"/>
          <w:szCs w:val="20"/>
        </w:rPr>
        <w:t xml:space="preserve">Rewritten in v1.4. Both prior designs are dead: v1.1's BGAppRefreshTask assumption was wrong, v1.2's HealthKit background delivery is three hours stale, and v1.3's CoreBluetooth restoration depended on a BLE path that does not work.</w:t>
      </w:r>
    </w:p>
    <w:p>
      <w:pPr>
        <w:spacing w:after="120" w:line="276"/>
      </w:pPr>
      <w:r>
        <w:rPr>
          <w:b/>
          <w:bCs/>
        </w:rPr>
        <w:t xml:space="preserve">GlucoNoir has no reliable background wake mechanism.</w:t>
      </w:r>
      <w:r>
        <w:rPr>
          <w:b w:val="false"/>
          <w:bCs w:val="false"/>
        </w:rPr>
        <w:t xml:space="preserve"> This should be stated plainly rather than engineered around:</w:t>
      </w:r>
    </w:p>
    <w:p>
      <w:pPr>
        <w:pStyle w:val="ListParagraph"/>
        <w:numPr>
          <w:ilvl w:val="0"/>
          <w:numId w:val="2"/>
        </w:numPr>
        <w:spacing w:after="80" w:line="276"/>
      </w:pPr>
      <w:r>
        <w:rPr>
          <w:rFonts w:ascii="Consolas" w:cs="Consolas" w:eastAsia="Consolas" w:hAnsi="Consolas"/>
          <w:b w:val="false"/>
          <w:bCs w:val="false"/>
          <w:sz w:val="19"/>
          <w:szCs w:val="19"/>
        </w:rPr>
        <w:t xml:space="preserve">BGAppRefreshTask</w:t>
      </w:r>
      <w:r>
        <w:rPr>
          <w:b w:val="false"/>
          <w:bCs w:val="false"/>
        </w:rPr>
        <w:t xml:space="preserve"> schedules at the system's discretion. </w:t>
      </w:r>
      <w:r>
        <w:rPr>
          <w:rFonts w:ascii="Consolas" w:cs="Consolas" w:eastAsia="Consolas" w:hAnsi="Consolas"/>
          <w:b w:val="false"/>
          <w:bCs w:val="false"/>
          <w:sz w:val="19"/>
          <w:szCs w:val="19"/>
        </w:rPr>
        <w:t xml:space="preserve">earliestBeginDate</w:t>
      </w:r>
      <w:r>
        <w:rPr>
          <w:b w:val="false"/>
          <w:bCs w:val="false"/>
        </w:rPr>
        <w:t xml:space="preserve"> is a floor, not a schedule, and the task is least likely to run overnight when the app has been idle for hours.</w:t>
      </w:r>
    </w:p>
    <w:p>
      <w:pPr>
        <w:pStyle w:val="ListParagraph"/>
        <w:numPr>
          <w:ilvl w:val="0"/>
          <w:numId w:val="2"/>
        </w:numPr>
        <w:spacing w:after="80" w:line="276"/>
      </w:pPr>
      <w:r>
        <w:rPr>
          <w:b w:val="false"/>
          <w:bCs w:val="false"/>
        </w:rPr>
        <w:t xml:space="preserve">HealthKit background delivery would fire reliably but carries three-hour-old data.</w:t>
      </w:r>
    </w:p>
    <w:p>
      <w:pPr>
        <w:pStyle w:val="ListParagraph"/>
        <w:numPr>
          <w:ilvl w:val="0"/>
          <w:numId w:val="2"/>
        </w:numPr>
        <w:spacing w:after="80" w:line="276"/>
      </w:pPr>
      <w:r>
        <w:rPr>
          <w:b w:val="false"/>
          <w:bCs w:val="false"/>
        </w:rPr>
        <w:t xml:space="preserve">CoreBluetooth restoration is unavailable, since the sensor will not stream to this app at all.</w:t>
      </w:r>
    </w:p>
    <w:p>
      <w:pPr>
        <w:spacing w:after="120" w:line="276"/>
      </w:pPr>
      <w:r>
        <w:rPr>
          <w:b/>
          <w:bCs/>
        </w:rPr>
        <w:t xml:space="preserve">Consequence:</w:t>
      </w:r>
      <w:r>
        <w:rPr>
          <w:b w:val="false"/>
          <w:bCs w:val="false"/>
        </w:rPr>
        <w:t xml:space="preserve"> freshness is a foreground property. Opening the app triggers an immediate poll and produces a current reading within a second or two. In the background the app polls while it remains alive, and stops when the system suspends it. A value seen on opening the app is trustworthy; the app being open in the background is not a guarantee of anything.</w:t>
      </w:r>
    </w:p>
    <w:p>
      <w:pPr>
        <w:spacing w:after="120" w:line="276"/>
      </w:pPr>
      <w:r>
        <w:rPr>
          <w:b w:val="false"/>
          <w:bCs w:val="false"/>
        </w:rPr>
        <w:t xml:space="preserve">This is precisely why alarms remain with the official Dexcom app (§1.3), and why Phase 9's Live Activity is a convenience rather than a monitoring surface.</w:t>
      </w:r>
    </w:p>
    <w:p>
      <w:pPr>
        <w:pStyle w:val="Heading3"/>
        <w:spacing w:after="120" w:before="220"/>
      </w:pPr>
      <w:r>
        <w:rPr>
          <w:b w:val="false"/>
          <w:bCs w:val="false"/>
        </w:rPr>
        <w:t xml:space="preserve">4.2.2 ShareMonitor</w:t>
      </w:r>
    </w:p>
    <w:p>
      <w:pPr>
        <w:pStyle w:val="ListParagraph"/>
        <w:numPr>
          <w:ilvl w:val="0"/>
          <w:numId w:val="2"/>
        </w:numPr>
        <w:spacing w:after="80" w:line="276"/>
      </w:pPr>
      <w:r>
        <w:rPr>
          <w:b w:val="false"/>
          <w:bCs w:val="false"/>
        </w:rPr>
        <w:t xml:space="preserve">Owns polling and publishes the state the UI observes.</w:t>
      </w:r>
    </w:p>
    <w:p>
      <w:pPr>
        <w:pStyle w:val="ListParagraph"/>
        <w:numPr>
          <w:ilvl w:val="0"/>
          <w:numId w:val="2"/>
        </w:numPr>
        <w:spacing w:after="80" w:line="276"/>
      </w:pPr>
      <w:r>
        <w:rPr>
          <w:b/>
          <w:bCs/>
        </w:rPr>
        <w:t xml:space="preserve">Cadence anchored to the sensor</w:t>
      </w:r>
      <w:r>
        <w:rPr>
          <w:b w:val="false"/>
          <w:bCs w:val="false"/>
        </w:rPr>
        <w:t xml:space="preserve">, not a fixed timer: after a reading timestamped T, the next poll is scheduled at T + 5min + 25s. Blind interval polling would either waste requests or systematically miss readings by up to a full cycle.</w:t>
      </w:r>
    </w:p>
    <w:p>
      <w:pPr>
        <w:pStyle w:val="ListParagraph"/>
        <w:numPr>
          <w:ilvl w:val="0"/>
          <w:numId w:val="2"/>
        </w:numPr>
        <w:spacing w:after="80" w:line="276"/>
      </w:pPr>
      <w:r>
        <w:rPr>
          <w:b/>
          <w:bCs/>
        </w:rPr>
        <w:t xml:space="preserve">Immediate poll on </w:t>
      </w:r>
      <w:r>
        <w:rPr>
          <w:rFonts w:ascii="Consolas" w:cs="Consolas" w:eastAsia="Consolas" w:hAnsi="Consolas"/>
          <w:b/>
          <w:bCs/>
          <w:sz w:val="19"/>
          <w:szCs w:val="19"/>
        </w:rPr>
        <w:t xml:space="preserve">scenePhase == .active</w:t>
      </w:r>
      <w:r>
        <w:rPr>
          <w:b/>
          <w:bCs/>
        </w:rPr>
        <w:t xml:space="preserve">.</w:t>
      </w:r>
      <w:r>
        <w:rPr>
          <w:b w:val="false"/>
          <w:bCs w:val="false"/>
        </w:rPr>
        <w:t xml:space="preserve"> The dominant use case is a glance, and a glance must fetch.</w:t>
      </w:r>
    </w:p>
    <w:p>
      <w:pPr>
        <w:pStyle w:val="ListParagraph"/>
        <w:numPr>
          <w:ilvl w:val="0"/>
          <w:numId w:val="2"/>
        </w:numPr>
        <w:spacing w:after="80" w:line="276"/>
      </w:pPr>
      <w:r>
        <w:rPr>
          <w:b/>
          <w:bCs/>
        </w:rPr>
        <w:t xml:space="preserve">Backoff on transient failure only:</w:t>
      </w:r>
      <w:r>
        <w:rPr>
          <w:b w:val="false"/>
          <w:bCs w:val="false"/>
        </w:rPr>
        <w:t xml:space="preserve"> 30s, 60s, 120s, 300s. Terminal failures stop polling entirely.</w:t>
      </w:r>
    </w:p>
    <w:p>
      <w:pPr>
        <w:pStyle w:val="ListParagraph"/>
        <w:numPr>
          <w:ilvl w:val="0"/>
          <w:numId w:val="2"/>
        </w:numPr>
        <w:spacing w:after="80" w:line="276"/>
      </w:pPr>
      <w:r>
        <w:rPr>
          <w:b w:val="false"/>
          <w:bCs w:val="false"/>
        </w:rPr>
        <w:t xml:space="preserve">Requests a 180-minute / 36-reading window rather than a single value, so the 3-hour chart is populated by the same call that refreshes the hero number.</w:t>
      </w:r>
    </w:p>
    <w:p>
      <w:pPr>
        <w:pStyle w:val="Heading3"/>
        <w:spacing w:after="120" w:before="220"/>
      </w:pPr>
      <w:r>
        <w:rPr>
          <w:b w:val="false"/>
          <w:bCs w:val="false"/>
        </w:rPr>
        <w:t xml:space="preserve">4.2.3 DexcomShareClient</w:t>
      </w:r>
    </w:p>
    <w:p>
      <w:pPr>
        <w:spacing w:after="120" w:line="276"/>
      </w:pPr>
      <w:r>
        <w:rPr>
          <w:b w:val="false"/>
          <w:bCs w:val="false"/>
        </w:rPr>
        <w:t xml:space="preserve">An actor, so concurrent callers cannot trigger duplicate logins. Endpoints and constants verified against pydexcom, the maintained reference implementation.</w:t>
      </w:r>
    </w:p>
    <w:p>
      <w:pPr>
        <w:spacing w:after="100" w:before="180"/>
      </w:pPr>
      <w:r>
        <w:rPr>
          <w:b/>
          <w:bCs/>
          <w:color w:val="1F4D78"/>
        </w:rPr>
        <w:t xml:space="preserve">Authentication flow</w:t>
      </w:r>
    </w:p>
    <w:p>
      <w:pPr>
        <w:pStyle w:val="ListParagraph"/>
        <w:numPr>
          <w:ilvl w:val="0"/>
          <w:numId w:val="3"/>
        </w:numPr>
        <w:spacing w:after="80" w:line="276"/>
      </w:pPr>
      <w:r>
        <w:rPr>
          <w:rFonts w:ascii="Consolas" w:cs="Consolas" w:eastAsia="Consolas" w:hAnsi="Consolas"/>
          <w:b w:val="false"/>
          <w:bCs w:val="false"/>
          <w:sz w:val="19"/>
          <w:szCs w:val="19"/>
        </w:rPr>
        <w:t xml:space="preserve">POST General/AuthenticatePublisherAccount</w:t>
      </w:r>
      <w:r>
        <w:rPr>
          <w:b w:val="false"/>
          <w:bCs w:val="false"/>
        </w:rPr>
        <w:t xml:space="preserve"> with </w:t>
      </w:r>
      <w:r>
        <w:rPr>
          <w:rFonts w:ascii="Consolas" w:cs="Consolas" w:eastAsia="Consolas" w:hAnsi="Consolas"/>
          <w:b w:val="false"/>
          <w:bCs w:val="false"/>
          <w:sz w:val="19"/>
          <w:szCs w:val="19"/>
        </w:rPr>
        <w:t xml:space="preserve">accountName</w:t>
      </w:r>
      <w:r>
        <w:rPr>
          <w:b w:val="false"/>
          <w:bCs w:val="false"/>
        </w:rPr>
        <w:t xml:space="preserve">, </w:t>
      </w:r>
      <w:r>
        <w:rPr>
          <w:rFonts w:ascii="Consolas" w:cs="Consolas" w:eastAsia="Consolas" w:hAnsi="Consolas"/>
          <w:b w:val="false"/>
          <w:bCs w:val="false"/>
          <w:sz w:val="19"/>
          <w:szCs w:val="19"/>
        </w:rPr>
        <w:t xml:space="preserve">password</w:t>
      </w:r>
      <w:r>
        <w:rPr>
          <w:b w:val="false"/>
          <w:bCs w:val="false"/>
        </w:rPr>
        <w:t xml:space="preserve">, </w:t>
      </w:r>
      <w:r>
        <w:rPr>
          <w:rFonts w:ascii="Consolas" w:cs="Consolas" w:eastAsia="Consolas" w:hAnsi="Consolas"/>
          <w:b w:val="false"/>
          <w:bCs w:val="false"/>
          <w:sz w:val="19"/>
          <w:szCs w:val="19"/>
        </w:rPr>
        <w:t xml:space="preserve">applicationId</w:t>
      </w:r>
      <w:r>
        <w:rPr>
          <w:b w:val="false"/>
          <w:bCs w:val="false"/>
        </w:rPr>
        <w:t xml:space="preserve"> → account ID.</w:t>
      </w:r>
    </w:p>
    <w:p>
      <w:pPr>
        <w:pStyle w:val="ListParagraph"/>
        <w:numPr>
          <w:ilvl w:val="0"/>
          <w:numId w:val="3"/>
        </w:numPr>
        <w:spacing w:after="80" w:line="276"/>
      </w:pPr>
      <w:r>
        <w:rPr>
          <w:rFonts w:ascii="Consolas" w:cs="Consolas" w:eastAsia="Consolas" w:hAnsi="Consolas"/>
          <w:b w:val="false"/>
          <w:bCs w:val="false"/>
          <w:sz w:val="19"/>
          <w:szCs w:val="19"/>
        </w:rPr>
        <w:t xml:space="preserve">POST General/LoginPublisherAccountById</w:t>
      </w:r>
      <w:r>
        <w:rPr>
          <w:b w:val="false"/>
          <w:bCs w:val="false"/>
        </w:rPr>
        <w:t xml:space="preserve"> with </w:t>
      </w:r>
      <w:r>
        <w:rPr>
          <w:rFonts w:ascii="Consolas" w:cs="Consolas" w:eastAsia="Consolas" w:hAnsi="Consolas"/>
          <w:b w:val="false"/>
          <w:bCs w:val="false"/>
          <w:sz w:val="19"/>
          <w:szCs w:val="19"/>
        </w:rPr>
        <w:t xml:space="preserve">accountId</w:t>
      </w:r>
      <w:r>
        <w:rPr>
          <w:b w:val="false"/>
          <w:bCs w:val="false"/>
        </w:rPr>
        <w:t xml:space="preserve">, </w:t>
      </w:r>
      <w:r>
        <w:rPr>
          <w:rFonts w:ascii="Consolas" w:cs="Consolas" w:eastAsia="Consolas" w:hAnsi="Consolas"/>
          <w:b w:val="false"/>
          <w:bCs w:val="false"/>
          <w:sz w:val="19"/>
          <w:szCs w:val="19"/>
        </w:rPr>
        <w:t xml:space="preserve">password</w:t>
      </w:r>
      <w:r>
        <w:rPr>
          <w:b w:val="false"/>
          <w:bCs w:val="false"/>
        </w:rPr>
        <w:t xml:space="preserve">, </w:t>
      </w:r>
      <w:r>
        <w:rPr>
          <w:rFonts w:ascii="Consolas" w:cs="Consolas" w:eastAsia="Consolas" w:hAnsi="Consolas"/>
          <w:b w:val="false"/>
          <w:bCs w:val="false"/>
          <w:sz w:val="19"/>
          <w:szCs w:val="19"/>
        </w:rPr>
        <w:t xml:space="preserve">applicationId</w:t>
      </w:r>
      <w:r>
        <w:rPr>
          <w:b w:val="false"/>
          <w:bCs w:val="false"/>
        </w:rPr>
        <w:t xml:space="preserve"> → session ID.</w:t>
      </w:r>
    </w:p>
    <w:p>
      <w:pPr>
        <w:pStyle w:val="ListParagraph"/>
        <w:numPr>
          <w:ilvl w:val="0"/>
          <w:numId w:val="3"/>
        </w:numPr>
        <w:spacing w:after="80" w:line="276"/>
      </w:pPr>
      <w:r>
        <w:rPr>
          <w:rFonts w:ascii="Consolas" w:cs="Consolas" w:eastAsia="Consolas" w:hAnsi="Consolas"/>
          <w:b w:val="false"/>
          <w:bCs w:val="false"/>
          <w:sz w:val="19"/>
          <w:szCs w:val="19"/>
        </w:rPr>
        <w:t xml:space="preserve">POST Publisher/ReadPublisherLatestGlucoseValues</w:t>
      </w:r>
      <w:r>
        <w:rPr>
          <w:b w:val="false"/>
          <w:bCs w:val="false"/>
        </w:rPr>
        <w:t xml:space="preserve"> with </w:t>
      </w:r>
      <w:r>
        <w:rPr>
          <w:rFonts w:ascii="Consolas" w:cs="Consolas" w:eastAsia="Consolas" w:hAnsi="Consolas"/>
          <w:b w:val="false"/>
          <w:bCs w:val="false"/>
          <w:sz w:val="19"/>
          <w:szCs w:val="19"/>
        </w:rPr>
        <w:t xml:space="preserve">sessionId</w:t>
      </w:r>
      <w:r>
        <w:rPr>
          <w:b w:val="false"/>
          <w:bCs w:val="false"/>
        </w:rPr>
        <w:t xml:space="preserve">, </w:t>
      </w:r>
      <w:r>
        <w:rPr>
          <w:rFonts w:ascii="Consolas" w:cs="Consolas" w:eastAsia="Consolas" w:hAnsi="Consolas"/>
          <w:b w:val="false"/>
          <w:bCs w:val="false"/>
          <w:sz w:val="19"/>
          <w:szCs w:val="19"/>
        </w:rPr>
        <w:t xml:space="preserve">minutes</w:t>
      </w:r>
      <w:r>
        <w:rPr>
          <w:b w:val="false"/>
          <w:bCs w:val="false"/>
        </w:rPr>
        <w:t xml:space="preserve"> (≤1440), </w:t>
      </w:r>
      <w:r>
        <w:rPr>
          <w:rFonts w:ascii="Consolas" w:cs="Consolas" w:eastAsia="Consolas" w:hAnsi="Consolas"/>
          <w:b w:val="false"/>
          <w:bCs w:val="false"/>
          <w:sz w:val="19"/>
          <w:szCs w:val="19"/>
        </w:rPr>
        <w:t xml:space="preserve">maxCount</w:t>
      </w:r>
      <w:r>
        <w:rPr>
          <w:b w:val="false"/>
          <w:bCs w:val="false"/>
        </w:rPr>
        <w:t xml:space="preserve"> (≤288) as query parameters → readings.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500"/>
        <w:gridCol w:w="3000"/>
        <w:gridCol w:w="4860"/>
      </w:tblGrid>
      <w:tr>
        <w:trPr>
          <w:tblHeader/>
        </w:trPr>
        <w:tc>
          <w:tcPr>
            <w:tcW w:type="dxa" w:w="1500"/>
            <w:shd w:fill="DEEAF6" w:color="auto" w:val="clear"/>
            <w:tcMar>
              <w:top w:type="dxa" w:w="60"/>
              <w:left w:type="dxa" w:w="100"/>
              <w:bottom w:type="dxa" w:w="60"/>
              <w:right w:type="dxa" w:w="100"/>
            </w:tcMar>
          </w:tcPr>
          <w:p>
            <w:pPr>
              <w:spacing w:after="0" w:line="250"/>
            </w:pPr>
            <w:r>
              <w:rPr>
                <w:b/>
                <w:bCs/>
                <w:sz w:val="20"/>
                <w:szCs w:val="20"/>
              </w:rPr>
              <w:t xml:space="preserve">Region</w:t>
            </w:r>
          </w:p>
        </w:tc>
        <w:tc>
          <w:tcPr>
            <w:tcW w:type="dxa" w:w="3000"/>
            <w:shd w:fill="DEEAF6" w:color="auto" w:val="clear"/>
            <w:tcMar>
              <w:top w:type="dxa" w:w="60"/>
              <w:left w:type="dxa" w:w="100"/>
              <w:bottom w:type="dxa" w:w="60"/>
              <w:right w:type="dxa" w:w="100"/>
            </w:tcMar>
          </w:tcPr>
          <w:p>
            <w:pPr>
              <w:spacing w:after="0" w:line="250"/>
            </w:pPr>
            <w:r>
              <w:rPr>
                <w:b/>
                <w:bCs/>
                <w:sz w:val="20"/>
                <w:szCs w:val="20"/>
              </w:rPr>
              <w:t xml:space="preserve">Base URL</w:t>
            </w:r>
          </w:p>
        </w:tc>
        <w:tc>
          <w:tcPr>
            <w:tcW w:type="dxa" w:w="4860"/>
            <w:shd w:fill="DEEAF6" w:color="auto" w:val="clear"/>
            <w:tcMar>
              <w:top w:type="dxa" w:w="60"/>
              <w:left w:type="dxa" w:w="100"/>
              <w:bottom w:type="dxa" w:w="60"/>
              <w:right w:type="dxa" w:w="100"/>
            </w:tcMar>
          </w:tcPr>
          <w:p>
            <w:pPr>
              <w:spacing w:after="0" w:line="250"/>
            </w:pPr>
            <w:r>
              <w:rPr>
                <w:b/>
                <w:bCs/>
                <w:sz w:val="20"/>
                <w:szCs w:val="20"/>
              </w:rPr>
              <w:t xml:space="preserve">applicationId</w:t>
            </w:r>
          </w:p>
        </w:tc>
      </w:tr>
      <w:tr>
        <w:tc>
          <w:tcPr>
            <w:tcW w:type="dxa" w:w="1500"/>
            <w:tcMar>
              <w:top w:type="dxa" w:w="60"/>
              <w:left w:type="dxa" w:w="100"/>
              <w:bottom w:type="dxa" w:w="60"/>
              <w:right w:type="dxa" w:w="100"/>
            </w:tcMar>
          </w:tcPr>
          <w:p>
            <w:pPr>
              <w:spacing w:after="0" w:line="250"/>
            </w:pPr>
            <w:r>
              <w:rPr>
                <w:b w:val="false"/>
                <w:bCs w:val="false"/>
                <w:sz w:val="20"/>
                <w:szCs w:val="20"/>
              </w:rPr>
              <w:t xml:space="preserve">US</w:t>
            </w:r>
          </w:p>
        </w:tc>
        <w:tc>
          <w:tcPr>
            <w:tcW w:type="dxa" w:w="3000"/>
            <w:tcMar>
              <w:top w:type="dxa" w:w="60"/>
              <w:left w:type="dxa" w:w="100"/>
              <w:bottom w:type="dxa" w:w="60"/>
              <w:right w:type="dxa" w:w="100"/>
            </w:tcMar>
          </w:tcPr>
          <w:p>
            <w:pPr>
              <w:spacing w:after="0" w:line="250"/>
            </w:pPr>
            <w:r>
              <w:rPr>
                <w:b w:val="false"/>
                <w:bCs w:val="false"/>
                <w:sz w:val="20"/>
                <w:szCs w:val="20"/>
              </w:rPr>
              <w:t xml:space="preserve">share2.dexcom.com</w:t>
            </w:r>
          </w:p>
        </w:tc>
        <w:tc>
          <w:tcPr>
            <w:tcW w:type="dxa" w:w="4860"/>
            <w:tcMar>
              <w:top w:type="dxa" w:w="60"/>
              <w:left w:type="dxa" w:w="100"/>
              <w:bottom w:type="dxa" w:w="60"/>
              <w:right w:type="dxa" w:w="100"/>
            </w:tcMar>
          </w:tcPr>
          <w:p>
            <w:pPr>
              <w:spacing w:after="0" w:line="250"/>
            </w:pPr>
            <w:r>
              <w:rPr>
                <w:b w:val="false"/>
                <w:bCs w:val="false"/>
                <w:sz w:val="20"/>
                <w:szCs w:val="20"/>
              </w:rPr>
              <w:t xml:space="preserve">d89443d2-327c-4a6f-89e5-496bbb0317db</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Outside US</w:t>
            </w:r>
          </w:p>
        </w:tc>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shareous1.dexcom.com</w:t>
            </w:r>
          </w:p>
        </w:tc>
        <w:tc>
          <w:tcPr>
            <w:tcW w:type="dxa" w:w="4860"/>
            <w:shd w:fill="F5F8FC" w:color="auto" w:val="clear"/>
            <w:tcMar>
              <w:top w:type="dxa" w:w="60"/>
              <w:left w:type="dxa" w:w="100"/>
              <w:bottom w:type="dxa" w:w="60"/>
              <w:right w:type="dxa" w:w="100"/>
            </w:tcMar>
          </w:tcPr>
          <w:p>
            <w:pPr>
              <w:spacing w:after="0" w:line="250"/>
            </w:pPr>
            <w:r>
              <w:rPr>
                <w:b w:val="false"/>
                <w:bCs w:val="false"/>
                <w:sz w:val="20"/>
                <w:szCs w:val="20"/>
              </w:rPr>
              <w:t xml:space="preserve">d89443d2-327c-4a6f-89e5-496bbb0317db</w:t>
            </w:r>
          </w:p>
        </w:tc>
      </w:tr>
      <w:tr>
        <w:tc>
          <w:tcPr>
            <w:tcW w:type="dxa" w:w="1500"/>
            <w:tcMar>
              <w:top w:type="dxa" w:w="60"/>
              <w:left w:type="dxa" w:w="100"/>
              <w:bottom w:type="dxa" w:w="60"/>
              <w:right w:type="dxa" w:w="100"/>
            </w:tcMar>
          </w:tcPr>
          <w:p>
            <w:pPr>
              <w:spacing w:after="0" w:line="250"/>
            </w:pPr>
            <w:r>
              <w:rPr>
                <w:b w:val="false"/>
                <w:bCs w:val="false"/>
                <w:sz w:val="20"/>
                <w:szCs w:val="20"/>
              </w:rPr>
              <w:t xml:space="preserve">Japan</w:t>
            </w:r>
          </w:p>
        </w:tc>
        <w:tc>
          <w:tcPr>
            <w:tcW w:type="dxa" w:w="3000"/>
            <w:tcMar>
              <w:top w:type="dxa" w:w="60"/>
              <w:left w:type="dxa" w:w="100"/>
              <w:bottom w:type="dxa" w:w="60"/>
              <w:right w:type="dxa" w:w="100"/>
            </w:tcMar>
          </w:tcPr>
          <w:p>
            <w:pPr>
              <w:spacing w:after="0" w:line="250"/>
            </w:pPr>
            <w:r>
              <w:rPr>
                <w:b w:val="false"/>
                <w:bCs w:val="false"/>
                <w:sz w:val="20"/>
                <w:szCs w:val="20"/>
              </w:rPr>
              <w:t xml:space="preserve">share.dexcom.jp</w:t>
            </w:r>
          </w:p>
        </w:tc>
        <w:tc>
          <w:tcPr>
            <w:tcW w:type="dxa" w:w="4860"/>
            <w:tcMar>
              <w:top w:type="dxa" w:w="60"/>
              <w:left w:type="dxa" w:w="100"/>
              <w:bottom w:type="dxa" w:w="60"/>
              <w:right w:type="dxa" w:w="100"/>
            </w:tcMar>
          </w:tcPr>
          <w:p>
            <w:pPr>
              <w:spacing w:after="0" w:line="250"/>
            </w:pPr>
            <w:r>
              <w:rPr>
                <w:b w:val="false"/>
                <w:bCs w:val="false"/>
                <w:sz w:val="20"/>
                <w:szCs w:val="20"/>
              </w:rPr>
              <w:t xml:space="preserve">d8665ade-9673-4e27-9ff6-92db4ce13d13</w:t>
            </w:r>
          </w:p>
        </w:tc>
      </w:tr>
    </w:tbl>
    <w:p>
      <w:pPr>
        <w:spacing w:after="100"/>
      </w:pPr>
    </w:p>
    <w:p>
      <w:pPr>
        <w:spacing w:after="100" w:before="180"/>
      </w:pPr>
      <w:r>
        <w:rPr>
          <w:b/>
          <w:bCs/>
          <w:color w:val="1F4D78"/>
        </w:rPr>
        <w:t xml:space="preserve">Error classification — the safety-critical part</w:t>
      </w:r>
    </w:p>
    <w:p>
      <w:pPr>
        <w:spacing w:after="120" w:line="276"/>
      </w:pPr>
      <w:r>
        <w:rPr>
          <w:b w:val="false"/>
          <w:bCs w:val="false"/>
        </w:rPr>
        <w:t xml:space="preserve">Misclassifying an authentication failure as transient will lock the user out of the Dexcom account the official app depends on. The split is explicit and tested:</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000"/>
        <w:gridCol w:w="1800"/>
        <w:gridCol w:w="4560"/>
      </w:tblGrid>
      <w:tr>
        <w:trPr>
          <w:tblHeader/>
        </w:trPr>
        <w:tc>
          <w:tcPr>
            <w:tcW w:type="dxa" w:w="3000"/>
            <w:shd w:fill="DEEAF6" w:color="auto" w:val="clear"/>
            <w:tcMar>
              <w:top w:type="dxa" w:w="60"/>
              <w:left w:type="dxa" w:w="100"/>
              <w:bottom w:type="dxa" w:w="60"/>
              <w:right w:type="dxa" w:w="100"/>
            </w:tcMar>
          </w:tcPr>
          <w:p>
            <w:pPr>
              <w:spacing w:after="0" w:line="250"/>
            </w:pPr>
            <w:r>
              <w:rPr>
                <w:b/>
                <w:bCs/>
                <w:sz w:val="20"/>
                <w:szCs w:val="20"/>
              </w:rPr>
              <w:t xml:space="preserve">Dexcom code</w:t>
            </w:r>
          </w:p>
        </w:tc>
        <w:tc>
          <w:tcPr>
            <w:tcW w:type="dxa" w:w="1800"/>
            <w:shd w:fill="DEEAF6" w:color="auto" w:val="clear"/>
            <w:tcMar>
              <w:top w:type="dxa" w:w="60"/>
              <w:left w:type="dxa" w:w="100"/>
              <w:bottom w:type="dxa" w:w="60"/>
              <w:right w:type="dxa" w:w="100"/>
            </w:tcMar>
          </w:tcPr>
          <w:p>
            <w:pPr>
              <w:spacing w:after="0" w:line="250"/>
            </w:pPr>
            <w:r>
              <w:rPr>
                <w:b/>
                <w:bCs/>
                <w:sz w:val="20"/>
                <w:szCs w:val="20"/>
              </w:rPr>
              <w:t xml:space="preserve">Classification</w:t>
            </w:r>
          </w:p>
        </w:tc>
        <w:tc>
          <w:tcPr>
            <w:tcW w:type="dxa" w:w="4560"/>
            <w:shd w:fill="DEEAF6" w:color="auto" w:val="clear"/>
            <w:tcMar>
              <w:top w:type="dxa" w:w="60"/>
              <w:left w:type="dxa" w:w="100"/>
              <w:bottom w:type="dxa" w:w="60"/>
              <w:right w:type="dxa" w:w="100"/>
            </w:tcMar>
          </w:tcPr>
          <w:p>
            <w:pPr>
              <w:spacing w:after="0" w:line="250"/>
            </w:pPr>
            <w:r>
              <w:rPr>
                <w:b/>
                <w:bCs/>
                <w:sz w:val="20"/>
                <w:szCs w:val="20"/>
              </w:rPr>
              <w:t xml:space="preserve">Action</w:t>
            </w:r>
          </w:p>
        </w:tc>
      </w:tr>
      <w:tr>
        <w:tc>
          <w:tcPr>
            <w:tcW w:type="dxa" w:w="3000"/>
            <w:tcMar>
              <w:top w:type="dxa" w:w="60"/>
              <w:left w:type="dxa" w:w="100"/>
              <w:bottom w:type="dxa" w:w="60"/>
              <w:right w:type="dxa" w:w="100"/>
            </w:tcMar>
          </w:tcPr>
          <w:p>
            <w:pPr>
              <w:spacing w:after="0" w:line="250"/>
            </w:pPr>
            <w:r>
              <w:rPr>
                <w:b w:val="false"/>
                <w:bCs w:val="false"/>
                <w:sz w:val="20"/>
                <w:szCs w:val="20"/>
              </w:rPr>
              <w:t xml:space="preserve">AccountPasswordInvalid</w:t>
            </w:r>
          </w:p>
        </w:tc>
        <w:tc>
          <w:tcPr>
            <w:tcW w:type="dxa" w:w="1800"/>
            <w:tcMar>
              <w:top w:type="dxa" w:w="60"/>
              <w:left w:type="dxa" w:w="100"/>
              <w:bottom w:type="dxa" w:w="60"/>
              <w:right w:type="dxa" w:w="100"/>
            </w:tcMar>
          </w:tcPr>
          <w:p>
            <w:pPr>
              <w:spacing w:after="0" w:line="250"/>
            </w:pPr>
            <w:r>
              <w:rPr>
                <w:b/>
                <w:bCs/>
                <w:sz w:val="20"/>
                <w:szCs w:val="20"/>
              </w:rPr>
              <w:t xml:space="preserve">Terminal</w:t>
            </w:r>
          </w:p>
        </w:tc>
        <w:tc>
          <w:tcPr>
            <w:tcW w:type="dxa" w:w="4560"/>
            <w:tcMar>
              <w:top w:type="dxa" w:w="60"/>
              <w:left w:type="dxa" w:w="100"/>
              <w:bottom w:type="dxa" w:w="60"/>
              <w:right w:type="dxa" w:w="100"/>
            </w:tcMar>
          </w:tcPr>
          <w:p>
            <w:pPr>
              <w:spacing w:after="0" w:line="250"/>
            </w:pPr>
            <w:r>
              <w:rPr>
                <w:b w:val="false"/>
                <w:bCs w:val="false"/>
                <w:sz w:val="20"/>
                <w:szCs w:val="20"/>
              </w:rPr>
              <w:t xml:space="preserve">Stop polling. Prompt for credentials. Never retry.</w:t>
            </w:r>
          </w:p>
        </w:tc>
      </w:tr>
      <w:tr>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SSO_AuthenticateMaxAttemptsExceeded</w:t>
            </w:r>
          </w:p>
        </w:tc>
        <w:tc>
          <w:tcPr>
            <w:tcW w:type="dxa" w:w="1800"/>
            <w:shd w:fill="F5F8FC" w:color="auto" w:val="clear"/>
            <w:tcMar>
              <w:top w:type="dxa" w:w="60"/>
              <w:left w:type="dxa" w:w="100"/>
              <w:bottom w:type="dxa" w:w="60"/>
              <w:right w:type="dxa" w:w="100"/>
            </w:tcMar>
          </w:tcPr>
          <w:p>
            <w:pPr>
              <w:spacing w:after="0" w:line="250"/>
            </w:pPr>
            <w:r>
              <w:rPr>
                <w:b/>
                <w:bCs/>
                <w:sz w:val="20"/>
                <w:szCs w:val="20"/>
              </w:rPr>
              <w:t xml:space="preserve">Terminal</w:t>
            </w:r>
          </w:p>
        </w:tc>
        <w:tc>
          <w:tcPr>
            <w:tcW w:type="dxa" w:w="4560"/>
            <w:shd w:fill="F5F8FC" w:color="auto" w:val="clear"/>
            <w:tcMar>
              <w:top w:type="dxa" w:w="60"/>
              <w:left w:type="dxa" w:w="100"/>
              <w:bottom w:type="dxa" w:w="60"/>
              <w:right w:type="dxa" w:w="100"/>
            </w:tcMar>
          </w:tcPr>
          <w:p>
            <w:pPr>
              <w:spacing w:after="0" w:line="250"/>
            </w:pPr>
            <w:r>
              <w:rPr>
                <w:b w:val="false"/>
                <w:bCs w:val="false"/>
                <w:sz w:val="20"/>
                <w:szCs w:val="20"/>
              </w:rPr>
              <w:t xml:space="preserve">Account is locking. Stop. Direct the user to the official app.</w:t>
            </w:r>
          </w:p>
        </w:tc>
      </w:tr>
      <w:tr>
        <w:tc>
          <w:tcPr>
            <w:tcW w:type="dxa" w:w="3000"/>
            <w:tcMar>
              <w:top w:type="dxa" w:w="60"/>
              <w:left w:type="dxa" w:w="100"/>
              <w:bottom w:type="dxa" w:w="60"/>
              <w:right w:type="dxa" w:w="100"/>
            </w:tcMar>
          </w:tcPr>
          <w:p>
            <w:pPr>
              <w:spacing w:after="0" w:line="250"/>
            </w:pPr>
            <w:r>
              <w:rPr>
                <w:b w:val="false"/>
                <w:bCs w:val="false"/>
                <w:sz w:val="20"/>
                <w:szCs w:val="20"/>
              </w:rPr>
              <w:t xml:space="preserve">SSO_InternalError (Cannot Authenticate)</w:t>
            </w:r>
          </w:p>
        </w:tc>
        <w:tc>
          <w:tcPr>
            <w:tcW w:type="dxa" w:w="1800"/>
            <w:tcMar>
              <w:top w:type="dxa" w:w="60"/>
              <w:left w:type="dxa" w:w="100"/>
              <w:bottom w:type="dxa" w:w="60"/>
              <w:right w:type="dxa" w:w="100"/>
            </w:tcMar>
          </w:tcPr>
          <w:p>
            <w:pPr>
              <w:spacing w:after="0" w:line="250"/>
            </w:pPr>
            <w:r>
              <w:rPr>
                <w:b/>
                <w:bCs/>
                <w:sz w:val="20"/>
                <w:szCs w:val="20"/>
              </w:rPr>
              <w:t xml:space="preserve">Terminal</w:t>
            </w:r>
          </w:p>
        </w:tc>
        <w:tc>
          <w:tcPr>
            <w:tcW w:type="dxa" w:w="4560"/>
            <w:tcMar>
              <w:top w:type="dxa" w:w="60"/>
              <w:left w:type="dxa" w:w="100"/>
              <w:bottom w:type="dxa" w:w="60"/>
              <w:right w:type="dxa" w:w="100"/>
            </w:tcMar>
          </w:tcPr>
          <w:p>
            <w:pPr>
              <w:spacing w:after="0" w:line="250"/>
            </w:pPr>
            <w:r>
              <w:rPr>
                <w:b w:val="false"/>
                <w:bCs w:val="false"/>
                <w:sz w:val="20"/>
                <w:szCs w:val="20"/>
              </w:rPr>
              <w:t xml:space="preserve">Stop. Prompt.</w:t>
            </w:r>
          </w:p>
        </w:tc>
      </w:tr>
      <w:tr>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InvalidArgument</w:t>
            </w:r>
          </w:p>
        </w:tc>
        <w:tc>
          <w:tcPr>
            <w:tcW w:type="dxa" w:w="1800"/>
            <w:shd w:fill="F5F8FC" w:color="auto" w:val="clear"/>
            <w:tcMar>
              <w:top w:type="dxa" w:w="60"/>
              <w:left w:type="dxa" w:w="100"/>
              <w:bottom w:type="dxa" w:w="60"/>
              <w:right w:type="dxa" w:w="100"/>
            </w:tcMar>
          </w:tcPr>
          <w:p>
            <w:pPr>
              <w:spacing w:after="0" w:line="250"/>
            </w:pPr>
            <w:r>
              <w:rPr>
                <w:b/>
                <w:bCs/>
                <w:sz w:val="20"/>
                <w:szCs w:val="20"/>
              </w:rPr>
              <w:t xml:space="preserve">Terminal</w:t>
            </w:r>
          </w:p>
        </w:tc>
        <w:tc>
          <w:tcPr>
            <w:tcW w:type="dxa" w:w="4560"/>
            <w:shd w:fill="F5F8FC" w:color="auto" w:val="clear"/>
            <w:tcMar>
              <w:top w:type="dxa" w:w="60"/>
              <w:left w:type="dxa" w:w="100"/>
              <w:bottom w:type="dxa" w:w="60"/>
              <w:right w:type="dxa" w:w="100"/>
            </w:tcMar>
          </w:tcPr>
          <w:p>
            <w:pPr>
              <w:spacing w:after="0" w:line="250"/>
            </w:pPr>
            <w:r>
              <w:rPr>
                <w:b w:val="false"/>
                <w:bCs w:val="false"/>
                <w:sz w:val="20"/>
                <w:szCs w:val="20"/>
              </w:rPr>
              <w:t xml:space="preserve">Stop. Malformed credentials.</w:t>
            </w:r>
          </w:p>
        </w:tc>
      </w:tr>
      <w:tr>
        <w:tc>
          <w:tcPr>
            <w:tcW w:type="dxa" w:w="3000"/>
            <w:tcMar>
              <w:top w:type="dxa" w:w="60"/>
              <w:left w:type="dxa" w:w="100"/>
              <w:bottom w:type="dxa" w:w="60"/>
              <w:right w:type="dxa" w:w="100"/>
            </w:tcMar>
          </w:tcPr>
          <w:p>
            <w:pPr>
              <w:spacing w:after="0" w:line="250"/>
            </w:pPr>
            <w:r>
              <w:rPr>
                <w:b w:val="false"/>
                <w:bCs w:val="false"/>
                <w:sz w:val="20"/>
                <w:szCs w:val="20"/>
              </w:rPr>
              <w:t xml:space="preserve">SessionIdNotFound / SessionNotValid</w:t>
            </w:r>
          </w:p>
        </w:tc>
        <w:tc>
          <w:tcPr>
            <w:tcW w:type="dxa" w:w="1800"/>
            <w:tcMar>
              <w:top w:type="dxa" w:w="60"/>
              <w:left w:type="dxa" w:w="100"/>
              <w:bottom w:type="dxa" w:w="60"/>
              <w:right w:type="dxa" w:w="100"/>
            </w:tcMar>
          </w:tcPr>
          <w:p>
            <w:pPr>
              <w:spacing w:after="0" w:line="250"/>
            </w:pPr>
            <w:r>
              <w:rPr>
                <w:b w:val="false"/>
                <w:bCs w:val="false"/>
                <w:sz w:val="20"/>
                <w:szCs w:val="20"/>
              </w:rPr>
              <w:t xml:space="preserve">Transient</w:t>
            </w:r>
          </w:p>
        </w:tc>
        <w:tc>
          <w:tcPr>
            <w:tcW w:type="dxa" w:w="4560"/>
            <w:tcMar>
              <w:top w:type="dxa" w:w="60"/>
              <w:left w:type="dxa" w:w="100"/>
              <w:bottom w:type="dxa" w:w="60"/>
              <w:right w:type="dxa" w:w="100"/>
            </w:tcMar>
          </w:tcPr>
          <w:p>
            <w:pPr>
              <w:spacing w:after="0" w:line="250"/>
            </w:pPr>
            <w:r>
              <w:rPr>
                <w:b w:val="false"/>
                <w:bCs w:val="false"/>
                <w:sz w:val="20"/>
                <w:szCs w:val="20"/>
              </w:rPr>
              <w:t xml:space="preserve">Refresh session, retry </w:t>
            </w:r>
            <w:r>
              <w:rPr>
                <w:b/>
                <w:bCs/>
                <w:sz w:val="20"/>
                <w:szCs w:val="20"/>
              </w:rPr>
              <w:t xml:space="preserve">once</w:t>
            </w:r>
            <w:r>
              <w:rPr>
                <w:b w:val="false"/>
                <w:bCs w:val="false"/>
                <w:sz w:val="20"/>
                <w:szCs w:val="20"/>
              </w:rPr>
              <w:t xml:space="preserve">.</w:t>
            </w:r>
          </w:p>
        </w:tc>
      </w:tr>
      <w:tr>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Network / timeout / 5xx</w:t>
            </w:r>
          </w:p>
        </w:tc>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Transient</w:t>
            </w:r>
          </w:p>
        </w:tc>
        <w:tc>
          <w:tcPr>
            <w:tcW w:type="dxa" w:w="4560"/>
            <w:shd w:fill="F5F8FC" w:color="auto" w:val="clear"/>
            <w:tcMar>
              <w:top w:type="dxa" w:w="60"/>
              <w:left w:type="dxa" w:w="100"/>
              <w:bottom w:type="dxa" w:w="60"/>
              <w:right w:type="dxa" w:w="100"/>
            </w:tcMar>
          </w:tcPr>
          <w:p>
            <w:pPr>
              <w:spacing w:after="0" w:line="250"/>
            </w:pPr>
            <w:r>
              <w:rPr>
                <w:b w:val="false"/>
                <w:bCs w:val="false"/>
                <w:sz w:val="20"/>
                <w:szCs w:val="20"/>
              </w:rPr>
              <w:t xml:space="preserve">Exponential backoff 30/60/120/300s.</w:t>
            </w:r>
          </w:p>
        </w:tc>
      </w:tr>
    </w:tbl>
    <w:p>
      <w:pPr>
        <w:spacing w:after="100"/>
      </w:pPr>
    </w:p>
    <w:p>
      <w:pPr>
        <w:spacing w:after="100" w:before="180"/>
      </w:pPr>
      <w:r>
        <w:rPr>
          <w:b/>
          <w:bCs/>
          <w:color w:val="1F4D78"/>
        </w:rPr>
        <w:t xml:space="preserve">Parsing hazards</w:t>
      </w:r>
    </w:p>
    <w:p>
      <w:pPr>
        <w:pStyle w:val="ListParagraph"/>
        <w:numPr>
          <w:ilvl w:val="0"/>
          <w:numId w:val="2"/>
        </w:numPr>
        <w:spacing w:after="80" w:line="276"/>
      </w:pPr>
      <w:r>
        <w:rPr>
          <w:b/>
          <w:bCs/>
        </w:rPr>
        <w:t xml:space="preserve">Timestamps are Microsoft JSON dates</w:t>
      </w:r>
      <w:r>
        <w:rPr>
          <w:b w:val="false"/>
          <w:bCs w:val="false"/>
        </w:rPr>
        <w:t xml:space="preserve"> — </w:t>
      </w:r>
      <w:r>
        <w:rPr>
          <w:rFonts w:ascii="Consolas" w:cs="Consolas" w:eastAsia="Consolas" w:hAnsi="Consolas"/>
          <w:b w:val="false"/>
          <w:bCs w:val="false"/>
          <w:sz w:val="19"/>
          <w:szCs w:val="19"/>
        </w:rPr>
        <w:t xml:space="preserve">/Date(1747051200000+0000)/</w:t>
      </w:r>
      <w:r>
        <w:rPr>
          <w:b w:val="false"/>
          <w:bCs w:val="false"/>
        </w:rPr>
        <w:t xml:space="preserve">. Parse with an explicit regex capturing epoch milliseconds; the trailing offset is display metadata and must not be added to the absolute time. ISO-8601 parsing fails silently here and yields readings that are hours off. A test asserts ISO input is rejected.</w:t>
      </w:r>
    </w:p>
    <w:p>
      <w:pPr>
        <w:pStyle w:val="ListParagraph"/>
        <w:numPr>
          <w:ilvl w:val="0"/>
          <w:numId w:val="2"/>
        </w:numPr>
        <w:spacing w:after="80" w:line="276"/>
      </w:pPr>
      <w:r>
        <w:rPr>
          <w:rFonts w:ascii="Consolas" w:cs="Consolas" w:eastAsia="Consolas" w:hAnsi="Consolas"/>
          <w:b/>
          <w:bCs/>
          <w:sz w:val="19"/>
          <w:szCs w:val="19"/>
        </w:rPr>
        <w:t xml:space="preserve">Trend</w:t>
      </w:r>
      <w:r>
        <w:rPr>
          <w:b/>
          <w:bCs/>
        </w:rPr>
        <w:t xml:space="preserve"> is a string now</w:t>
      </w:r>
      <w:r>
        <w:rPr>
          <w:b w:val="false"/>
          <w:bCs w:val="false"/>
        </w:rPr>
        <w:t xml:space="preserve"> (</w:t>
      </w:r>
      <w:r>
        <w:rPr>
          <w:rFonts w:ascii="Consolas" w:cs="Consolas" w:eastAsia="Consolas" w:hAnsi="Consolas"/>
          <w:b w:val="false"/>
          <w:bCs w:val="false"/>
          <w:sz w:val="19"/>
          <w:szCs w:val="19"/>
        </w:rPr>
        <w:t xml:space="preserve">"Flat"</w:t>
      </w:r>
      <w:r>
        <w:rPr>
          <w:b w:val="false"/>
          <w:bCs w:val="false"/>
        </w:rPr>
        <w:t xml:space="preserve">) where it was formerly an integer. Both are decoded, including the case of an integer sent as a string.</w:t>
      </w:r>
    </w:p>
    <w:p>
      <w:pPr>
        <w:pStyle w:val="ListParagraph"/>
        <w:numPr>
          <w:ilvl w:val="0"/>
          <w:numId w:val="2"/>
        </w:numPr>
        <w:spacing w:after="80" w:line="276"/>
      </w:pPr>
      <w:r>
        <w:rPr>
          <w:b/>
          <w:bCs/>
        </w:rPr>
        <w:t xml:space="preserve">Unparseable entries are skipped, not fatal.</w:t>
      </w:r>
      <w:r>
        <w:rPr>
          <w:b w:val="false"/>
          <w:bCs w:val="false"/>
        </w:rPr>
        <w:t xml:space="preserve"> A shape change should degrade the batch, never blank the screen.</w:t>
      </w:r>
    </w:p>
    <w:p>
      <w:pPr>
        <w:pStyle w:val="ListParagraph"/>
        <w:numPr>
          <w:ilvl w:val="0"/>
          <w:numId w:val="2"/>
        </w:numPr>
        <w:spacing w:after="80" w:line="276"/>
      </w:pPr>
      <w:r>
        <w:rPr>
          <w:b/>
          <w:bCs/>
        </w:rPr>
        <w:t xml:space="preserve">Rail sentinels:</w:t>
      </w:r>
      <w:r>
        <w:rPr>
          <w:b w:val="false"/>
          <w:bCs w:val="false"/>
        </w:rPr>
        <w:t xml:space="preserve"> values below 40 or above 400 render as LOW and HIGH, never as numbers.</w:t>
      </w:r>
    </w:p>
    <w:p>
      <w:pPr>
        <w:pStyle w:val="Heading3"/>
        <w:spacing w:after="120" w:before="220"/>
      </w:pPr>
      <w:r>
        <w:rPr>
          <w:b w:val="false"/>
          <w:bCs w:val="false"/>
        </w:rPr>
        <w:t xml:space="preserve">4.2.4 HealthKitBackfillSource</w:t>
      </w:r>
    </w:p>
    <w:p>
      <w:pPr>
        <w:pStyle w:val="ListParagraph"/>
        <w:numPr>
          <w:ilvl w:val="0"/>
          <w:numId w:val="2"/>
        </w:numPr>
        <w:spacing w:after="80" w:line="276"/>
      </w:pPr>
      <w:r>
        <w:rPr>
          <w:b w:val="false"/>
          <w:bCs w:val="false"/>
        </w:rPr>
        <w:t xml:space="preserve">One anchored query for the last 90 days on first launch, plus a daily top-up. Persist the anchor. No observer query and no background delivery — HealthKit is not a live path.</w:t>
      </w:r>
    </w:p>
    <w:p>
      <w:pPr>
        <w:pStyle w:val="ListParagraph"/>
        <w:numPr>
          <w:ilvl w:val="0"/>
          <w:numId w:val="2"/>
        </w:numPr>
        <w:spacing w:after="80" w:line="276"/>
      </w:pPr>
      <w:r>
        <w:rPr>
          <w:b w:val="false"/>
          <w:bCs w:val="false"/>
        </w:rPr>
        <w:t xml:space="preserve">Filter to Dexcom's source bundle identifier so manual fingerstick entries are not mistaken for CGM data. Handle deletions returned by the anchored query.</w:t>
      </w:r>
    </w:p>
    <w:p>
      <w:pPr>
        <w:pStyle w:val="ListParagraph"/>
        <w:numPr>
          <w:ilvl w:val="0"/>
          <w:numId w:val="2"/>
        </w:numPr>
        <w:spacing w:after="80" w:line="276"/>
      </w:pPr>
      <w:r>
        <w:rPr>
          <w:b w:val="false"/>
          <w:bCs w:val="false"/>
        </w:rPr>
        <w:t xml:space="preserve">Backfilled readings carry no trend and are flagged as historical, enforced in the coordinator rather than by convention.</w:t>
      </w:r>
    </w:p>
    <w:p>
      <w:pPr>
        <w:pStyle w:val="Heading2"/>
        <w:spacing w:after="140" w:before="280"/>
      </w:pPr>
      <w:r>
        <w:rPr>
          <w:b w:val="false"/>
          <w:bCs w:val="false"/>
        </w:rPr>
        <w:t xml:space="preserve">4.3 Data Model (SwiftData)</w:t>
      </w:r>
    </w:p>
    <w:p>
      <w:pPr>
        <w:spacing w:after="100" w:before="180"/>
      </w:pPr>
      <w:r>
        <w:rPr>
          <w:b/>
          <w:bCs/>
          <w:color w:val="1F4D78"/>
        </w:rPr>
        <w:t xml:space="preserve">Entities</w:t>
      </w:r>
    </w:p>
    <w:p>
      <w:pPr>
        <w:pStyle w:val="ListParagraph"/>
        <w:numPr>
          <w:ilvl w:val="0"/>
          <w:numId w:val="2"/>
        </w:numPr>
        <w:spacing w:after="80" w:line="276"/>
      </w:pPr>
      <w:r>
        <w:rPr>
          <w:rFonts w:ascii="Consolas" w:cs="Consolas" w:eastAsia="Consolas" w:hAnsi="Consolas"/>
          <w:b/>
          <w:bCs/>
          <w:sz w:val="19"/>
          <w:szCs w:val="19"/>
        </w:rPr>
        <w:t xml:space="preserve">GlucoseReading</w:t>
      </w:r>
      <w:r>
        <w:rPr>
          <w:b w:val="false"/>
          <w:bCs w:val="false"/>
        </w:rPr>
        <w:t xml:space="preserve"> — </w:t>
      </w:r>
      <w:r>
        <w:rPr>
          <w:rFonts w:ascii="Consolas" w:cs="Consolas" w:eastAsia="Consolas" w:hAnsi="Consolas"/>
          <w:b w:val="false"/>
          <w:bCs w:val="false"/>
          <w:sz w:val="19"/>
          <w:szCs w:val="19"/>
        </w:rPr>
        <w:t xml:space="preserve">sampleTime</w:t>
      </w:r>
      <w:r>
        <w:rPr>
          <w:b w:val="false"/>
          <w:bCs w:val="false"/>
        </w:rPr>
        <w:t xml:space="preserve"> (indexed), </w:t>
      </w:r>
      <w:r>
        <w:rPr>
          <w:rFonts w:ascii="Consolas" w:cs="Consolas" w:eastAsia="Consolas" w:hAnsi="Consolas"/>
          <w:b w:val="false"/>
          <w:bCs w:val="false"/>
          <w:sz w:val="19"/>
          <w:szCs w:val="19"/>
        </w:rPr>
        <w:t xml:space="preserve">valueMgdl</w:t>
      </w:r>
      <w:r>
        <w:rPr>
          <w:b w:val="false"/>
          <w:bCs w:val="false"/>
        </w:rPr>
        <w:t xml:space="preserve"> (Int, canonical), </w:t>
      </w:r>
      <w:r>
        <w:rPr>
          <w:rFonts w:ascii="Consolas" w:cs="Consolas" w:eastAsia="Consolas" w:hAnsi="Consolas"/>
          <w:b w:val="false"/>
          <w:bCs w:val="false"/>
          <w:sz w:val="19"/>
          <w:szCs w:val="19"/>
        </w:rPr>
        <w:t xml:space="preserve">trend</w:t>
      </w:r>
      <w:r>
        <w:rPr>
          <w:b w:val="false"/>
          <w:bCs w:val="false"/>
        </w:rPr>
        <w:t xml:space="preserve"> (optional), </w:t>
      </w:r>
      <w:r>
        <w:rPr>
          <w:rFonts w:ascii="Consolas" w:cs="Consolas" w:eastAsia="Consolas" w:hAnsi="Consolas"/>
          <w:b w:val="false"/>
          <w:bCs w:val="false"/>
          <w:sz w:val="19"/>
          <w:szCs w:val="19"/>
        </w:rPr>
        <w:t xml:space="preserve">trendIsComputed</w:t>
      </w:r>
      <w:r>
        <w:rPr>
          <w:b w:val="false"/>
          <w:bCs w:val="false"/>
        </w:rPr>
        <w:t xml:space="preserve"> (Bool), </w:t>
      </w:r>
      <w:r>
        <w:rPr>
          <w:rFonts w:ascii="Consolas" w:cs="Consolas" w:eastAsia="Consolas" w:hAnsi="Consolas"/>
          <w:b w:val="false"/>
          <w:bCs w:val="false"/>
          <w:sz w:val="19"/>
          <w:szCs w:val="19"/>
        </w:rPr>
        <w:t xml:space="preserve">source</w:t>
      </w:r>
      <w:r>
        <w:rPr>
          <w:b w:val="false"/>
          <w:bCs w:val="false"/>
        </w:rPr>
        <w:t xml:space="preserve"> (.share/.healthKit/.both), </w:t>
      </w:r>
      <w:r>
        <w:rPr>
          <w:rFonts w:ascii="Consolas" w:cs="Consolas" w:eastAsia="Consolas" w:hAnsi="Consolas"/>
          <w:b w:val="false"/>
          <w:bCs w:val="false"/>
          <w:sz w:val="19"/>
          <w:szCs w:val="19"/>
        </w:rPr>
        <w:t xml:space="preserve">isSentinelLow</w:t>
      </w:r>
      <w:r>
        <w:rPr>
          <w:b w:val="false"/>
          <w:bCs w:val="false"/>
        </w:rPr>
        <w:t xml:space="preserve">/</w:t>
      </w:r>
      <w:r>
        <w:rPr>
          <w:rFonts w:ascii="Consolas" w:cs="Consolas" w:eastAsia="Consolas" w:hAnsi="Consolas"/>
          <w:b w:val="false"/>
          <w:bCs w:val="false"/>
          <w:sz w:val="19"/>
          <w:szCs w:val="19"/>
        </w:rPr>
        <w:t xml:space="preserve">isSentinelHigh</w:t>
      </w:r>
      <w:r>
        <w:rPr>
          <w:b w:val="false"/>
          <w:bCs w:val="false"/>
        </w:rPr>
        <w:t xml:space="preserve"> (Bool, for out-of-rail values), </w:t>
      </w:r>
      <w:r>
        <w:rPr>
          <w:rFonts w:ascii="Consolas" w:cs="Consolas" w:eastAsia="Consolas" w:hAnsi="Consolas"/>
          <w:b w:val="false"/>
          <w:bCs w:val="false"/>
          <w:sz w:val="19"/>
          <w:szCs w:val="19"/>
        </w:rPr>
        <w:t xml:space="preserve">dedupKey</w:t>
      </w:r>
      <w:r>
        <w:rPr>
          <w:b w:val="false"/>
          <w:bCs w:val="false"/>
        </w:rPr>
        <w:t xml:space="preserve"> (indexed String derived from the rounded sample time).</w:t>
      </w:r>
    </w:p>
    <w:p>
      <w:pPr>
        <w:pStyle w:val="ListParagraph"/>
        <w:numPr>
          <w:ilvl w:val="0"/>
          <w:numId w:val="2"/>
        </w:numPr>
        <w:spacing w:after="80" w:line="276"/>
      </w:pPr>
      <w:r>
        <w:rPr>
          <w:rFonts w:ascii="Consolas" w:cs="Consolas" w:eastAsia="Consolas" w:hAnsi="Consolas"/>
          <w:b/>
          <w:bCs/>
          <w:sz w:val="19"/>
          <w:szCs w:val="19"/>
        </w:rPr>
        <w:t xml:space="preserve">MealEvent</w:t>
      </w:r>
      <w:r>
        <w:rPr>
          <w:b w:val="false"/>
          <w:bCs w:val="false"/>
        </w:rPr>
        <w:t xml:space="preserve"> — </w:t>
      </w:r>
      <w:r>
        <w:rPr>
          <w:rFonts w:ascii="Consolas" w:cs="Consolas" w:eastAsia="Consolas" w:hAnsi="Consolas"/>
          <w:b w:val="false"/>
          <w:bCs w:val="false"/>
          <w:sz w:val="19"/>
          <w:szCs w:val="19"/>
        </w:rPr>
        <w:t xml:space="preserve">timestamp</w:t>
      </w:r>
      <w:r>
        <w:rPr>
          <w:b w:val="false"/>
          <w:bCs w:val="false"/>
        </w:rPr>
        <w:t xml:space="preserve">, </w:t>
      </w:r>
      <w:r>
        <w:rPr>
          <w:rFonts w:ascii="Consolas" w:cs="Consolas" w:eastAsia="Consolas" w:hAnsi="Consolas"/>
          <w:b w:val="false"/>
          <w:bCs w:val="false"/>
          <w:sz w:val="19"/>
          <w:szCs w:val="19"/>
        </w:rPr>
        <w:t xml:space="preserve">carbs</w:t>
      </w:r>
      <w:r>
        <w:rPr>
          <w:b w:val="false"/>
          <w:bCs w:val="false"/>
        </w:rPr>
        <w:t xml:space="preserve">, </w:t>
      </w:r>
      <w:r>
        <w:rPr>
          <w:rFonts w:ascii="Consolas" w:cs="Consolas" w:eastAsia="Consolas" w:hAnsi="Consolas"/>
          <w:b w:val="false"/>
          <w:bCs w:val="false"/>
          <w:sz w:val="19"/>
          <w:szCs w:val="19"/>
        </w:rPr>
        <w:t xml:space="preserve">photoData</w:t>
      </w:r>
      <w:r>
        <w:rPr>
          <w:b w:val="false"/>
          <w:bCs w:val="false"/>
        </w:rPr>
        <w:t xml:space="preserve"> with </w:t>
      </w:r>
      <w:r>
        <w:rPr>
          <w:rFonts w:ascii="Consolas" w:cs="Consolas" w:eastAsia="Consolas" w:hAnsi="Consolas"/>
          <w:b w:val="false"/>
          <w:bCs w:val="false"/>
          <w:sz w:val="19"/>
          <w:szCs w:val="19"/>
        </w:rPr>
        <w:t xml:space="preserve">@Attribute(.externalStorage)</w:t>
      </w:r>
      <w:r>
        <w:rPr>
          <w:b w:val="false"/>
          <w:bCs w:val="false"/>
        </w:rPr>
        <w:t xml:space="preserve">, </w:t>
      </w:r>
      <w:r>
        <w:rPr>
          <w:rFonts w:ascii="Consolas" w:cs="Consolas" w:eastAsia="Consolas" w:hAnsi="Consolas"/>
          <w:b w:val="false"/>
          <w:bCs w:val="false"/>
          <w:sz w:val="19"/>
          <w:szCs w:val="19"/>
        </w:rPr>
        <w:t xml:space="preserve">notes</w:t>
      </w:r>
      <w:r>
        <w:rPr>
          <w:b w:val="false"/>
          <w:bCs w:val="false"/>
        </w:rPr>
        <w:t xml:space="preserve">, </w:t>
      </w:r>
      <w:r>
        <w:rPr>
          <w:rFonts w:ascii="Consolas" w:cs="Consolas" w:eastAsia="Consolas" w:hAnsi="Consolas"/>
          <w:b w:val="false"/>
          <w:bCs w:val="false"/>
          <w:sz w:val="19"/>
          <w:szCs w:val="19"/>
        </w:rPr>
        <w:t xml:space="preserve">tag</w:t>
      </w:r>
      <w:r>
        <w:rPr>
          <w:b w:val="false"/>
          <w:bCs w:val="false"/>
        </w:rPr>
        <w:t xml:space="preserve">, </w:t>
      </w:r>
      <w:r>
        <w:rPr>
          <w:rFonts w:ascii="Consolas" w:cs="Consolas" w:eastAsia="Consolas" w:hAnsi="Consolas"/>
          <w:b w:val="false"/>
          <w:bCs w:val="false"/>
          <w:sz w:val="19"/>
          <w:szCs w:val="19"/>
        </w:rPr>
        <w:t xml:space="preserve">foodName</w:t>
      </w:r>
      <w:r>
        <w:rPr>
          <w:b w:val="false"/>
          <w:bCs w:val="false"/>
        </w:rPr>
        <w:t xml:space="preserve"> (links to </w:t>
      </w:r>
      <w:r>
        <w:rPr>
          <w:rFonts w:ascii="Consolas" w:cs="Consolas" w:eastAsia="Consolas" w:hAnsi="Consolas"/>
          <w:b w:val="false"/>
          <w:bCs w:val="false"/>
          <w:sz w:val="19"/>
          <w:szCs w:val="19"/>
        </w:rPr>
        <w:t xml:space="preserve">FoodRecord</w:t>
      </w:r>
      <w:r>
        <w:rPr>
          <w:b w:val="false"/>
          <w:bCs w:val="false"/>
        </w:rPr>
        <w:t xml:space="preserve">), </w:t>
      </w:r>
      <w:r>
        <w:rPr>
          <w:rFonts w:ascii="Consolas" w:cs="Consolas" w:eastAsia="Consolas" w:hAnsi="Consolas"/>
          <w:b w:val="false"/>
          <w:bCs w:val="false"/>
          <w:sz w:val="19"/>
          <w:szCs w:val="19"/>
        </w:rPr>
        <w:t xml:space="preserve">createdAt</w:t>
      </w:r>
      <w:r>
        <w:rPr>
          <w:b w:val="false"/>
          <w:bCs w:val="false"/>
        </w:rPr>
        <w:t xml:space="preserve">, </w:t>
      </w:r>
      <w:r>
        <w:rPr>
          <w:rFonts w:ascii="Consolas" w:cs="Consolas" w:eastAsia="Consolas" w:hAnsi="Consolas"/>
          <w:b w:val="false"/>
          <w:bCs w:val="false"/>
          <w:sz w:val="19"/>
          <w:szCs w:val="19"/>
        </w:rPr>
        <w:t xml:space="preserve">editedAt</w:t>
      </w:r>
      <w:r>
        <w:rPr>
          <w:b w:val="false"/>
          <w:bCs w:val="false"/>
        </w:rPr>
        <w:t xml:space="preserve">.</w:t>
      </w:r>
    </w:p>
    <w:p>
      <w:pPr>
        <w:pStyle w:val="ListParagraph"/>
        <w:numPr>
          <w:ilvl w:val="0"/>
          <w:numId w:val="2"/>
        </w:numPr>
        <w:spacing w:after="80" w:line="276"/>
      </w:pPr>
      <w:r>
        <w:rPr>
          <w:rFonts w:ascii="Consolas" w:cs="Consolas" w:eastAsia="Consolas" w:hAnsi="Consolas"/>
          <w:b/>
          <w:bCs/>
          <w:sz w:val="19"/>
          <w:szCs w:val="19"/>
        </w:rPr>
        <w:t xml:space="preserve">InsulinEvent</w:t>
      </w:r>
      <w:r>
        <w:rPr>
          <w:b w:val="false"/>
          <w:bCs w:val="false"/>
        </w:rPr>
        <w:t xml:space="preserve"> — </w:t>
      </w:r>
      <w:r>
        <w:rPr>
          <w:rFonts w:ascii="Consolas" w:cs="Consolas" w:eastAsia="Consolas" w:hAnsi="Consolas"/>
          <w:b w:val="false"/>
          <w:bCs w:val="false"/>
          <w:sz w:val="19"/>
          <w:szCs w:val="19"/>
        </w:rPr>
        <w:t xml:space="preserve">timestamp</w:t>
      </w:r>
      <w:r>
        <w:rPr>
          <w:b w:val="false"/>
          <w:bCs w:val="false"/>
        </w:rPr>
        <w:t xml:space="preserve">, </w:t>
      </w:r>
      <w:r>
        <w:rPr>
          <w:rFonts w:ascii="Consolas" w:cs="Consolas" w:eastAsia="Consolas" w:hAnsi="Consolas"/>
          <w:b w:val="false"/>
          <w:bCs w:val="false"/>
          <w:sz w:val="19"/>
          <w:szCs w:val="19"/>
        </w:rPr>
        <w:t xml:space="preserve">units</w:t>
      </w:r>
      <w:r>
        <w:rPr>
          <w:b w:val="false"/>
          <w:bCs w:val="false"/>
        </w:rPr>
        <w:t xml:space="preserve">, </w:t>
      </w:r>
      <w:r>
        <w:rPr>
          <w:rFonts w:ascii="Consolas" w:cs="Consolas" w:eastAsia="Consolas" w:hAnsi="Consolas"/>
          <w:b w:val="false"/>
          <w:bCs w:val="false"/>
          <w:sz w:val="19"/>
          <w:szCs w:val="19"/>
        </w:rPr>
        <w:t xml:space="preserve">insulinTypeId</w:t>
      </w:r>
      <w:r>
        <w:rPr>
          <w:b w:val="false"/>
          <w:bCs w:val="false"/>
        </w:rPr>
        <w:t xml:space="preserve">, </w:t>
      </w:r>
      <w:r>
        <w:rPr>
          <w:rFonts w:ascii="Consolas" w:cs="Consolas" w:eastAsia="Consolas" w:hAnsi="Consolas"/>
          <w:b w:val="false"/>
          <w:bCs w:val="false"/>
          <w:sz w:val="19"/>
          <w:szCs w:val="19"/>
        </w:rPr>
        <w:t xml:space="preserve">isBasal</w:t>
      </w:r>
      <w:r>
        <w:rPr>
          <w:b w:val="false"/>
          <w:bCs w:val="false"/>
        </w:rPr>
        <w:t xml:space="preserve"> (Bool, excluded from IOB), </w:t>
      </w:r>
      <w:r>
        <w:rPr>
          <w:rFonts w:ascii="Consolas" w:cs="Consolas" w:eastAsia="Consolas" w:hAnsi="Consolas"/>
          <w:b w:val="false"/>
          <w:bCs w:val="false"/>
          <w:sz w:val="19"/>
          <w:szCs w:val="19"/>
        </w:rPr>
        <w:t xml:space="preserve">site</w:t>
      </w:r>
      <w:r>
        <w:rPr>
          <w:b w:val="false"/>
          <w:bCs w:val="false"/>
        </w:rPr>
        <w:t xml:space="preserve">, </w:t>
      </w:r>
      <w:r>
        <w:rPr>
          <w:rFonts w:ascii="Consolas" w:cs="Consolas" w:eastAsia="Consolas" w:hAnsi="Consolas"/>
          <w:b w:val="false"/>
          <w:bCs w:val="false"/>
          <w:sz w:val="19"/>
          <w:szCs w:val="19"/>
        </w:rPr>
        <w:t xml:space="preserve">createdAt</w:t>
      </w:r>
      <w:r>
        <w:rPr>
          <w:b w:val="false"/>
          <w:bCs w:val="false"/>
        </w:rPr>
        <w:t xml:space="preserve">, </w:t>
      </w:r>
      <w:r>
        <w:rPr>
          <w:rFonts w:ascii="Consolas" w:cs="Consolas" w:eastAsia="Consolas" w:hAnsi="Consolas"/>
          <w:b w:val="false"/>
          <w:bCs w:val="false"/>
          <w:sz w:val="19"/>
          <w:szCs w:val="19"/>
        </w:rPr>
        <w:t xml:space="preserve">editedAt</w:t>
      </w:r>
      <w:r>
        <w:rPr>
          <w:b w:val="false"/>
          <w:bCs w:val="false"/>
        </w:rPr>
        <w:t xml:space="preserve">.</w:t>
      </w:r>
    </w:p>
    <w:p>
      <w:pPr>
        <w:pStyle w:val="ListParagraph"/>
        <w:numPr>
          <w:ilvl w:val="0"/>
          <w:numId w:val="2"/>
        </w:numPr>
        <w:spacing w:after="80" w:line="276"/>
      </w:pPr>
      <w:r>
        <w:rPr>
          <w:rFonts w:ascii="Consolas" w:cs="Consolas" w:eastAsia="Consolas" w:hAnsi="Consolas"/>
          <w:b/>
          <w:bCs/>
          <w:sz w:val="19"/>
          <w:szCs w:val="19"/>
        </w:rPr>
        <w:t xml:space="preserve">ExerciseEvent</w:t>
      </w:r>
      <w:r>
        <w:rPr>
          <w:b w:val="false"/>
          <w:bCs w:val="false"/>
        </w:rPr>
        <w:t xml:space="preserve"> — </w:t>
      </w:r>
      <w:r>
        <w:rPr>
          <w:rFonts w:ascii="Consolas" w:cs="Consolas" w:eastAsia="Consolas" w:hAnsi="Consolas"/>
          <w:b w:val="false"/>
          <w:bCs w:val="false"/>
          <w:sz w:val="19"/>
          <w:szCs w:val="19"/>
        </w:rPr>
        <w:t xml:space="preserve">timestamp</w:t>
      </w:r>
      <w:r>
        <w:rPr>
          <w:b w:val="false"/>
          <w:bCs w:val="false"/>
        </w:rPr>
        <w:t xml:space="preserve">, </w:t>
      </w:r>
      <w:r>
        <w:rPr>
          <w:rFonts w:ascii="Consolas" w:cs="Consolas" w:eastAsia="Consolas" w:hAnsi="Consolas"/>
          <w:b w:val="false"/>
          <w:bCs w:val="false"/>
          <w:sz w:val="19"/>
          <w:szCs w:val="19"/>
        </w:rPr>
        <w:t xml:space="preserve">type</w:t>
      </w:r>
      <w:r>
        <w:rPr>
          <w:b w:val="false"/>
          <w:bCs w:val="false"/>
        </w:rPr>
        <w:t xml:space="preserve">, </w:t>
      </w:r>
      <w:r>
        <w:rPr>
          <w:rFonts w:ascii="Consolas" w:cs="Consolas" w:eastAsia="Consolas" w:hAnsi="Consolas"/>
          <w:b w:val="false"/>
          <w:bCs w:val="false"/>
          <w:sz w:val="19"/>
          <w:szCs w:val="19"/>
        </w:rPr>
        <w:t xml:space="preserve">durationMinutes</w:t>
      </w:r>
      <w:r>
        <w:rPr>
          <w:b w:val="false"/>
          <w:bCs w:val="false"/>
        </w:rPr>
        <w:t xml:space="preserve">, </w:t>
      </w:r>
      <w:r>
        <w:rPr>
          <w:rFonts w:ascii="Consolas" w:cs="Consolas" w:eastAsia="Consolas" w:hAnsi="Consolas"/>
          <w:b w:val="false"/>
          <w:bCs w:val="false"/>
          <w:sz w:val="19"/>
          <w:szCs w:val="19"/>
        </w:rPr>
        <w:t xml:space="preserve">intensity</w:t>
      </w:r>
      <w:r>
        <w:rPr>
          <w:b w:val="false"/>
          <w:bCs w:val="false"/>
        </w:rPr>
        <w:t xml:space="preserve">, </w:t>
      </w:r>
      <w:r>
        <w:rPr>
          <w:rFonts w:ascii="Consolas" w:cs="Consolas" w:eastAsia="Consolas" w:hAnsi="Consolas"/>
          <w:b w:val="false"/>
          <w:bCs w:val="false"/>
          <w:sz w:val="19"/>
          <w:szCs w:val="19"/>
        </w:rPr>
        <w:t xml:space="preserve">wasAutoSuggested</w:t>
      </w:r>
      <w:r>
        <w:rPr>
          <w:b w:val="false"/>
          <w:bCs w:val="false"/>
        </w:rPr>
        <w:t xml:space="preserve"> (Bool).</w:t>
      </w:r>
    </w:p>
    <w:p>
      <w:pPr>
        <w:pStyle w:val="ListParagraph"/>
        <w:numPr>
          <w:ilvl w:val="0"/>
          <w:numId w:val="2"/>
        </w:numPr>
        <w:spacing w:after="80" w:line="276"/>
      </w:pPr>
      <w:r>
        <w:rPr>
          <w:rFonts w:ascii="Consolas" w:cs="Consolas" w:eastAsia="Consolas" w:hAnsi="Consolas"/>
          <w:b/>
          <w:bCs/>
          <w:sz w:val="19"/>
          <w:szCs w:val="19"/>
        </w:rPr>
        <w:t xml:space="preserve">FoodRecord</w:t>
      </w:r>
      <w:r>
        <w:rPr>
          <w:b w:val="false"/>
          <w:bCs w:val="false"/>
        </w:rPr>
        <w:t xml:space="preserve"> (v2) — </w:t>
      </w:r>
      <w:r>
        <w:rPr>
          <w:rFonts w:ascii="Consolas" w:cs="Consolas" w:eastAsia="Consolas" w:hAnsi="Consolas"/>
          <w:b w:val="false"/>
          <w:bCs w:val="false"/>
          <w:sz w:val="19"/>
          <w:szCs w:val="19"/>
        </w:rPr>
        <w:t xml:space="preserve">name</w:t>
      </w:r>
      <w:r>
        <w:rPr>
          <w:b w:val="false"/>
          <w:bCs w:val="false"/>
        </w:rPr>
        <w:t xml:space="preserve">, derived response statistics, cached from the linked meals.</w:t>
      </w:r>
    </w:p>
    <w:p>
      <w:pPr>
        <w:pStyle w:val="ListParagraph"/>
        <w:numPr>
          <w:ilvl w:val="0"/>
          <w:numId w:val="2"/>
        </w:numPr>
        <w:spacing w:after="80" w:line="276"/>
      </w:pPr>
      <w:r>
        <w:rPr>
          <w:rFonts w:ascii="Consolas" w:cs="Consolas" w:eastAsia="Consolas" w:hAnsi="Consolas"/>
          <w:b/>
          <w:bCs/>
          <w:sz w:val="19"/>
          <w:szCs w:val="19"/>
        </w:rPr>
        <w:t xml:space="preserve">InsulinType</w:t>
      </w:r>
      <w:r>
        <w:rPr>
          <w:b w:val="false"/>
          <w:bCs w:val="false"/>
        </w:rPr>
        <w:t xml:space="preserve"> — </w:t>
      </w:r>
      <w:r>
        <w:rPr>
          <w:rFonts w:ascii="Consolas" w:cs="Consolas" w:eastAsia="Consolas" w:hAnsi="Consolas"/>
          <w:b w:val="false"/>
          <w:bCs w:val="false"/>
          <w:sz w:val="19"/>
          <w:szCs w:val="19"/>
        </w:rPr>
        <w:t xml:space="preserve">name</w:t>
      </w:r>
      <w:r>
        <w:rPr>
          <w:b w:val="false"/>
          <w:bCs w:val="false"/>
        </w:rPr>
        <w:t xml:space="preserve">, </w:t>
      </w:r>
      <w:r>
        <w:rPr>
          <w:rFonts w:ascii="Consolas" w:cs="Consolas" w:eastAsia="Consolas" w:hAnsi="Consolas"/>
          <w:b w:val="false"/>
          <w:bCs w:val="false"/>
          <w:sz w:val="19"/>
          <w:szCs w:val="19"/>
        </w:rPr>
        <w:t xml:space="preserve">peakMinutes</w:t>
      </w:r>
      <w:r>
        <w:rPr>
          <w:b w:val="false"/>
          <w:bCs w:val="false"/>
        </w:rPr>
        <w:t xml:space="preserve">, </w:t>
      </w:r>
      <w:r>
        <w:rPr>
          <w:rFonts w:ascii="Consolas" w:cs="Consolas" w:eastAsia="Consolas" w:hAnsi="Consolas"/>
          <w:b w:val="false"/>
          <w:bCs w:val="false"/>
          <w:sz w:val="19"/>
          <w:szCs w:val="19"/>
        </w:rPr>
        <w:t xml:space="preserve">durationMinutes</w:t>
      </w:r>
      <w:r>
        <w:rPr>
          <w:b w:val="false"/>
          <w:bCs w:val="false"/>
        </w:rPr>
        <w:t xml:space="preserve">, </w:t>
      </w:r>
      <w:r>
        <w:rPr>
          <w:rFonts w:ascii="Consolas" w:cs="Consolas" w:eastAsia="Consolas" w:hAnsi="Consolas"/>
          <w:b w:val="false"/>
          <w:bCs w:val="false"/>
          <w:sz w:val="19"/>
          <w:szCs w:val="19"/>
        </w:rPr>
        <w:t xml:space="preserve">isBasal</w:t>
      </w:r>
      <w:r>
        <w:rPr>
          <w:b w:val="false"/>
          <w:bCs w:val="false"/>
        </w:rPr>
        <w:t xml:space="preserve">.</w:t>
      </w:r>
    </w:p>
    <w:p>
      <w:pPr>
        <w:pStyle w:val="ListParagraph"/>
        <w:numPr>
          <w:ilvl w:val="0"/>
          <w:numId w:val="2"/>
        </w:numPr>
        <w:spacing w:after="80" w:line="276"/>
      </w:pPr>
      <w:r>
        <w:rPr>
          <w:rFonts w:ascii="Consolas" w:cs="Consolas" w:eastAsia="Consolas" w:hAnsi="Consolas"/>
          <w:b/>
          <w:bCs/>
          <w:sz w:val="19"/>
          <w:szCs w:val="19"/>
        </w:rPr>
        <w:t xml:space="preserve">DailyAggregate</w:t>
      </w:r>
      <w:r>
        <w:rPr>
          <w:b w:val="false"/>
          <w:bCs w:val="false"/>
        </w:rPr>
        <w:t xml:space="preserve"> — pre-computed per-day statistics for fast long-window rendering (§4.5).</w:t>
      </w:r>
    </w:p>
    <w:p>
      <w:pPr>
        <w:pStyle w:val="ListParagraph"/>
        <w:numPr>
          <w:ilvl w:val="0"/>
          <w:numId w:val="2"/>
        </w:numPr>
        <w:spacing w:after="80" w:line="276"/>
      </w:pPr>
      <w:r>
        <w:rPr>
          <w:rFonts w:ascii="Consolas" w:cs="Consolas" w:eastAsia="Consolas" w:hAnsi="Consolas"/>
          <w:b/>
          <w:bCs/>
          <w:sz w:val="19"/>
          <w:szCs w:val="19"/>
        </w:rPr>
        <w:t xml:space="preserve">UserSettings</w:t>
      </w:r>
      <w:r>
        <w:rPr>
          <w:b w:val="false"/>
          <w:bCs w:val="false"/>
        </w:rPr>
        <w:t xml:space="preserve"> — </w:t>
      </w:r>
      <w:r>
        <w:rPr>
          <w:rFonts w:ascii="Consolas" w:cs="Consolas" w:eastAsia="Consolas" w:hAnsi="Consolas"/>
          <w:b w:val="false"/>
          <w:bCs w:val="false"/>
          <w:sz w:val="19"/>
          <w:szCs w:val="19"/>
        </w:rPr>
        <w:t xml:space="preserve">targetLow</w:t>
      </w:r>
      <w:r>
        <w:rPr>
          <w:b w:val="false"/>
          <w:bCs w:val="false"/>
        </w:rPr>
        <w:t xml:space="preserve">, </w:t>
      </w:r>
      <w:r>
        <w:rPr>
          <w:rFonts w:ascii="Consolas" w:cs="Consolas" w:eastAsia="Consolas" w:hAnsi="Consolas"/>
          <w:b w:val="false"/>
          <w:bCs w:val="false"/>
          <w:sz w:val="19"/>
          <w:szCs w:val="19"/>
        </w:rPr>
        <w:t xml:space="preserve">targetHigh</w:t>
      </w:r>
      <w:r>
        <w:rPr>
          <w:b w:val="false"/>
          <w:bCs w:val="false"/>
        </w:rPr>
        <w:t xml:space="preserve">, </w:t>
      </w:r>
      <w:r>
        <w:rPr>
          <w:rFonts w:ascii="Consolas" w:cs="Consolas" w:eastAsia="Consolas" w:hAnsi="Consolas"/>
          <w:b w:val="false"/>
          <w:bCs w:val="false"/>
          <w:sz w:val="19"/>
          <w:szCs w:val="19"/>
        </w:rPr>
        <w:t xml:space="preserve">units</w:t>
      </w:r>
      <w:r>
        <w:rPr>
          <w:b w:val="false"/>
          <w:bCs w:val="false"/>
        </w:rPr>
        <w:t xml:space="preserve">, </w:t>
      </w:r>
      <w:r>
        <w:rPr>
          <w:rFonts w:ascii="Consolas" w:cs="Consolas" w:eastAsia="Consolas" w:hAnsi="Consolas"/>
          <w:b w:val="false"/>
          <w:bCs w:val="false"/>
          <w:sz w:val="19"/>
          <w:szCs w:val="19"/>
        </w:rPr>
        <w:t xml:space="preserve">theme</w:t>
      </w:r>
      <w:r>
        <w:rPr>
          <w:b w:val="false"/>
          <w:bCs w:val="false"/>
        </w:rPr>
        <w:t xml:space="preserve">, </w:t>
      </w:r>
      <w:r>
        <w:rPr>
          <w:rFonts w:ascii="Consolas" w:cs="Consolas" w:eastAsia="Consolas" w:hAnsi="Consolas"/>
          <w:b w:val="false"/>
          <w:bCs w:val="false"/>
          <w:sz w:val="19"/>
          <w:szCs w:val="19"/>
        </w:rPr>
        <w:t xml:space="preserve">bedsideSchedule</w:t>
      </w:r>
      <w:r>
        <w:rPr>
          <w:b w:val="false"/>
          <w:bCs w:val="false"/>
        </w:rPr>
        <w:t xml:space="preserve">, </w:t>
      </w:r>
      <w:r>
        <w:rPr>
          <w:rFonts w:ascii="Consolas" w:cs="Consolas" w:eastAsia="Consolas" w:hAnsi="Consolas"/>
          <w:b w:val="false"/>
          <w:bCs w:val="false"/>
          <w:sz w:val="19"/>
          <w:szCs w:val="19"/>
        </w:rPr>
        <w:t xml:space="preserve">dexcomRegion</w:t>
      </w:r>
      <w:r>
        <w:rPr>
          <w:b w:val="false"/>
          <w:bCs w:val="false"/>
        </w:rPr>
        <w:t xml:space="preserve">, </w:t>
      </w:r>
      <w:r>
        <w:rPr>
          <w:rFonts w:ascii="Consolas" w:cs="Consolas" w:eastAsia="Consolas" w:hAnsi="Consolas"/>
          <w:b w:val="false"/>
          <w:bCs w:val="false"/>
          <w:sz w:val="19"/>
          <w:szCs w:val="19"/>
        </w:rPr>
        <w:t xml:space="preserve">isf</w:t>
      </w:r>
      <w:r>
        <w:rPr>
          <w:b w:val="false"/>
          <w:bCs w:val="false"/>
        </w:rPr>
        <w:t xml:space="preserve">, </w:t>
      </w:r>
      <w:r>
        <w:rPr>
          <w:rFonts w:ascii="Consolas" w:cs="Consolas" w:eastAsia="Consolas" w:hAnsi="Consolas"/>
          <w:b w:val="false"/>
          <w:bCs w:val="false"/>
          <w:sz w:val="19"/>
          <w:szCs w:val="19"/>
        </w:rPr>
        <w:t xml:space="preserve">icr</w:t>
      </w:r>
      <w:r>
        <w:rPr>
          <w:b w:val="false"/>
          <w:bCs w:val="false"/>
        </w:rPr>
        <w:t xml:space="preserve">, </w:t>
      </w:r>
      <w:r>
        <w:rPr>
          <w:rFonts w:ascii="Consolas" w:cs="Consolas" w:eastAsia="Consolas" w:hAnsi="Consolas"/>
          <w:b w:val="false"/>
          <w:bCs w:val="false"/>
          <w:sz w:val="19"/>
          <w:szCs w:val="19"/>
        </w:rPr>
        <w:t xml:space="preserve">carbAbsorptionMinutes</w:t>
      </w:r>
      <w:r>
        <w:rPr>
          <w:b w:val="false"/>
          <w:bCs w:val="false"/>
        </w:rPr>
        <w:t xml:space="preserve">.</w:t>
      </w:r>
    </w:p>
    <w:p>
      <w:pPr>
        <w:spacing w:after="100" w:before="180"/>
      </w:pPr>
      <w:r>
        <w:rPr>
          <w:b/>
          <w:bCs/>
          <w:color w:val="1F4D78"/>
        </w:rPr>
        <w:t xml:space="preserve">Constraints that shape the schema from day one</w:t>
      </w:r>
    </w:p>
    <w:p>
      <w:pPr>
        <w:pStyle w:val="ListParagraph"/>
        <w:numPr>
          <w:ilvl w:val="0"/>
          <w:numId w:val="2"/>
        </w:numPr>
        <w:spacing w:after="80" w:line="276"/>
      </w:pPr>
      <w:r>
        <w:rPr>
          <w:b/>
          <w:bCs/>
        </w:rPr>
        <w:t xml:space="preserve">No </w:t>
      </w:r>
      <w:r>
        <w:rPr>
          <w:rFonts w:ascii="Consolas" w:cs="Consolas" w:eastAsia="Consolas" w:hAnsi="Consolas"/>
          <w:b/>
          <w:bCs/>
          <w:sz w:val="19"/>
          <w:szCs w:val="19"/>
        </w:rPr>
        <w:t xml:space="preserve">@Attribute(.unique)</w:t>
      </w:r>
      <w:r>
        <w:rPr>
          <w:b/>
          <w:bCs/>
        </w:rPr>
        <w:t xml:space="preserve"> anywhere.</w:t>
      </w:r>
      <w:r>
        <w:rPr>
          <w:b w:val="false"/>
          <w:bCs w:val="false"/>
        </w:rPr>
        <w:t xml:space="preserve"> SwiftData's CloudKit backing does not support unique constraints, and v3 (§3.3) commits to CloudKit sync. v1.1's </w:t>
      </w:r>
      <w:r>
        <w:rPr>
          <w:rFonts w:ascii="Consolas" w:cs="Consolas" w:eastAsia="Consolas" w:hAnsi="Consolas"/>
          <w:b w:val="false"/>
          <w:bCs w:val="false"/>
          <w:sz w:val="19"/>
          <w:szCs w:val="19"/>
        </w:rPr>
        <w:t xml:space="preserve">syncId (for dedup)</w:t>
      </w:r>
      <w:r>
        <w:rPr>
          <w:b w:val="false"/>
          <w:bCs w:val="false"/>
        </w:rPr>
        <w:t xml:space="preserve"> implied a unique attribute; deduplication is instead enforced in the coordinator (§4.2.4) with </w:t>
      </w:r>
      <w:r>
        <w:rPr>
          <w:rFonts w:ascii="Consolas" w:cs="Consolas" w:eastAsia="Consolas" w:hAnsi="Consolas"/>
          <w:b w:val="false"/>
          <w:bCs w:val="false"/>
          <w:sz w:val="19"/>
          <w:szCs w:val="19"/>
        </w:rPr>
        <w:t xml:space="preserve">dedupKey</w:t>
      </w:r>
      <w:r>
        <w:rPr>
          <w:b w:val="false"/>
          <w:bCs w:val="false"/>
        </w:rPr>
        <w:t xml:space="preserve"> as a plain indexed attribute and an explicit fetch-then-upsert. Discovering this at v3 would mean a migration of the entire history.</w:t>
      </w:r>
    </w:p>
    <w:p>
      <w:pPr>
        <w:pStyle w:val="ListParagraph"/>
        <w:numPr>
          <w:ilvl w:val="0"/>
          <w:numId w:val="2"/>
        </w:numPr>
        <w:spacing w:after="80" w:line="276"/>
      </w:pPr>
      <w:r>
        <w:rPr>
          <w:b/>
          <w:bCs/>
        </w:rPr>
        <w:t xml:space="preserve">Every property is optional or has a default, and no relationship uses a </w:t>
      </w:r>
      <w:r>
        <w:rPr>
          <w:rFonts w:ascii="Consolas" w:cs="Consolas" w:eastAsia="Consolas" w:hAnsi="Consolas"/>
          <w:b/>
          <w:bCs/>
          <w:sz w:val="19"/>
          <w:szCs w:val="19"/>
        </w:rPr>
        <w:t xml:space="preserve">.deny</w:t>
      </w:r>
      <w:r>
        <w:rPr>
          <w:b/>
          <w:bCs/>
        </w:rPr>
        <w:t xml:space="preserve"> delete rule</w:t>
      </w:r>
      <w:r>
        <w:rPr>
          <w:b w:val="false"/>
          <w:bCs w:val="false"/>
        </w:rPr>
        <w:t xml:space="preserve"> — the other two CloudKit requirements. Adopting them now costs nothing; retrofitting them costs a migration.</w:t>
      </w:r>
    </w:p>
    <w:p>
      <w:pPr>
        <w:pStyle w:val="ListParagraph"/>
        <w:numPr>
          <w:ilvl w:val="0"/>
          <w:numId w:val="2"/>
        </w:numPr>
        <w:spacing w:after="80" w:line="276"/>
      </w:pPr>
      <w:r>
        <w:rPr>
          <w:rFonts w:ascii="Consolas" w:cs="Consolas" w:eastAsia="Consolas" w:hAnsi="Consolas"/>
          <w:b/>
          <w:bCs/>
          <w:sz w:val="19"/>
          <w:szCs w:val="19"/>
        </w:rPr>
        <w:t xml:space="preserve">VersionedSchema</w:t>
      </w:r>
      <w:r>
        <w:rPr>
          <w:b/>
          <w:bCs/>
        </w:rPr>
        <w:t xml:space="preserve"> and a </w:t>
      </w:r>
      <w:r>
        <w:rPr>
          <w:rFonts w:ascii="Consolas" w:cs="Consolas" w:eastAsia="Consolas" w:hAnsi="Consolas"/>
          <w:b/>
          <w:bCs/>
          <w:sz w:val="19"/>
          <w:szCs w:val="19"/>
        </w:rPr>
        <w:t xml:space="preserve">SchemaMigrationPlan</w:t>
      </w:r>
      <w:r>
        <w:rPr>
          <w:b/>
          <w:bCs/>
        </w:rPr>
        <w:t xml:space="preserve"> from v1.</w:t>
      </w:r>
      <w:r>
        <w:rPr>
          <w:b w:val="false"/>
          <w:bCs w:val="false"/>
        </w:rPr>
        <w:t xml:space="preserve"> SwiftData was chosen partly for migrations, and v1.1 then had no migration plan despite committing to model changes at v2 (logging) and v3 (CloudKit). By the time v2 ships there will be months of irreplaceable readings in the store. Each schema version gets a migration test that loads a fixture store from the previous version.</w:t>
      </w:r>
    </w:p>
    <w:p>
      <w:pPr>
        <w:pStyle w:val="ListParagraph"/>
        <w:numPr>
          <w:ilvl w:val="0"/>
          <w:numId w:val="2"/>
        </w:numPr>
        <w:spacing w:after="80" w:line="276"/>
      </w:pPr>
      <w:r>
        <w:rPr>
          <w:b/>
          <w:bCs/>
        </w:rPr>
        <w:t xml:space="preserve">Store lives in the App Group container.</w:t>
      </w:r>
      <w:r>
        <w:rPr>
          <w:b w:val="false"/>
          <w:bCs w:val="false"/>
        </w:rPr>
        <w:t xml:space="preserve"> Widgets, the Live Activity, and the Watch app cannot read the default container.</w:t>
      </w:r>
    </w:p>
    <w:p>
      <w:pPr>
        <w:pStyle w:val="ListParagraph"/>
        <w:numPr>
          <w:ilvl w:val="0"/>
          <w:numId w:val="2"/>
        </w:numPr>
        <w:spacing w:after="80" w:line="276"/>
      </w:pPr>
      <w:r>
        <w:rPr>
          <w:b/>
          <w:bCs/>
        </w:rPr>
        <w:t xml:space="preserve">All writes go through a </w:t>
      </w:r>
      <w:r>
        <w:rPr>
          <w:rFonts w:ascii="Consolas" w:cs="Consolas" w:eastAsia="Consolas" w:hAnsi="Consolas"/>
          <w:b/>
          <w:bCs/>
          <w:sz w:val="19"/>
          <w:szCs w:val="19"/>
        </w:rPr>
        <w:t xml:space="preserve">@ModelActor</w:t>
      </w:r>
      <w:r>
        <w:rPr>
          <w:b/>
          <w:bCs/>
        </w:rPr>
        <w:t xml:space="preserve">.</w:t>
      </w:r>
      <w:r>
        <w:rPr>
          <w:b w:val="false"/>
          <w:bCs w:val="false"/>
        </w:rPr>
        <w:t xml:space="preserve"> </w:t>
      </w:r>
      <w:r>
        <w:rPr>
          <w:rFonts w:ascii="Consolas" w:cs="Consolas" w:eastAsia="Consolas" w:hAnsi="Consolas"/>
          <w:b w:val="false"/>
          <w:bCs w:val="false"/>
          <w:sz w:val="19"/>
          <w:szCs w:val="19"/>
        </w:rPr>
        <w:t xml:space="preserve">ModelContext</w:t>
      </w:r>
      <w:r>
        <w:rPr>
          <w:b w:val="false"/>
          <w:bCs w:val="false"/>
        </w:rPr>
        <w:t xml:space="preserve"> is not </w:t>
      </w:r>
      <w:r>
        <w:rPr>
          <w:rFonts w:ascii="Consolas" w:cs="Consolas" w:eastAsia="Consolas" w:hAnsi="Consolas"/>
          <w:b w:val="false"/>
          <w:bCs w:val="false"/>
          <w:sz w:val="19"/>
          <w:szCs w:val="19"/>
        </w:rPr>
        <w:t xml:space="preserve">Sendable</w:t>
      </w:r>
      <w:r>
        <w:rPr>
          <w:b w:val="false"/>
          <w:bCs w:val="false"/>
        </w:rPr>
        <w:t xml:space="preserve">; under Swift 6 strict concurrency, sharing one across the source actors will not compile — and working around it with </w:t>
      </w:r>
      <w:r>
        <w:rPr>
          <w:rFonts w:ascii="Consolas" w:cs="Consolas" w:eastAsia="Consolas" w:hAnsi="Consolas"/>
          <w:b w:val="false"/>
          <w:bCs w:val="false"/>
          <w:sz w:val="19"/>
          <w:szCs w:val="19"/>
        </w:rPr>
        <w:t xml:space="preserve">@unchecked Sendable</w:t>
      </w:r>
      <w:r>
        <w:rPr>
          <w:b w:val="false"/>
          <w:bCs w:val="false"/>
        </w:rPr>
        <w:t xml:space="preserve"> produces data races that surface as store corruption.</w:t>
      </w:r>
    </w:p>
    <w:p>
      <w:pPr>
        <w:pStyle w:val="ListParagraph"/>
        <w:numPr>
          <w:ilvl w:val="0"/>
          <w:numId w:val="2"/>
        </w:numPr>
        <w:spacing w:after="80" w:line="276"/>
      </w:pPr>
      <w:r>
        <w:rPr>
          <w:b/>
          <w:bCs/>
        </w:rPr>
        <w:t xml:space="preserve">Photos use </w:t>
      </w:r>
      <w:r>
        <w:rPr>
          <w:rFonts w:ascii="Consolas" w:cs="Consolas" w:eastAsia="Consolas" w:hAnsi="Consolas"/>
          <w:b/>
          <w:bCs/>
          <w:sz w:val="19"/>
          <w:szCs w:val="19"/>
        </w:rPr>
        <w:t xml:space="preserve">.externalStorage</w:t>
      </w:r>
      <w:r>
        <w:rPr>
          <w:b/>
          <w:bCs/>
        </w:rPr>
        <w:t xml:space="preserve">.</w:t>
      </w:r>
      <w:r>
        <w:rPr>
          <w:b w:val="false"/>
          <w:bCs w:val="false"/>
        </w:rPr>
        <w:t xml:space="preserve"> Inline blobs bloat the store and slow every unrelated query. v1.1 stored </w:t>
      </w:r>
      <w:r>
        <w:rPr>
          <w:rFonts w:ascii="Consolas" w:cs="Consolas" w:eastAsia="Consolas" w:hAnsi="Consolas"/>
          <w:b w:val="false"/>
          <w:bCs w:val="false"/>
          <w:sz w:val="19"/>
          <w:szCs w:val="19"/>
        </w:rPr>
        <w:t xml:space="preserve">photoData</w:t>
      </w:r>
      <w:r>
        <w:rPr>
          <w:b w:val="false"/>
          <w:bCs w:val="false"/>
        </w:rPr>
        <w:t xml:space="preserve"> directly.</w:t>
      </w:r>
    </w:p>
    <w:p>
      <w:pPr>
        <w:spacing w:after="100" w:before="180"/>
      </w:pPr>
      <w:r>
        <w:rPr>
          <w:b/>
          <w:bCs/>
          <w:color w:val="1F4D78"/>
        </w:rPr>
        <w:t xml:space="preserve">Retention</w:t>
      </w:r>
    </w:p>
    <w:p>
      <w:pPr>
        <w:spacing w:after="120" w:line="276"/>
      </w:pPr>
      <w:r>
        <w:rPr>
          <w:b w:val="false"/>
          <w:bCs w:val="false"/>
        </w:rPr>
        <w:t xml:space="preserve">v1.1 had no retention policy, and its 90-day HealthKit backfill window means data older than 90 days exists only if the app was running to capture it. Policy:</w:t>
      </w:r>
    </w:p>
    <w:p>
      <w:pPr>
        <w:pStyle w:val="ListParagraph"/>
        <w:numPr>
          <w:ilvl w:val="0"/>
          <w:numId w:val="2"/>
        </w:numPr>
        <w:spacing w:after="80" w:line="276"/>
      </w:pPr>
      <w:r>
        <w:rPr>
          <w:b w:val="false"/>
          <w:bCs w:val="false"/>
        </w:rPr>
        <w:t xml:space="preserve">Raw readings are retained indefinitely — roughly 105,000 rows per year at 5-minute cadence, which is a few tens of megabytes and not a problem.</w:t>
      </w:r>
    </w:p>
    <w:p>
      <w:pPr>
        <w:pStyle w:val="ListParagraph"/>
        <w:numPr>
          <w:ilvl w:val="0"/>
          <w:numId w:val="2"/>
        </w:numPr>
        <w:spacing w:after="80" w:line="276"/>
      </w:pPr>
      <w:r>
        <w:rPr>
          <w:rFonts w:ascii="Consolas" w:cs="Consolas" w:eastAsia="Consolas" w:hAnsi="Consolas"/>
          <w:b w:val="false"/>
          <w:bCs w:val="false"/>
          <w:sz w:val="19"/>
          <w:szCs w:val="19"/>
        </w:rPr>
        <w:t xml:space="preserve">DailyAggregate</w:t>
      </w:r>
      <w:r>
        <w:rPr>
          <w:b w:val="false"/>
          <w:bCs w:val="false"/>
        </w:rPr>
        <w:t xml:space="preserve"> rows are computed nightly and retained indefinitely; they are what long-window views actually read.</w:t>
      </w:r>
    </w:p>
    <w:p>
      <w:pPr>
        <w:pStyle w:val="ListParagraph"/>
        <w:numPr>
          <w:ilvl w:val="0"/>
          <w:numId w:val="2"/>
        </w:numPr>
        <w:spacing w:after="80" w:line="276"/>
      </w:pPr>
      <w:r>
        <w:rPr>
          <w:b w:val="false"/>
          <w:bCs w:val="false"/>
        </w:rPr>
        <w:t xml:space="preserve">Meal photos are the only real storage pressure. Offer an optional “compress photos older than 1 year” maintenance action.</w:t>
      </w:r>
    </w:p>
    <w:p>
      <w:pPr>
        <w:pStyle w:val="ListParagraph"/>
        <w:numPr>
          <w:ilvl w:val="0"/>
          <w:numId w:val="2"/>
        </w:numPr>
        <w:spacing w:after="80" w:line="276"/>
      </w:pPr>
      <w:r>
        <w:rPr>
          <w:b w:val="false"/>
          <w:bCs w:val="false"/>
        </w:rPr>
        <w:t xml:space="preserve">Nothing is ever auto-deleted without explicit user action.</w:t>
      </w:r>
    </w:p>
    <w:p>
      <w:pPr>
        <w:pStyle w:val="Heading2"/>
        <w:spacing w:after="140" w:before="280"/>
      </w:pPr>
      <w:r>
        <w:rPr>
          <w:b w:val="false"/>
          <w:bCs w:val="false"/>
        </w:rPr>
        <w:t xml:space="preserve">4.4 Prediction Engine</w:t>
      </w:r>
    </w:p>
    <w:p>
      <w:pPr>
        <w:spacing w:after="120" w:line="276"/>
      </w:pPr>
      <w:r>
        <w:rPr>
          <w:b w:val="false"/>
          <w:bCs w:val="false"/>
        </w:rPr>
        <w:t xml:space="preserve">Implemented as a pure Swift module with no UI dependencies, fully unit-testable against synthetic input.</w:t>
      </w:r>
    </w:p>
    <w:p>
      <w:pPr>
        <w:spacing w:after="100" w:before="180"/>
      </w:pPr>
      <w:r>
        <w:rPr>
          <w:b/>
          <w:bCs/>
          <w:color w:val="1F4D78"/>
        </w:rPr>
        <w:t xml:space="preserve">IOBCalculator — corrected model</w:t>
      </w:r>
    </w:p>
    <w:p>
      <w:pPr>
        <w:spacing w:after="120" w:line="276"/>
      </w:pPr>
      <w:r>
        <w:rPr>
          <w:b/>
          <w:bCs/>
        </w:rPr>
        <w:t xml:space="preserve">v1.1 specified linear decay over 4 hours for rapid-acting insulin. This is wrong in both shape and duration</w:t>
      </w:r>
      <w:r>
        <w:rPr>
          <w:b w:val="false"/>
          <w:bCs w:val="false"/>
        </w:rPr>
        <w:t xml:space="preserve">, and because IOB feeds the meal-response estimator, the error propagates into every prediction the app makes.</w:t>
      </w:r>
    </w:p>
    <w:p>
      <w:pPr>
        <w:pStyle w:val="ListParagraph"/>
        <w:numPr>
          <w:ilvl w:val="0"/>
          <w:numId w:val="2"/>
        </w:numPr>
        <w:spacing w:after="80" w:line="276"/>
      </w:pPr>
      <w:r>
        <w:rPr>
          <w:b/>
          <w:bCs/>
        </w:rPr>
        <w:t xml:space="preserve">Shape:</w:t>
      </w:r>
      <w:r>
        <w:rPr>
          <w:b w:val="false"/>
          <w:bCs w:val="false"/>
        </w:rPr>
        <w:t xml:space="preserve"> insulin activity is not linear. It rises to a peak at roughly 60–90 minutes and decays with a long tail. Linear decay overestimates IOB through the first hour and underestimates it for the last two.</w:t>
      </w:r>
    </w:p>
    <w:p>
      <w:pPr>
        <w:pStyle w:val="ListParagraph"/>
        <w:numPr>
          <w:ilvl w:val="0"/>
          <w:numId w:val="2"/>
        </w:numPr>
        <w:spacing w:after="80" w:line="276"/>
      </w:pPr>
      <w:r>
        <w:rPr>
          <w:b/>
          <w:bCs/>
        </w:rPr>
        <w:t xml:space="preserve">Duration:</w:t>
      </w:r>
      <w:r>
        <w:rPr>
          <w:b w:val="false"/>
          <w:bCs w:val="false"/>
        </w:rPr>
        <w:t xml:space="preserve"> the duration of action for rapid analogues is 5–6 hours, not 4. The Loop/AAPS community consensus is 360 minutes.</w:t>
      </w:r>
    </w:p>
    <w:p>
      <w:pPr>
        <w:spacing w:after="120" w:line="276"/>
      </w:pPr>
      <w:r>
        <w:rPr>
          <w:b w:val="false"/>
          <w:bCs w:val="false"/>
        </w:rPr>
        <w:t xml:space="preserve">GlucoNoir uses the bi-exponential model from LoopKit, parameterised by peak time and duration:</w:t>
      </w:r>
    </w:p>
    <w:p>
      <w:pPr>
        <w:spacing w:after="60"/>
        <w:ind w:left="360"/>
      </w:pPr>
      <w:r>
        <w:rPr>
          <w:rFonts w:ascii="Consolas" w:cs="Consolas" w:eastAsia="Consolas" w:hAnsi="Consolas"/>
          <w:b w:val="false"/>
          <w:bCs w:val="false"/>
          <w:sz w:val="19"/>
          <w:szCs w:val="19"/>
        </w:rPr>
        <w:t xml:space="preserve">τ = tp · (1 − tp/td) / (1 − 2·tp/td)</w:t>
      </w:r>
    </w:p>
    <w:p>
      <w:pPr>
        <w:spacing w:after="60"/>
        <w:ind w:left="360"/>
      </w:pPr>
      <w:r>
        <w:rPr>
          <w:rFonts w:ascii="Consolas" w:cs="Consolas" w:eastAsia="Consolas" w:hAnsi="Consolas"/>
          <w:b w:val="false"/>
          <w:bCs w:val="false"/>
          <w:sz w:val="19"/>
          <w:szCs w:val="19"/>
        </w:rPr>
        <w:t xml:space="preserve">a = 2τ / td</w:t>
      </w:r>
    </w:p>
    <w:p>
      <w:pPr>
        <w:spacing w:after="60"/>
        <w:ind w:left="360"/>
      </w:pPr>
      <w:r>
        <w:rPr>
          <w:rFonts w:ascii="Consolas" w:cs="Consolas" w:eastAsia="Consolas" w:hAnsi="Consolas"/>
          <w:b w:val="false"/>
          <w:bCs w:val="false"/>
          <w:sz w:val="19"/>
          <w:szCs w:val="19"/>
        </w:rPr>
        <w:t xml:space="preserve">S = 1 / (1 − a + (1 + a)·e^(−td/τ))</w:t>
      </w:r>
    </w:p>
    <w:p>
      <w:pPr>
        <w:spacing w:after="160"/>
        <w:ind w:left="360"/>
      </w:pPr>
      <w:r>
        <w:rPr>
          <w:rFonts w:ascii="Consolas" w:cs="Consolas" w:eastAsia="Consolas" w:hAnsi="Consolas"/>
          <w:b w:val="false"/>
          <w:bCs w:val="false"/>
          <w:sz w:val="19"/>
          <w:szCs w:val="19"/>
        </w:rPr>
        <w:t xml:space="preserve">IOB(t) = 1 − S·(1 − a)·((t²/(τ·td·(1−a)) − t/τ − 1)·e^(−t/τ) + 1)</w:t>
      </w:r>
    </w:p>
    <w:p>
      <w:pPr>
        <w:spacing w:after="120" w:line="276"/>
      </w:pPr>
      <w:r>
        <w:rPr>
          <w:b w:val="false"/>
          <w:bCs w:val="false"/>
        </w:rPr>
        <w:t xml:space="preserve">where </w:t>
      </w:r>
      <w:r>
        <w:rPr>
          <w:rFonts w:ascii="Consolas" w:cs="Consolas" w:eastAsia="Consolas" w:hAnsi="Consolas"/>
          <w:b w:val="false"/>
          <w:bCs w:val="false"/>
          <w:sz w:val="19"/>
          <w:szCs w:val="19"/>
        </w:rPr>
        <w:t xml:space="preserve">tp</w:t>
      </w:r>
      <w:r>
        <w:rPr>
          <w:b w:val="false"/>
          <w:bCs w:val="false"/>
        </w:rPr>
        <w:t xml:space="preserve"> is peak time, </w:t>
      </w:r>
      <w:r>
        <w:rPr>
          <w:rFonts w:ascii="Consolas" w:cs="Consolas" w:eastAsia="Consolas" w:hAnsi="Consolas"/>
          <w:b w:val="false"/>
          <w:bCs w:val="false"/>
          <w:sz w:val="19"/>
          <w:szCs w:val="19"/>
        </w:rPr>
        <w:t xml:space="preserve">td</w:t>
      </w:r>
      <w:r>
        <w:rPr>
          <w:b w:val="false"/>
          <w:bCs w:val="false"/>
        </w:rPr>
        <w:t xml:space="preserve"> is duration of action, and </w:t>
      </w:r>
      <w:r>
        <w:rPr>
          <w:rFonts w:ascii="Consolas" w:cs="Consolas" w:eastAsia="Consolas" w:hAnsi="Consolas"/>
          <w:b w:val="false"/>
          <w:bCs w:val="false"/>
          <w:sz w:val="19"/>
          <w:szCs w:val="19"/>
        </w:rPr>
        <w:t xml:space="preserve">t</w:t>
      </w:r>
      <w:r>
        <w:rPr>
          <w:b w:val="false"/>
          <w:bCs w:val="false"/>
        </w:rPr>
        <w:t xml:space="preserve"> is minutes since the dose. </w:t>
      </w:r>
      <w:r>
        <w:rPr>
          <w:rFonts w:ascii="Consolas" w:cs="Consolas" w:eastAsia="Consolas" w:hAnsi="Consolas"/>
          <w:b w:val="false"/>
          <w:bCs w:val="false"/>
          <w:sz w:val="19"/>
          <w:szCs w:val="19"/>
        </w:rPr>
        <w:t xml:space="preserve">IOB(t)</w:t>
      </w:r>
      <w:r>
        <w:rPr>
          <w:b w:val="false"/>
          <w:bCs w:val="false"/>
        </w:rPr>
        <w:t xml:space="preserve"> is the fraction of the dose still active.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200"/>
        <w:gridCol w:w="1700"/>
        <w:gridCol w:w="1900"/>
        <w:gridCol w:w="2560"/>
      </w:tblGrid>
      <w:tr>
        <w:trPr>
          <w:tblHeader/>
        </w:trPr>
        <w:tc>
          <w:tcPr>
            <w:tcW w:type="dxa" w:w="3200"/>
            <w:shd w:fill="DEEAF6" w:color="auto" w:val="clear"/>
            <w:tcMar>
              <w:top w:type="dxa" w:w="60"/>
              <w:left w:type="dxa" w:w="100"/>
              <w:bottom w:type="dxa" w:w="60"/>
              <w:right w:type="dxa" w:w="100"/>
            </w:tcMar>
          </w:tcPr>
          <w:p>
            <w:pPr>
              <w:spacing w:after="0" w:line="250"/>
            </w:pPr>
            <w:r>
              <w:rPr>
                <w:b/>
                <w:bCs/>
                <w:sz w:val="20"/>
                <w:szCs w:val="20"/>
              </w:rPr>
              <w:t xml:space="preserve">Insulin</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Peak (tp)</w:t>
            </w:r>
          </w:p>
        </w:tc>
        <w:tc>
          <w:tcPr>
            <w:tcW w:type="dxa" w:w="1900"/>
            <w:shd w:fill="DEEAF6" w:color="auto" w:val="clear"/>
            <w:tcMar>
              <w:top w:type="dxa" w:w="60"/>
              <w:left w:type="dxa" w:w="100"/>
              <w:bottom w:type="dxa" w:w="60"/>
              <w:right w:type="dxa" w:w="100"/>
            </w:tcMar>
          </w:tcPr>
          <w:p>
            <w:pPr>
              <w:spacing w:after="0" w:line="250"/>
            </w:pPr>
            <w:r>
              <w:rPr>
                <w:b/>
                <w:bCs/>
                <w:sz w:val="20"/>
                <w:szCs w:val="20"/>
              </w:rPr>
              <w:t xml:space="preserve">Duration (td)</w:t>
            </w:r>
          </w:p>
        </w:tc>
        <w:tc>
          <w:tcPr>
            <w:tcW w:type="dxa" w:w="2560"/>
            <w:shd w:fill="DEEAF6" w:color="auto" w:val="clear"/>
            <w:tcMar>
              <w:top w:type="dxa" w:w="60"/>
              <w:left w:type="dxa" w:w="100"/>
              <w:bottom w:type="dxa" w:w="60"/>
              <w:right w:type="dxa" w:w="100"/>
            </w:tcMar>
          </w:tcPr>
          <w:p>
            <w:pPr>
              <w:spacing w:after="0" w:line="250"/>
            </w:pPr>
            <w:r>
              <w:rPr>
                <w:b/>
                <w:bCs/>
                <w:sz w:val="20"/>
                <w:szCs w:val="20"/>
              </w:rPr>
              <w:t xml:space="preserve">Notes</w:t>
            </w:r>
          </w:p>
        </w:tc>
      </w:tr>
      <w:tr>
        <w:tc>
          <w:tcPr>
            <w:tcW w:type="dxa" w:w="3200"/>
            <w:tcMar>
              <w:top w:type="dxa" w:w="60"/>
              <w:left w:type="dxa" w:w="100"/>
              <w:bottom w:type="dxa" w:w="60"/>
              <w:right w:type="dxa" w:w="100"/>
            </w:tcMar>
          </w:tcPr>
          <w:p>
            <w:pPr>
              <w:spacing w:after="0" w:line="250"/>
            </w:pPr>
            <w:r>
              <w:rPr>
                <w:b w:val="false"/>
                <w:bCs w:val="false"/>
                <w:sz w:val="20"/>
                <w:szCs w:val="20"/>
              </w:rPr>
              <w:t xml:space="preserve">Rapid-acting (Humalog, Novolog, Apidra)</w:t>
            </w:r>
          </w:p>
        </w:tc>
        <w:tc>
          <w:tcPr>
            <w:tcW w:type="dxa" w:w="1700"/>
            <w:tcMar>
              <w:top w:type="dxa" w:w="60"/>
              <w:left w:type="dxa" w:w="100"/>
              <w:bottom w:type="dxa" w:w="60"/>
              <w:right w:type="dxa" w:w="100"/>
            </w:tcMar>
          </w:tcPr>
          <w:p>
            <w:pPr>
              <w:spacing w:after="0" w:line="250"/>
            </w:pPr>
            <w:r>
              <w:rPr>
                <w:b w:val="false"/>
                <w:bCs w:val="false"/>
                <w:sz w:val="20"/>
                <w:szCs w:val="20"/>
              </w:rPr>
              <w:t xml:space="preserve">75 min</w:t>
            </w:r>
          </w:p>
        </w:tc>
        <w:tc>
          <w:tcPr>
            <w:tcW w:type="dxa" w:w="1900"/>
            <w:tcMar>
              <w:top w:type="dxa" w:w="60"/>
              <w:left w:type="dxa" w:w="100"/>
              <w:bottom w:type="dxa" w:w="60"/>
              <w:right w:type="dxa" w:w="100"/>
            </w:tcMar>
          </w:tcPr>
          <w:p>
            <w:pPr>
              <w:spacing w:after="0" w:line="250"/>
            </w:pPr>
            <w:r>
              <w:rPr>
                <w:b w:val="false"/>
                <w:bCs w:val="false"/>
                <w:sz w:val="20"/>
                <w:szCs w:val="20"/>
              </w:rPr>
              <w:t xml:space="preserve">360 min</w:t>
            </w:r>
          </w:p>
        </w:tc>
        <w:tc>
          <w:tcPr>
            <w:tcW w:type="dxa" w:w="2560"/>
            <w:tcMar>
              <w:top w:type="dxa" w:w="60"/>
              <w:left w:type="dxa" w:w="100"/>
              <w:bottom w:type="dxa" w:w="60"/>
              <w:right w:type="dxa" w:w="100"/>
            </w:tcMar>
          </w:tcPr>
          <w:p>
            <w:pPr>
              <w:spacing w:after="0" w:line="250"/>
            </w:pPr>
            <w:r>
              <w:rPr>
                <w:b w:val="false"/>
                <w:bCs w:val="false"/>
                <w:sz w:val="20"/>
                <w:szCs w:val="20"/>
              </w:rPr>
              <w:t xml:space="preserve">Default.</w:t>
            </w:r>
          </w:p>
        </w:tc>
      </w:tr>
      <w:tr>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Ultra-rapid (Fiasp, Lyumjev)</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55 min</w:t>
            </w:r>
          </w:p>
        </w:tc>
        <w:tc>
          <w:tcPr>
            <w:tcW w:type="dxa" w:w="1900"/>
            <w:shd w:fill="F5F8FC" w:color="auto" w:val="clear"/>
            <w:tcMar>
              <w:top w:type="dxa" w:w="60"/>
              <w:left w:type="dxa" w:w="100"/>
              <w:bottom w:type="dxa" w:w="60"/>
              <w:right w:type="dxa" w:w="100"/>
            </w:tcMar>
          </w:tcPr>
          <w:p>
            <w:pPr>
              <w:spacing w:after="0" w:line="250"/>
            </w:pPr>
            <w:r>
              <w:rPr>
                <w:b w:val="false"/>
                <w:bCs w:val="false"/>
                <w:sz w:val="20"/>
                <w:szCs w:val="20"/>
              </w:rPr>
              <w:t xml:space="preserve">300 min</w:t>
            </w:r>
          </w:p>
        </w:tc>
        <w:tc>
          <w:tcPr>
            <w:tcW w:type="dxa" w:w="2560"/>
            <w:shd w:fill="F5F8FC" w:color="auto" w:val="clear"/>
            <w:tcMar>
              <w:top w:type="dxa" w:w="60"/>
              <w:left w:type="dxa" w:w="100"/>
              <w:bottom w:type="dxa" w:w="60"/>
              <w:right w:type="dxa" w:w="100"/>
            </w:tcMar>
          </w:tcPr>
          <w:p>
            <w:pPr>
              <w:spacing w:after="0" w:line="250"/>
            </w:pPr>
            <w:r>
              <w:rPr>
                <w:b w:val="false"/>
                <w:bCs w:val="false"/>
                <w:sz w:val="20"/>
                <w:szCs w:val="20"/>
              </w:rPr>
              <w:t xml:space="preserve">Faster onset, shorter tail.</w:t>
            </w:r>
          </w:p>
        </w:tc>
      </w:tr>
      <w:tr>
        <w:tc>
          <w:tcPr>
            <w:tcW w:type="dxa" w:w="3200"/>
            <w:tcMar>
              <w:top w:type="dxa" w:w="60"/>
              <w:left w:type="dxa" w:w="100"/>
              <w:bottom w:type="dxa" w:w="60"/>
              <w:right w:type="dxa" w:w="100"/>
            </w:tcMar>
          </w:tcPr>
          <w:p>
            <w:pPr>
              <w:spacing w:after="0" w:line="250"/>
            </w:pPr>
            <w:r>
              <w:rPr>
                <w:b w:val="false"/>
                <w:bCs w:val="false"/>
                <w:sz w:val="20"/>
                <w:szCs w:val="20"/>
              </w:rPr>
              <w:t xml:space="preserve">Long-acting (Tresiba, Lantus, Levemir)</w:t>
            </w:r>
          </w:p>
        </w:tc>
        <w:tc>
          <w:tcPr>
            <w:tcW w:type="dxa" w:w="1700"/>
            <w:tcMar>
              <w:top w:type="dxa" w:w="60"/>
              <w:left w:type="dxa" w:w="100"/>
              <w:bottom w:type="dxa" w:w="60"/>
              <w:right w:type="dxa" w:w="100"/>
            </w:tcMar>
          </w:tcPr>
          <w:p>
            <w:pPr>
              <w:spacing w:after="0" w:line="250"/>
            </w:pPr>
            <w:r>
              <w:rPr>
                <w:b w:val="false"/>
                <w:bCs w:val="false"/>
                <w:sz w:val="20"/>
                <w:szCs w:val="20"/>
              </w:rPr>
              <w:t xml:space="preserve">—</w:t>
            </w:r>
          </w:p>
        </w:tc>
        <w:tc>
          <w:tcPr>
            <w:tcW w:type="dxa" w:w="1900"/>
            <w:tcMar>
              <w:top w:type="dxa" w:w="60"/>
              <w:left w:type="dxa" w:w="100"/>
              <w:bottom w:type="dxa" w:w="60"/>
              <w:right w:type="dxa" w:w="100"/>
            </w:tcMar>
          </w:tcPr>
          <w:p>
            <w:pPr>
              <w:spacing w:after="0" w:line="250"/>
            </w:pPr>
            <w:r>
              <w:rPr>
                <w:b w:val="false"/>
                <w:bCs w:val="false"/>
                <w:sz w:val="20"/>
                <w:szCs w:val="20"/>
              </w:rPr>
              <w:t xml:space="preserve">—</w:t>
            </w:r>
          </w:p>
        </w:tc>
        <w:tc>
          <w:tcPr>
            <w:tcW w:type="dxa" w:w="2560"/>
            <w:tcMar>
              <w:top w:type="dxa" w:w="60"/>
              <w:left w:type="dxa" w:w="100"/>
              <w:bottom w:type="dxa" w:w="60"/>
              <w:right w:type="dxa" w:w="100"/>
            </w:tcMar>
          </w:tcPr>
          <w:p>
            <w:pPr>
              <w:spacing w:after="0" w:line="250"/>
            </w:pPr>
            <w:r>
              <w:rPr>
                <w:b/>
                <w:bCs/>
                <w:sz w:val="20"/>
                <w:szCs w:val="20"/>
              </w:rPr>
              <w:t xml:space="preserve">Excluded from IOB entirely.</w:t>
            </w:r>
            <w:r>
              <w:rPr>
                <w:b w:val="false"/>
                <w:bCs w:val="false"/>
                <w:sz w:val="20"/>
                <w:szCs w:val="20"/>
              </w:rPr>
              <w:t xml:space="preserve"> Logged and displayed separately.</w:t>
            </w:r>
          </w:p>
        </w:tc>
      </w:tr>
    </w:tbl>
    <w:p>
      <w:pPr>
        <w:spacing w:after="100"/>
      </w:pPr>
    </w:p>
    <w:p>
      <w:pPr>
        <w:spacing w:after="120" w:line="276"/>
      </w:pPr>
      <w:r>
        <w:rPr>
          <w:b w:val="false"/>
          <w:bCs w:val="false"/>
        </w:rPr>
        <w:t xml:space="preserve">All parameters are user-editable (§3.1.6). The defaults are a starting point, not a claim about this user's physiology.</w:t>
      </w:r>
    </w:p>
    <w:p>
      <w:pPr>
        <w:spacing w:after="100" w:before="180"/>
      </w:pPr>
      <w:r>
        <w:rPr>
          <w:b/>
          <w:bCs/>
          <w:color w:val="1F4D78"/>
        </w:rPr>
        <w:t xml:space="preserve">COBCalculator</w:t>
      </w:r>
    </w:p>
    <w:p>
      <w:pPr>
        <w:spacing w:after="120" w:line="276"/>
      </w:pPr>
      <w:r>
        <w:rPr>
          <w:b w:val="false"/>
          <w:bCs w:val="false"/>
        </w:rPr>
        <w:t xml:space="preserve">New in v1.2 — v1.1 referenced a “textbook glucose-rise curve scaled by carbs” without defining it. Carbs on board use linear absorption over a user-configured window (default 180 minutes), which is the standard simple model and is transparent enough to explain in one sentence, satisfying §3.2.3's no-black-boxes requirement:</w:t>
      </w:r>
    </w:p>
    <w:p>
      <w:pPr>
        <w:spacing w:after="160"/>
        <w:ind w:left="360"/>
      </w:pPr>
      <w:r>
        <w:rPr>
          <w:rFonts w:ascii="Consolas" w:cs="Consolas" w:eastAsia="Consolas" w:hAnsi="Consolas"/>
          <w:b w:val="false"/>
          <w:bCs w:val="false"/>
          <w:sz w:val="19"/>
          <w:szCs w:val="19"/>
        </w:rPr>
        <w:t xml:space="preserve">COB(t) = carbs · max(0, 1 − t/ta)</w:t>
      </w:r>
    </w:p>
    <w:p>
      <w:pPr>
        <w:spacing w:after="120" w:line="276"/>
      </w:pPr>
      <w:r>
        <w:rPr>
          <w:b w:val="false"/>
          <w:bCs w:val="false"/>
        </w:rPr>
        <w:t xml:space="preserve">where </w:t>
      </w:r>
      <w:r>
        <w:rPr>
          <w:rFonts w:ascii="Consolas" w:cs="Consolas" w:eastAsia="Consolas" w:hAnsi="Consolas"/>
          <w:b w:val="false"/>
          <w:bCs w:val="false"/>
          <w:sz w:val="19"/>
          <w:szCs w:val="19"/>
        </w:rPr>
        <w:t xml:space="preserve">ta</w:t>
      </w:r>
      <w:r>
        <w:rPr>
          <w:b w:val="false"/>
          <w:bCs w:val="false"/>
        </w:rPr>
        <w:t xml:space="preserve"> is the absorption time. Dynamic absorption modelling (as Loop performs) is explicitly out of scope: it requires closed-loop-grade tuning and its failure modes are opaque.</w:t>
      </w:r>
    </w:p>
    <w:p>
      <w:pPr>
        <w:spacing w:after="100" w:before="180"/>
      </w:pPr>
      <w:r>
        <w:rPr>
          <w:b/>
          <w:bCs/>
          <w:color w:val="1F4D78"/>
        </w:rPr>
        <w:t xml:space="preserve">MealResponseEstimator</w:t>
      </w:r>
    </w:p>
    <w:p>
      <w:pPr>
        <w:spacing w:after="120" w:line="276"/>
      </w:pPr>
      <w:r>
        <w:rPr>
          <w:b/>
          <w:bCs/>
        </w:rPr>
        <w:t xml:space="preserve">v1.1 defined this as taking a meal and IOB and returning an expected mg/dL curve. That computation is impossible as specified</w:t>
      </w:r>
      <w:r>
        <w:rPr>
          <w:b w:val="false"/>
          <w:bCs w:val="false"/>
        </w:rPr>
        <w:t xml:space="preserve"> — converting grams of carbohydrate to mg/dL requires an insulin-to-carb ratio, and converting units of insulin to mg/dL requires an insulin sensitivity factor. Neither parameter existed anywhere in v1.1. Both are now required settings (§3.1.6), and the forecast is disabled until they are entered.</w:t>
      </w:r>
    </w:p>
    <w:p>
      <w:pPr>
        <w:spacing w:after="160"/>
        <w:ind w:left="360"/>
      </w:pPr>
      <w:r>
        <w:rPr>
          <w:rFonts w:ascii="Consolas" w:cs="Consolas" w:eastAsia="Consolas" w:hAnsi="Consolas"/>
          <w:b w:val="false"/>
          <w:bCs w:val="false"/>
          <w:sz w:val="19"/>
          <w:szCs w:val="19"/>
        </w:rPr>
        <w:t xml:space="preserve">predicted(t) = current + carbsAbsorbed(t) · (ISF / ICR) − insulinDelivered(t) · ISF · exerciseFactor</w:t>
      </w:r>
    </w:p>
    <w:p>
      <w:pPr>
        <w:pStyle w:val="ListParagraph"/>
        <w:numPr>
          <w:ilvl w:val="0"/>
          <w:numId w:val="2"/>
        </w:numPr>
        <w:spacing w:after="80" w:line="276"/>
      </w:pPr>
      <w:r>
        <w:rPr>
          <w:rFonts w:ascii="Consolas" w:cs="Consolas" w:eastAsia="Consolas" w:hAnsi="Consolas"/>
          <w:b w:val="false"/>
          <w:bCs w:val="false"/>
          <w:sz w:val="19"/>
          <w:szCs w:val="19"/>
        </w:rPr>
        <w:t xml:space="preserve">carbsAbsorbed(t)</w:t>
      </w:r>
      <w:r>
        <w:rPr>
          <w:b w:val="false"/>
          <w:bCs w:val="false"/>
        </w:rPr>
        <w:t xml:space="preserve"> = total carbs − COB(t).</w:t>
      </w:r>
    </w:p>
    <w:p>
      <w:pPr>
        <w:pStyle w:val="ListParagraph"/>
        <w:numPr>
          <w:ilvl w:val="0"/>
          <w:numId w:val="2"/>
        </w:numPr>
        <w:spacing w:after="80" w:line="276"/>
      </w:pPr>
      <w:r>
        <w:rPr>
          <w:rFonts w:ascii="Consolas" w:cs="Consolas" w:eastAsia="Consolas" w:hAnsi="Consolas"/>
          <w:b w:val="false"/>
          <w:bCs w:val="false"/>
          <w:sz w:val="19"/>
          <w:szCs w:val="19"/>
        </w:rPr>
        <w:t xml:space="preserve">insulinDelivered(t)</w:t>
      </w:r>
      <w:r>
        <w:rPr>
          <w:b w:val="false"/>
          <w:bCs w:val="false"/>
        </w:rPr>
        <w:t xml:space="preserve"> = total units − IOB(t), summed across all active bolus doses.</w:t>
      </w:r>
    </w:p>
    <w:p>
      <w:pPr>
        <w:pStyle w:val="ListParagraph"/>
        <w:numPr>
          <w:ilvl w:val="0"/>
          <w:numId w:val="2"/>
        </w:numPr>
        <w:spacing w:after="80" w:line="276"/>
      </w:pPr>
      <w:r>
        <w:rPr>
          <w:rFonts w:ascii="Consolas" w:cs="Consolas" w:eastAsia="Consolas" w:hAnsi="Consolas"/>
          <w:b w:val="false"/>
          <w:bCs w:val="false"/>
          <w:sz w:val="19"/>
          <w:szCs w:val="19"/>
        </w:rPr>
        <w:t xml:space="preserve">exerciseFactor</w:t>
      </w:r>
      <w:r>
        <w:rPr>
          <w:b w:val="false"/>
          <w:bCs w:val="false"/>
        </w:rPr>
        <w:t xml:space="preserve"> is 1.0 at rest, and a documented multiplier (default 1.5, editable) for the duration of a logged exercise event plus a configurable tail. v1.1 logged exercise and never used it.</w:t>
      </w:r>
    </w:p>
    <w:p>
      <w:pPr>
        <w:spacing w:after="100" w:before="180"/>
      </w:pPr>
      <w:r>
        <w:rPr>
          <w:b/>
          <w:bCs/>
          <w:color w:val="1F4D78"/>
        </w:rPr>
        <w:t xml:space="preserve">ShortTermForecaster</w:t>
      </w:r>
    </w:p>
    <w:p>
      <w:pPr>
        <w:pStyle w:val="ListParagraph"/>
        <w:numPr>
          <w:ilvl w:val="0"/>
          <w:numId w:val="2"/>
        </w:numPr>
        <w:spacing w:after="80" w:line="276"/>
      </w:pPr>
      <w:r>
        <w:rPr>
          <w:b w:val="false"/>
          <w:bCs w:val="false"/>
        </w:rPr>
        <w:t xml:space="preserve">Ordinary least-squares fit over the last 30 minutes (typically six samples), producing slope </w:t>
      </w:r>
      <w:r>
        <w:rPr>
          <w:rFonts w:ascii="Consolas" w:cs="Consolas" w:eastAsia="Consolas" w:hAnsi="Consolas"/>
          <w:b w:val="false"/>
          <w:bCs w:val="false"/>
          <w:sz w:val="19"/>
          <w:szCs w:val="19"/>
        </w:rPr>
        <w:t xml:space="preserve">m</w:t>
      </w:r>
      <w:r>
        <w:rPr>
          <w:b w:val="false"/>
          <w:bCs w:val="false"/>
        </w:rPr>
        <w:t xml:space="preserve"> in mg/dL/min.</w:t>
      </w:r>
    </w:p>
    <w:p>
      <w:pPr>
        <w:pStyle w:val="ListParagraph"/>
        <w:numPr>
          <w:ilvl w:val="0"/>
          <w:numId w:val="2"/>
        </w:numPr>
        <w:spacing w:after="80" w:line="276"/>
      </w:pPr>
      <w:r>
        <w:rPr>
          <w:b/>
          <w:bCs/>
        </w:rPr>
        <w:t xml:space="preserve">Clamp</w:t>
      </w:r>
      <w:r>
        <w:rPr>
          <w:b w:val="false"/>
          <w:bCs w:val="false"/>
        </w:rPr>
        <w:t xml:space="preserve"> </w:t>
      </w:r>
      <w:r>
        <w:rPr>
          <w:rFonts w:ascii="Consolas" w:cs="Consolas" w:eastAsia="Consolas" w:hAnsi="Consolas"/>
          <w:b w:val="false"/>
          <w:bCs w:val="false"/>
          <w:sz w:val="19"/>
          <w:szCs w:val="19"/>
        </w:rPr>
        <w:t xml:space="preserve">m</w:t>
      </w:r>
      <w:r>
        <w:rPr>
          <w:b w:val="false"/>
          <w:bCs w:val="false"/>
        </w:rPr>
        <w:t xml:space="preserve"> to ±4.0 mg/dL/min. Outside that range the input is sensor noise, not glucose.</w:t>
      </w:r>
    </w:p>
    <w:p>
      <w:pPr>
        <w:pStyle w:val="ListParagraph"/>
        <w:numPr>
          <w:ilvl w:val="0"/>
          <w:numId w:val="2"/>
        </w:numPr>
        <w:spacing w:after="80" w:line="276"/>
      </w:pPr>
      <w:r>
        <w:rPr>
          <w:b/>
          <w:bCs/>
        </w:rPr>
        <w:t xml:space="preserve">Damped projection:</w:t>
      </w:r>
      <w:r>
        <w:rPr>
          <w:b w:val="false"/>
          <w:bCs w:val="false"/>
        </w:rPr>
        <w:t xml:space="preserve"> </w:t>
      </w:r>
      <w:r>
        <w:rPr>
          <w:rFonts w:ascii="Consolas" w:cs="Consolas" w:eastAsia="Consolas" w:hAnsi="Consolas"/>
          <w:b w:val="false"/>
          <w:bCs w:val="false"/>
          <w:sz w:val="19"/>
          <w:szCs w:val="19"/>
        </w:rPr>
        <w:t xml:space="preserve">v(h) = current + m · τd · (1 − e^(−h/τd))</w:t>
      </w:r>
      <w:r>
        <w:rPr>
          <w:b w:val="false"/>
          <w:bCs w:val="false"/>
        </w:rPr>
        <w:t xml:space="preserve"> with damping constant </w:t>
      </w:r>
      <w:r>
        <w:rPr>
          <w:rFonts w:ascii="Consolas" w:cs="Consolas" w:eastAsia="Consolas" w:hAnsi="Consolas"/>
          <w:b w:val="false"/>
          <w:bCs w:val="false"/>
          <w:sz w:val="19"/>
          <w:szCs w:val="19"/>
        </w:rPr>
        <w:t xml:space="preserve">τd</w:t>
      </w:r>
      <w:r>
        <w:rPr>
          <w:b w:val="false"/>
          <w:bCs w:val="false"/>
        </w:rPr>
        <w:t xml:space="preserve"> = 15 minutes. Undamped linear extrapolation (v1.1) flies straight through post-meal peaks and post-correction nadirs — the two moments when a forecast is actually consulted. Damping makes the projection flatten as the horizon extends, which is both more accurate and more honestly humble.</w:t>
      </w:r>
    </w:p>
    <w:p>
      <w:pPr>
        <w:pStyle w:val="ListParagraph"/>
        <w:numPr>
          <w:ilvl w:val="0"/>
          <w:numId w:val="2"/>
        </w:numPr>
        <w:spacing w:after="80" w:line="276"/>
      </w:pPr>
      <w:r>
        <w:rPr>
          <w:b/>
          <w:bCs/>
        </w:rPr>
        <w:t xml:space="preserve">Confidence band:</w:t>
      </w:r>
      <w:r>
        <w:rPr>
          <w:b w:val="false"/>
          <w:bCs w:val="false"/>
        </w:rPr>
        <w:t xml:space="preserve"> the 10th and 90th percentiles of the app's own realised forecast errors at the same horizon, computed by backtesting over the user's stored history and recomputed weekly. Not ±1 SD of residuals: that assumes stationarity and normality, and glucose forecast residuals are strongly heteroscedastic — errors are far larger when glucose is moving. The empirical band widens automatically in exactly those conditions.</w:t>
      </w:r>
    </w:p>
    <w:p>
      <w:pPr>
        <w:pStyle w:val="ListParagraph"/>
        <w:numPr>
          <w:ilvl w:val="0"/>
          <w:numId w:val="2"/>
        </w:numPr>
        <w:spacing w:after="80" w:line="276"/>
      </w:pPr>
      <w:r>
        <w:rPr>
          <w:b w:val="false"/>
          <w:bCs w:val="false"/>
        </w:rPr>
        <w:t xml:space="preserve">The band is asymmetric by construction, which is correct: the distribution of forecast errors is not symmetric around zero.</w:t>
      </w:r>
    </w:p>
    <w:p>
      <w:pPr>
        <w:spacing w:after="100" w:before="180"/>
      </w:pPr>
      <w:r>
        <w:rPr>
          <w:b/>
          <w:bCs/>
          <w:color w:val="1F4D78"/>
        </w:rPr>
        <w:t xml:space="preserve">Validation</w:t>
      </w:r>
    </w:p>
    <w:p>
      <w:pPr>
        <w:spacing w:after="120" w:line="276"/>
      </w:pPr>
      <w:r>
        <w:rPr>
          <w:b/>
          <w:bCs/>
        </w:rPr>
        <w:t xml:space="preserve">v1.1's acceptance criterion — 15-minute prediction error within ±20 mg/dL, 80% of the time — is passed by a naive baseline that predicts “the same as now.”</w:t>
      </w:r>
      <w:r>
        <w:rPr>
          <w:b w:val="false"/>
          <w:bCs w:val="false"/>
        </w:rPr>
        <w:t xml:space="preserve"> Glucose rarely moves more than 20 mg/dL in 15 minutes, so the criterion demonstrates nothing about whether the model adds value. Replaced with:</w:t>
      </w:r>
    </w:p>
    <w:p>
      <w:pPr>
        <w:pStyle w:val="ListParagraph"/>
        <w:numPr>
          <w:ilvl w:val="0"/>
          <w:numId w:val="2"/>
        </w:numPr>
        <w:spacing w:after="80" w:line="276"/>
      </w:pPr>
      <w:r>
        <w:rPr>
          <w:b/>
          <w:bCs/>
        </w:rPr>
        <w:t xml:space="preserve">Baseline comparison (mandatory).</w:t>
      </w:r>
      <w:r>
        <w:rPr>
          <w:b w:val="false"/>
          <w:bCs w:val="false"/>
        </w:rPr>
        <w:t xml:space="preserve"> Backtest against a persistence baseline on the same data. The model must reduce RMSE by at least 15% at a 15-minute horizon and 20% at 30 minutes. If it does not beat persistence, ship persistence — it is simpler and more honest.</w:t>
      </w:r>
    </w:p>
    <w:p>
      <w:pPr>
        <w:pStyle w:val="ListParagraph"/>
        <w:numPr>
          <w:ilvl w:val="0"/>
          <w:numId w:val="2"/>
        </w:numPr>
        <w:spacing w:after="80" w:line="276"/>
      </w:pPr>
      <w:r>
        <w:rPr>
          <w:b/>
          <w:bCs/>
        </w:rPr>
        <w:t xml:space="preserve">Zone-stratified error.</w:t>
      </w:r>
      <w:r>
        <w:rPr>
          <w:b w:val="false"/>
          <w:bCs w:val="false"/>
        </w:rPr>
        <w:t xml:space="preserve"> Report RMSE and the 90th-percentile absolute error separately for readings below 70, 70–180, and above 180 mg/dL. A 20 mg/dL error at 60 is a materially different event from a 20 mg/dL error at 200, and a single aggregate figure hides exactly the case that matters.</w:t>
      </w:r>
    </w:p>
    <w:p>
      <w:pPr>
        <w:pStyle w:val="ListParagraph"/>
        <w:numPr>
          <w:ilvl w:val="0"/>
          <w:numId w:val="2"/>
        </w:numPr>
        <w:spacing w:after="80" w:line="276"/>
      </w:pPr>
      <w:r>
        <w:rPr>
          <w:b/>
          <w:bCs/>
        </w:rPr>
        <w:t xml:space="preserve">Parkes error grid.</w:t>
      </w:r>
      <w:r>
        <w:rPr>
          <w:b w:val="false"/>
          <w:bCs w:val="false"/>
        </w:rPr>
        <w:t xml:space="preserve"> Plot forecast against actual on a Parkes (consensus) error grid. The pass condition is zero points in zones C, D, or E. This is the clinical-significance check that a raw error threshold cannot provide.</w:t>
      </w:r>
    </w:p>
    <w:p>
      <w:pPr>
        <w:pStyle w:val="ListParagraph"/>
        <w:numPr>
          <w:ilvl w:val="0"/>
          <w:numId w:val="2"/>
        </w:numPr>
        <w:spacing w:after="80" w:line="276"/>
      </w:pPr>
      <w:r>
        <w:rPr>
          <w:b/>
          <w:bCs/>
        </w:rPr>
        <w:t xml:space="preserve">Backtesting harness.</w:t>
      </w:r>
      <w:r>
        <w:rPr>
          <w:b w:val="false"/>
          <w:bCs w:val="false"/>
        </w:rPr>
        <w:t xml:space="preserve"> Replays stored history through the engine with a fixed seed and an injectable clock, so accuracy is a regression test rather than a one-off measurement.</w:t>
      </w:r>
    </w:p>
    <w:p>
      <w:pPr>
        <w:pStyle w:val="ListParagraph"/>
        <w:numPr>
          <w:ilvl w:val="0"/>
          <w:numId w:val="2"/>
        </w:numPr>
        <w:spacing w:after="80" w:line="276"/>
      </w:pPr>
      <w:r>
        <w:rPr>
          <w:b/>
          <w:bCs/>
        </w:rPr>
        <w:t xml:space="preserve">Exclusions.</w:t>
      </w:r>
      <w:r>
        <w:rPr>
          <w:b w:val="false"/>
          <w:bCs w:val="false"/>
        </w:rPr>
        <w:t xml:space="preserve"> Readings flagged as suspected compression lows (§3.2.6) are excluded from error statistics — they are sensor artifacts, and including them makes a correct model look wrong.</w:t>
      </w:r>
    </w:p>
    <w:p>
      <w:pPr>
        <w:pStyle w:val="Heading2"/>
        <w:spacing w:after="140" w:before="280"/>
      </w:pPr>
      <w:r>
        <w:rPr>
          <w:b w:val="false"/>
          <w:bCs w:val="false"/>
        </w:rPr>
        <w:t xml:space="preserve">4.5 Performance &amp; Data Volume</w:t>
      </w:r>
    </w:p>
    <w:p>
      <w:pPr>
        <w:pBdr>
          <w:left w:val="single" w:color="BFD3E6" w:sz="12" w:space="8"/>
        </w:pBdr>
        <w:spacing w:after="160" w:line="260"/>
        <w:ind w:left="180"/>
      </w:pPr>
      <w:r>
        <w:rPr>
          <w:b w:val="false"/>
          <w:bCs w:val="false"/>
          <w:i/>
          <w:iCs/>
          <w:color w:val="595959"/>
          <w:sz w:val="20"/>
          <w:szCs w:val="20"/>
        </w:rPr>
        <w:t xml:space="preserve">New in v1.2. v1.1 specified 90-day windows without addressing what that means for the chart or the query layer.</w:t>
      </w:r>
    </w:p>
    <w:p>
      <w:pPr>
        <w:pStyle w:val="ListParagraph"/>
        <w:numPr>
          <w:ilvl w:val="0"/>
          <w:numId w:val="2"/>
        </w:numPr>
        <w:spacing w:after="80" w:line="276"/>
      </w:pPr>
      <w:r>
        <w:rPr>
          <w:b/>
          <w:bCs/>
        </w:rPr>
        <w:t xml:space="preserve">Volume.</w:t>
      </w:r>
      <w:r>
        <w:rPr>
          <w:b w:val="false"/>
          <w:bCs w:val="false"/>
        </w:rPr>
        <w:t xml:space="preserve"> 5-minute cadence is 288 readings/day, ~2,016 per week, ~8,640 per month, ~25,920 per 90-day window, ~105,000 per year.</w:t>
      </w:r>
    </w:p>
    <w:p>
      <w:pPr>
        <w:pStyle w:val="ListParagraph"/>
        <w:numPr>
          <w:ilvl w:val="0"/>
          <w:numId w:val="2"/>
        </w:numPr>
        <w:spacing w:after="80" w:line="276"/>
      </w:pPr>
      <w:r>
        <w:rPr>
          <w:b/>
          <w:bCs/>
        </w:rPr>
        <w:t xml:space="preserve">Downsample above ~2,000 points.</w:t>
      </w:r>
      <w:r>
        <w:rPr>
          <w:b w:val="false"/>
          <w:bCs w:val="false"/>
        </w:rPr>
        <w:t xml:space="preserve"> Handing Swift Charts 26,000 points produces visible stutter on scroll and zoom. Windows over 24 hours render from bucketed means (15-minute buckets for 7d, hourly for 30d and 90d) computed from </w:t>
      </w:r>
      <w:r>
        <w:rPr>
          <w:rFonts w:ascii="Consolas" w:cs="Consolas" w:eastAsia="Consolas" w:hAnsi="Consolas"/>
          <w:b w:val="false"/>
          <w:bCs w:val="false"/>
          <w:sz w:val="19"/>
          <w:szCs w:val="19"/>
        </w:rPr>
        <w:t xml:space="preserve">DailyAggregate</w:t>
      </w:r>
      <w:r>
        <w:rPr>
          <w:b w:val="false"/>
          <w:bCs w:val="false"/>
        </w:rPr>
        <w:t xml:space="preserve"> rather than from raw rows. Min/max per bucket is retained so excursions are not smoothed away — a chart that hides a hypo because of downsampling is worse than no chart.</w:t>
      </w:r>
    </w:p>
    <w:p>
      <w:pPr>
        <w:pStyle w:val="ListParagraph"/>
        <w:numPr>
          <w:ilvl w:val="0"/>
          <w:numId w:val="2"/>
        </w:numPr>
        <w:spacing w:after="80" w:line="276"/>
      </w:pPr>
      <w:r>
        <w:rPr>
          <w:b/>
          <w:bCs/>
        </w:rPr>
        <w:t xml:space="preserve">Never bind a </w:t>
      </w:r>
      <w:r>
        <w:rPr>
          <w:rFonts w:ascii="Consolas" w:cs="Consolas" w:eastAsia="Consolas" w:hAnsi="Consolas"/>
          <w:b/>
          <w:bCs/>
          <w:sz w:val="19"/>
          <w:szCs w:val="19"/>
        </w:rPr>
        <w:t xml:space="preserve">@Query</w:t>
      </w:r>
      <w:r>
        <w:rPr>
          <w:b/>
          <w:bCs/>
        </w:rPr>
        <w:t xml:space="preserve"> to an unbounded reading set.</w:t>
      </w:r>
      <w:r>
        <w:rPr>
          <w:b w:val="false"/>
          <w:bCs w:val="false"/>
        </w:rPr>
        <w:t xml:space="preserve"> Every view fetches an explicit, bounded predicate. A </w:t>
      </w:r>
      <w:r>
        <w:rPr>
          <w:rFonts w:ascii="Consolas" w:cs="Consolas" w:eastAsia="Consolas" w:hAnsi="Consolas"/>
          <w:b w:val="false"/>
          <w:bCs w:val="false"/>
          <w:sz w:val="19"/>
          <w:szCs w:val="19"/>
        </w:rPr>
        <w:t xml:space="preserve">@Query</w:t>
      </w:r>
      <w:r>
        <w:rPr>
          <w:b w:val="false"/>
          <w:bCs w:val="false"/>
        </w:rPr>
        <w:t xml:space="preserve"> over all readings materialises the entire store into a SwiftUI view body.</w:t>
      </w:r>
    </w:p>
    <w:p>
      <w:pPr>
        <w:pStyle w:val="ListParagraph"/>
        <w:numPr>
          <w:ilvl w:val="0"/>
          <w:numId w:val="2"/>
        </w:numPr>
        <w:spacing w:after="80" w:line="276"/>
      </w:pPr>
      <w:r>
        <w:rPr>
          <w:b/>
          <w:bCs/>
        </w:rPr>
        <w:t xml:space="preserve">Aggregates are computed once, nightly</w:t>
      </w:r>
      <w:r>
        <w:rPr>
          <w:b w:val="false"/>
          <w:bCs w:val="false"/>
        </w:rPr>
        <w:t xml:space="preserve">, on the </w:t>
      </w:r>
      <w:r>
        <w:rPr>
          <w:rFonts w:ascii="Consolas" w:cs="Consolas" w:eastAsia="Consolas" w:hAnsi="Consolas"/>
          <w:b w:val="false"/>
          <w:bCs w:val="false"/>
          <w:sz w:val="19"/>
          <w:szCs w:val="19"/>
        </w:rPr>
        <w:t xml:space="preserve">BGAppRefreshTask</w:t>
      </w:r>
      <w:r>
        <w:rPr>
          <w:b w:val="false"/>
          <w:bCs w:val="false"/>
        </w:rPr>
        <w:t xml:space="preserve"> janitor pass (§4.2.1), and incrementally on write for the current day.</w:t>
      </w:r>
    </w:p>
    <w:p>
      <w:pPr>
        <w:pStyle w:val="ListParagraph"/>
        <w:numPr>
          <w:ilvl w:val="0"/>
          <w:numId w:val="2"/>
        </w:numPr>
        <w:spacing w:after="80" w:line="276"/>
      </w:pPr>
      <w:r>
        <w:rPr>
          <w:b/>
          <w:bCs/>
        </w:rPr>
        <w:t xml:space="preserve">AGP percentile bands</w:t>
      </w:r>
      <w:r>
        <w:rPr>
          <w:b w:val="false"/>
          <w:bCs w:val="false"/>
        </w:rPr>
        <w:t xml:space="preserve"> (§3.1.5) are computed from bucketed data, not raw readings — a 90-day AGP over raw rows is a sort of 26,000 elements per bin on every render.</w:t>
      </w:r>
    </w:p>
    <w:p>
      <w:pPr>
        <w:spacing w:after="100" w:before="180"/>
      </w:pPr>
      <w:r>
        <w:rPr>
          <w:b/>
          <w:bCs/>
          <w:color w:val="1F4D78"/>
        </w:rPr>
        <w:t xml:space="preserve">Replay &amp; simulator mode</w:t>
      </w:r>
    </w:p>
    <w:p>
      <w:pPr>
        <w:spacing w:after="120" w:line="276"/>
      </w:pPr>
      <w:r>
        <w:rPr>
          <w:b w:val="false"/>
          <w:bCs w:val="false"/>
        </w:rPr>
        <w:t xml:space="preserve">A synthetic data generator plus a library of recorded Share responses (including malformed ones), selectable from the diagnostics screen. This is needed to develop during sensor warmup, to build the UI without a live sensor, and — critically — to make §7 Phase 2's exit criterion (“survives 24h with simulated source failures”) an automated test rather than a vigil.</w:t>
      </w:r>
    </w:p>
    <w:p>
      <w:pPr>
        <w:pStyle w:val="Heading2"/>
        <w:spacing w:after="140" w:before="280"/>
      </w:pPr>
      <w:r>
        <w:rPr>
          <w:b w:val="false"/>
          <w:bCs w:val="false"/>
        </w:rPr>
        <w:t xml:space="preserve">4.6 Project Structure</w:t>
      </w:r>
    </w:p>
    <w:p>
      <w:pPr>
        <w:pStyle w:val="ListParagraph"/>
        <w:numPr>
          <w:ilvl w:val="0"/>
          <w:numId w:val="2"/>
        </w:numPr>
        <w:spacing w:after="80" w:line="276"/>
      </w:pPr>
      <w:r>
        <w:rPr>
          <w:rFonts w:ascii="Consolas" w:cs="Consolas" w:eastAsia="Consolas" w:hAnsi="Consolas"/>
          <w:b w:val="false"/>
          <w:bCs w:val="false"/>
          <w:sz w:val="19"/>
          <w:szCs w:val="19"/>
        </w:rPr>
        <w:t xml:space="preserve">GlucoNoir/</w:t>
      </w:r>
      <w:r>
        <w:rPr>
          <w:b w:val="false"/>
          <w:bCs w:val="false"/>
        </w:rPr>
        <w:t xml:space="preserve"> — app target.</w:t>
      </w:r>
    </w:p>
    <w:p>
      <w:pPr>
        <w:pStyle w:val="ListParagraph"/>
        <w:numPr>
          <w:ilvl w:val="0"/>
          <w:numId w:val="2"/>
        </w:numPr>
        <w:spacing w:after="80" w:line="276"/>
      </w:pPr>
      <w:r>
        <w:rPr>
          <w:rFonts w:ascii="Consolas" w:cs="Consolas" w:eastAsia="Consolas" w:hAnsi="Consolas"/>
          <w:b w:val="false"/>
          <w:bCs w:val="false"/>
          <w:sz w:val="19"/>
          <w:szCs w:val="19"/>
        </w:rPr>
        <w:t xml:space="preserve">GlucoNoirCore/</w:t>
      </w:r>
      <w:r>
        <w:rPr>
          <w:b w:val="false"/>
          <w:bCs w:val="false"/>
        </w:rPr>
        <w:t xml:space="preserve"> (Swift Package) — models, persistence actor, prediction engine, source actors, coordinator.</w:t>
      </w:r>
    </w:p>
    <w:p>
      <w:pPr>
        <w:pStyle w:val="ListParagraph"/>
        <w:numPr>
          <w:ilvl w:val="0"/>
          <w:numId w:val="2"/>
        </w:numPr>
        <w:spacing w:after="80" w:line="276"/>
      </w:pPr>
      <w:r>
        <w:rPr>
          <w:rFonts w:ascii="Consolas" w:cs="Consolas" w:eastAsia="Consolas" w:hAnsi="Consolas"/>
          <w:b w:val="false"/>
          <w:bCs w:val="false"/>
          <w:sz w:val="19"/>
          <w:szCs w:val="19"/>
        </w:rPr>
        <w:t xml:space="preserve">G7SensorKit</w:t>
      </w:r>
      <w:r>
        <w:rPr>
          <w:b w:val="false"/>
          <w:bCs w:val="false"/>
        </w:rPr>
        <w:t xml:space="preserve"> — external Swift package dependency (LoopKit, MIT). Pinned to a specific commit, not a floating branch: it tracks a reverse-engineered protocol and an unreviewed update could break the live data path silently.</w:t>
      </w:r>
    </w:p>
    <w:p>
      <w:pPr>
        <w:pStyle w:val="ListParagraph"/>
        <w:numPr>
          <w:ilvl w:val="0"/>
          <w:numId w:val="2"/>
        </w:numPr>
        <w:spacing w:after="80" w:line="276"/>
      </w:pPr>
      <w:r>
        <w:rPr>
          <w:rFonts w:ascii="Consolas" w:cs="Consolas" w:eastAsia="Consolas" w:hAnsi="Consolas"/>
          <w:b w:val="false"/>
          <w:bCs w:val="false"/>
          <w:sz w:val="19"/>
          <w:szCs w:val="19"/>
        </w:rPr>
        <w:t xml:space="preserve">GlucoNoirUI/</w:t>
      </w:r>
      <w:r>
        <w:rPr>
          <w:b w:val="false"/>
          <w:bCs w:val="false"/>
        </w:rPr>
        <w:t xml:space="preserve"> (Swift Package) — theme system, reusable views, charts.</w:t>
      </w:r>
    </w:p>
    <w:p>
      <w:pPr>
        <w:pStyle w:val="ListParagraph"/>
        <w:numPr>
          <w:ilvl w:val="0"/>
          <w:numId w:val="2"/>
        </w:numPr>
        <w:spacing w:after="80" w:line="276"/>
      </w:pPr>
      <w:r>
        <w:rPr>
          <w:rFonts w:ascii="Consolas" w:cs="Consolas" w:eastAsia="Consolas" w:hAnsi="Consolas"/>
          <w:b w:val="false"/>
          <w:bCs w:val="false"/>
          <w:sz w:val="19"/>
          <w:szCs w:val="19"/>
        </w:rPr>
        <w:t xml:space="preserve">GlucoNoirWidgets/</w:t>
      </w:r>
      <w:r>
        <w:rPr>
          <w:b w:val="false"/>
          <w:bCs w:val="false"/>
        </w:rPr>
        <w:t xml:space="preserve"> — widget extension and Live Activity (</w:t>
      </w:r>
      <w:r>
        <w:rPr>
          <w:b/>
          <w:bCs/>
        </w:rPr>
        <w:t xml:space="preserve">Phase 9, requires paid membership</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GlucoNoirWatch/</w:t>
      </w:r>
      <w:r>
        <w:rPr>
          <w:b w:val="false"/>
          <w:bCs w:val="false"/>
        </w:rPr>
        <w:t xml:space="preserve"> — watchOS complication (</w:t>
      </w:r>
      <w:r>
        <w:rPr>
          <w:b/>
          <w:bCs/>
        </w:rPr>
        <w:t xml:space="preserve">Phase 9</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GlucoNoirIntents/</w:t>
      </w:r>
      <w:r>
        <w:rPr>
          <w:b w:val="false"/>
          <w:bCs w:val="false"/>
        </w:rPr>
        <w:t xml:space="preserve"> — App Intents extension (</w:t>
      </w:r>
      <w:r>
        <w:rPr>
          <w:b/>
          <w:bCs/>
        </w:rPr>
        <w:t xml:space="preserve">Phase 9</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Tests/</w:t>
      </w:r>
      <w:r>
        <w:rPr>
          <w:b w:val="false"/>
          <w:bCs w:val="false"/>
        </w:rPr>
        <w:t xml:space="preserve"> — test targets per package, including the backtesting harness and recorded BLE message fixtures.</w:t>
      </w:r>
    </w:p>
    <w:p>
      <w:pPr>
        <w:pBdr>
          <w:left w:val="single" w:color="BFD3E6" w:sz="12" w:space="8"/>
        </w:pBdr>
        <w:spacing w:after="160" w:line="260"/>
        <w:ind w:left="180"/>
      </w:pPr>
      <w:r>
        <w:rPr>
          <w:b w:val="false"/>
          <w:bCs w:val="false"/>
          <w:i/>
          <w:iCs/>
          <w:color w:val="595959"/>
          <w:sz w:val="20"/>
          <w:szCs w:val="20"/>
        </w:rPr>
        <w:t xml:space="preserve">Changed in v1.3: the App Group is no longer a Phase 0 requirement, because free-team signing cannot create one (§6.1). The SwiftData store path is therefore abstracted behind a single accessor from day one, so moving it into a shared container at Phase 9 is a one-line change plus a migration, not a refactor.</w:t>
      </w:r>
    </w:p>
    <w:p>
      <w:pPr>
        <w:pStyle w:val="Heading1"/>
        <w:spacing w:after="160" w:before="360"/>
      </w:pPr>
      <w:r>
        <w:rPr>
          <w:b w:val="false"/>
          <w:bCs w:val="false"/>
        </w:rPr>
        <w:t xml:space="preserve">5. Design System</w:t>
      </w:r>
    </w:p>
    <w:p>
      <w:pPr>
        <w:pStyle w:val="Heading2"/>
        <w:spacing w:after="140" w:before="280"/>
      </w:pPr>
      <w:r>
        <w:rPr>
          <w:b w:val="false"/>
          <w:bCs w:val="false"/>
        </w:rPr>
        <w:t xml:space="preserve">5.1 Color Tokens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800"/>
        <w:gridCol w:w="1500"/>
        <w:gridCol w:w="1500"/>
        <w:gridCol w:w="1400"/>
        <w:gridCol w:w="3160"/>
      </w:tblGrid>
      <w:tr>
        <w:trPr>
          <w:tblHeader/>
        </w:trPr>
        <w:tc>
          <w:tcPr>
            <w:tcW w:type="dxa" w:w="1800"/>
            <w:shd w:fill="DEEAF6" w:color="auto" w:val="clear"/>
            <w:tcMar>
              <w:top w:type="dxa" w:w="60"/>
              <w:left w:type="dxa" w:w="100"/>
              <w:bottom w:type="dxa" w:w="60"/>
              <w:right w:type="dxa" w:w="100"/>
            </w:tcMar>
          </w:tcPr>
          <w:p>
            <w:pPr>
              <w:spacing w:after="0" w:line="250"/>
            </w:pPr>
            <w:r>
              <w:rPr>
                <w:b/>
                <w:bCs/>
                <w:sz w:val="20"/>
                <w:szCs w:val="20"/>
              </w:rPr>
              <w:t xml:space="preserve">Token</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True Black</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Soft Dark</w:t>
            </w:r>
          </w:p>
        </w:tc>
        <w:tc>
          <w:tcPr>
            <w:tcW w:type="dxa" w:w="1400"/>
            <w:shd w:fill="DEEAF6" w:color="auto" w:val="clear"/>
            <w:tcMar>
              <w:top w:type="dxa" w:w="60"/>
              <w:left w:type="dxa" w:w="100"/>
              <w:bottom w:type="dxa" w:w="60"/>
              <w:right w:type="dxa" w:w="100"/>
            </w:tcMar>
          </w:tcPr>
          <w:p>
            <w:pPr>
              <w:spacing w:after="0" w:line="250"/>
            </w:pPr>
            <w:r>
              <w:rPr>
                <w:b/>
                <w:bCs/>
                <w:sz w:val="20"/>
                <w:szCs w:val="20"/>
              </w:rPr>
              <w:t xml:space="preserve">Light</w:t>
            </w:r>
          </w:p>
        </w:tc>
        <w:tc>
          <w:tcPr>
            <w:tcW w:type="dxa" w:w="3160"/>
            <w:shd w:fill="DEEAF6" w:color="auto" w:val="clear"/>
            <w:tcMar>
              <w:top w:type="dxa" w:w="60"/>
              <w:left w:type="dxa" w:w="100"/>
              <w:bottom w:type="dxa" w:w="60"/>
              <w:right w:type="dxa" w:w="100"/>
            </w:tcMar>
          </w:tcPr>
          <w:p>
            <w:pPr>
              <w:spacing w:after="0" w:line="250"/>
            </w:pPr>
            <w:r>
              <w:rPr>
                <w:b/>
                <w:bCs/>
                <w:sz w:val="20"/>
                <w:szCs w:val="20"/>
              </w:rPr>
              <w:t xml:space="preserve">Use</w:t>
            </w:r>
          </w:p>
        </w:tc>
      </w:tr>
      <w:tr>
        <w:tc>
          <w:tcPr>
            <w:tcW w:type="dxa" w:w="1800"/>
            <w:tcMar>
              <w:top w:type="dxa" w:w="60"/>
              <w:left w:type="dxa" w:w="100"/>
              <w:bottom w:type="dxa" w:w="60"/>
              <w:right w:type="dxa" w:w="100"/>
            </w:tcMar>
          </w:tcPr>
          <w:p>
            <w:pPr>
              <w:spacing w:after="0" w:line="250"/>
            </w:pPr>
            <w:r>
              <w:rPr>
                <w:b w:val="false"/>
                <w:bCs w:val="false"/>
                <w:sz w:val="20"/>
                <w:szCs w:val="20"/>
              </w:rPr>
              <w:t xml:space="preserve">bg.primary</w:t>
            </w:r>
          </w:p>
        </w:tc>
        <w:tc>
          <w:tcPr>
            <w:tcW w:type="dxa" w:w="1500"/>
            <w:tcMar>
              <w:top w:type="dxa" w:w="60"/>
              <w:left w:type="dxa" w:w="100"/>
              <w:bottom w:type="dxa" w:w="60"/>
              <w:right w:type="dxa" w:w="100"/>
            </w:tcMar>
          </w:tcPr>
          <w:p>
            <w:pPr>
              <w:spacing w:after="0" w:line="250"/>
            </w:pPr>
            <w:r>
              <w:rPr>
                <w:b w:val="false"/>
                <w:bCs w:val="false"/>
                <w:sz w:val="20"/>
                <w:szCs w:val="20"/>
              </w:rPr>
              <w:t xml:space="preserve">#000000</w:t>
            </w:r>
          </w:p>
        </w:tc>
        <w:tc>
          <w:tcPr>
            <w:tcW w:type="dxa" w:w="1500"/>
            <w:tcMar>
              <w:top w:type="dxa" w:w="60"/>
              <w:left w:type="dxa" w:w="100"/>
              <w:bottom w:type="dxa" w:w="60"/>
              <w:right w:type="dxa" w:w="100"/>
            </w:tcMar>
          </w:tcPr>
          <w:p>
            <w:pPr>
              <w:spacing w:after="0" w:line="250"/>
            </w:pPr>
            <w:r>
              <w:rPr>
                <w:b w:val="false"/>
                <w:bCs w:val="false"/>
                <w:sz w:val="20"/>
                <w:szCs w:val="20"/>
              </w:rPr>
              <w:t xml:space="preserve">#1C1C1E</w:t>
            </w:r>
          </w:p>
        </w:tc>
        <w:tc>
          <w:tcPr>
            <w:tcW w:type="dxa" w:w="1400"/>
            <w:tcMar>
              <w:top w:type="dxa" w:w="60"/>
              <w:left w:type="dxa" w:w="100"/>
              <w:bottom w:type="dxa" w:w="60"/>
              <w:right w:type="dxa" w:w="100"/>
            </w:tcMar>
          </w:tcPr>
          <w:p>
            <w:pPr>
              <w:spacing w:after="0" w:line="250"/>
            </w:pPr>
            <w:r>
              <w:rPr>
                <w:b w:val="false"/>
                <w:bCs w:val="false"/>
                <w:sz w:val="20"/>
                <w:szCs w:val="20"/>
              </w:rPr>
              <w:t xml:space="preserve">#FFFFFF</w:t>
            </w:r>
          </w:p>
        </w:tc>
        <w:tc>
          <w:tcPr>
            <w:tcW w:type="dxa" w:w="3160"/>
            <w:tcMar>
              <w:top w:type="dxa" w:w="60"/>
              <w:left w:type="dxa" w:w="100"/>
              <w:bottom w:type="dxa" w:w="60"/>
              <w:right w:type="dxa" w:w="100"/>
            </w:tcMar>
          </w:tcPr>
          <w:p>
            <w:pPr>
              <w:spacing w:after="0" w:line="250"/>
            </w:pPr>
            <w:r>
              <w:rPr>
                <w:b w:val="false"/>
                <w:bCs w:val="false"/>
                <w:sz w:val="20"/>
                <w:szCs w:val="20"/>
              </w:rPr>
              <w:t xml:space="preserve">Screen background</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bg.secondary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#0A0A0A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#2C2C2E</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#F2F2F7</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Cards, sheets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text.primary</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400"/>
            <w:tcMar>
              <w:top w:type="dxa" w:w="60"/>
              <w:left w:type="dxa" w:w="100"/>
              <w:bottom w:type="dxa" w:w="60"/>
              <w:right w:type="dxa" w:w="100"/>
            </w:tcMar>
          </w:tcPr>
          <w:p>
            <w:pPr>
              <w:spacing w:after="0" w:line="250"/>
            </w:pPr>
            <w:r>
              <w:rPr>
                <w:b w:val="false"/>
                <w:bCs w:val="false"/>
                <w:sz w:val="20"/>
                <w:szCs w:val="20"/>
              </w:rPr>
              <w:t xml:space="preserve">#000000</w:t>
            </w:r>
          </w:p>
        </w:tc>
        <w:tc>
          <w:tcPr>
            <w:tcW w:type="dxa" w:w="3160"/>
            <w:tcMar>
              <w:top w:type="dxa" w:w="60"/>
              <w:left w:type="dxa" w:w="100"/>
              <w:bottom w:type="dxa" w:w="60"/>
              <w:right w:type="dxa" w:w="100"/>
            </w:tcMar>
          </w:tcPr>
          <w:p>
            <w:pPr>
              <w:spacing w:after="0" w:line="250"/>
            </w:pPr>
            <w:r>
              <w:rPr>
                <w:b w:val="false"/>
                <w:bCs w:val="false"/>
                <w:sz w:val="20"/>
                <w:szCs w:val="20"/>
              </w:rPr>
              <w:t xml:space="preserve">Headings, hero number</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text.secondary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#3C3C43</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Labels, non-critical captions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text.freshness</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400"/>
            <w:tcMar>
              <w:top w:type="dxa" w:w="60"/>
              <w:left w:type="dxa" w:w="100"/>
              <w:bottom w:type="dxa" w:w="60"/>
              <w:right w:type="dxa" w:w="100"/>
            </w:tcMar>
          </w:tcPr>
          <w:p>
            <w:pPr>
              <w:spacing w:after="0" w:line="250"/>
            </w:pPr>
            <w:r>
              <w:rPr>
                <w:b w:val="false"/>
                <w:bCs w:val="false"/>
                <w:sz w:val="20"/>
                <w:szCs w:val="20"/>
              </w:rPr>
              <w:t xml:space="preserve">#1C1C1E</w:t>
            </w:r>
          </w:p>
        </w:tc>
        <w:tc>
          <w:tcPr>
            <w:tcW w:type="dxa" w:w="3160"/>
            <w:tcMar>
              <w:top w:type="dxa" w:w="60"/>
              <w:left w:type="dxa" w:w="100"/>
              <w:bottom w:type="dxa" w:w="60"/>
              <w:right w:type="dxa" w:w="100"/>
            </w:tcMar>
          </w:tcPr>
          <w:p>
            <w:pPr>
              <w:spacing w:after="0" w:line="250"/>
            </w:pPr>
            <w:r>
              <w:rPr>
                <w:b w:val="false"/>
                <w:bCs w:val="false"/>
                <w:sz w:val="20"/>
                <w:szCs w:val="20"/>
              </w:rPr>
              <w:t xml:space="preserve">New in v1.2. Data-age text only.</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accent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#007AFF</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Interactive elements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range.in</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400"/>
            <w:tcMar>
              <w:top w:type="dxa" w:w="60"/>
              <w:left w:type="dxa" w:w="100"/>
              <w:bottom w:type="dxa" w:w="60"/>
              <w:right w:type="dxa" w:w="100"/>
            </w:tcMar>
          </w:tcPr>
          <w:p>
            <w:pPr>
              <w:spacing w:after="0" w:line="250"/>
            </w:pPr>
            <w:r>
              <w:rPr>
                <w:b w:val="false"/>
                <w:bCs w:val="false"/>
                <w:sz w:val="20"/>
                <w:szCs w:val="20"/>
              </w:rPr>
              <w:t xml:space="preserve">#34C759</w:t>
            </w:r>
          </w:p>
        </w:tc>
        <w:tc>
          <w:tcPr>
            <w:tcW w:type="dxa" w:w="3160"/>
            <w:tcMar>
              <w:top w:type="dxa" w:w="60"/>
              <w:left w:type="dxa" w:w="100"/>
              <w:bottom w:type="dxa" w:w="60"/>
              <w:right w:type="dxa" w:w="100"/>
            </w:tcMar>
          </w:tcPr>
          <w:p>
            <w:pPr>
              <w:spacing w:after="0" w:line="250"/>
            </w:pPr>
            <w:r>
              <w:rPr>
                <w:b w:val="false"/>
                <w:bCs w:val="false"/>
                <w:sz w:val="20"/>
                <w:szCs w:val="20"/>
              </w:rPr>
              <w:t xml:space="preserve">In-range glucose</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range.low</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#FF3B30</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Below target</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range.high</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400"/>
            <w:tcMar>
              <w:top w:type="dxa" w:w="60"/>
              <w:left w:type="dxa" w:w="100"/>
              <w:bottom w:type="dxa" w:w="60"/>
              <w:right w:type="dxa" w:w="100"/>
            </w:tcMar>
          </w:tcPr>
          <w:p>
            <w:pPr>
              <w:spacing w:after="0" w:line="250"/>
            </w:pPr>
            <w:r>
              <w:rPr>
                <w:b w:val="false"/>
                <w:bCs w:val="false"/>
                <w:sz w:val="20"/>
                <w:szCs w:val="20"/>
              </w:rPr>
              <w:t xml:space="preserve">#FFCC00</w:t>
            </w:r>
          </w:p>
        </w:tc>
        <w:tc>
          <w:tcPr>
            <w:tcW w:type="dxa" w:w="3160"/>
            <w:tcMar>
              <w:top w:type="dxa" w:w="60"/>
              <w:left w:type="dxa" w:w="100"/>
              <w:bottom w:type="dxa" w:w="60"/>
              <w:right w:type="dxa" w:w="100"/>
            </w:tcMar>
          </w:tcPr>
          <w:p>
            <w:pPr>
              <w:spacing w:after="0" w:line="250"/>
            </w:pPr>
            <w:r>
              <w:rPr>
                <w:b w:val="false"/>
                <w:bCs w:val="false"/>
                <w:sz w:val="20"/>
                <w:szCs w:val="20"/>
              </w:rPr>
              <w:t xml:space="preserve">Above target</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range.urgent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#FF2D55</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Urgent low/high — fill only, never text</w:t>
            </w:r>
          </w:p>
        </w:tc>
      </w:tr>
    </w:tbl>
    <w:p>
      <w:pPr>
        <w:spacing w:after="100"/>
      </w:pPr>
    </w:p>
    <w:p>
      <w:pPr>
        <w:spacing w:after="100" w:before="180"/>
      </w:pPr>
      <w:r>
        <w:rPr>
          <w:b/>
          <w:bCs/>
          <w:color w:val="1F4D78"/>
        </w:rPr>
        <w:t xml:space="preserve">Two corrections in v1.2</w:t>
      </w:r>
    </w:p>
    <w:p>
      <w:pPr>
        <w:pStyle w:val="ListParagraph"/>
        <w:numPr>
          <w:ilvl w:val="0"/>
          <w:numId w:val="2"/>
        </w:numPr>
        <w:spacing w:after="80" w:line="276"/>
      </w:pPr>
      <w:r>
        <w:rPr>
          <w:b/>
          <w:bCs/>
        </w:rPr>
        <w:t xml:space="preserve">Urgent is distinguished by treatment, not hue.</w:t>
      </w:r>
      <w:r>
        <w:rPr>
          <w:b w:val="false"/>
          <w:bCs w:val="false"/>
        </w:rPr>
        <w:t xml:space="preserve"> v1.1's </w:t>
      </w:r>
      <w:r>
        <w:rPr>
          <w:rFonts w:ascii="Consolas" w:cs="Consolas" w:eastAsia="Consolas" w:hAnsi="Consolas"/>
          <w:b w:val="false"/>
          <w:bCs w:val="false"/>
          <w:sz w:val="19"/>
          <w:szCs w:val="19"/>
        </w:rPr>
        <w:t xml:space="preserve">range.urgent</w:t>
      </w:r>
      <w:r>
        <w:rPr>
          <w:b w:val="false"/>
          <w:bCs w:val="false"/>
        </w:rPr>
        <w:t xml:space="preserve"> (#FF2D55) and </w:t>
      </w:r>
      <w:r>
        <w:rPr>
          <w:rFonts w:ascii="Consolas" w:cs="Consolas" w:eastAsia="Consolas" w:hAnsi="Consolas"/>
          <w:b w:val="false"/>
          <w:bCs w:val="false"/>
          <w:sz w:val="19"/>
          <w:szCs w:val="19"/>
        </w:rPr>
        <w:t xml:space="preserve">range.low</w:t>
      </w:r>
      <w:r>
        <w:rPr>
          <w:b w:val="false"/>
          <w:bCs w:val="false"/>
        </w:rPr>
        <w:t xml:space="preserve"> (#FF453A) are near-identical in hue, and low-versus-urgent-low is the single most safety-critical distinction the app makes. Chasing a distinguishable adjacent red is the wrong fix. Instead: </w:t>
      </w:r>
      <w:r>
        <w:rPr>
          <w:rFonts w:ascii="Consolas" w:cs="Consolas" w:eastAsia="Consolas" w:hAnsi="Consolas"/>
          <w:b/>
          <w:bCs/>
          <w:sz w:val="19"/>
          <w:szCs w:val="19"/>
        </w:rPr>
        <w:t xml:space="preserve">range.low</w:t>
      </w:r>
      <w:r>
        <w:rPr>
          <w:b/>
          <w:bCs/>
        </w:rPr>
        <w:t xml:space="preserve"> is applied as a text colour; </w:t>
      </w:r>
      <w:r>
        <w:rPr>
          <w:rFonts w:ascii="Consolas" w:cs="Consolas" w:eastAsia="Consolas" w:hAnsi="Consolas"/>
          <w:b/>
          <w:bCs/>
          <w:sz w:val="19"/>
          <w:szCs w:val="19"/>
        </w:rPr>
        <w:t xml:space="preserve">range.urgent</w:t>
      </w:r>
      <w:r>
        <w:rPr>
          <w:b/>
          <w:bCs/>
        </w:rPr>
        <w:t xml:space="preserve"> is applied only as a filled background with #FFFFFF text</w:t>
      </w:r>
      <w:r>
        <w:rPr>
          <w:b w:val="false"/>
          <w:bCs w:val="false"/>
        </w:rPr>
        <w:t xml:space="preserve">, plus a distinct glyph. The distinction becomes fill-versus-text — unmissable at a glance, at complication size, and under any colour-vision deficiency.</w:t>
      </w:r>
    </w:p>
    <w:p>
      <w:pPr>
        <w:pStyle w:val="ListParagraph"/>
        <w:numPr>
          <w:ilvl w:val="0"/>
          <w:numId w:val="2"/>
        </w:numPr>
        <w:spacing w:after="80" w:line="276"/>
      </w:pPr>
      <w:r>
        <w:rPr>
          <w:b/>
          <w:bCs/>
        </w:rPr>
        <w:t xml:space="preserve">Freshness text gets its own brighter token.</w:t>
      </w:r>
      <w:r>
        <w:rPr>
          <w:b w:val="false"/>
          <w:bCs w:val="false"/>
        </w:rPr>
        <w:t xml:space="preserve"> </w:t>
      </w:r>
      <w:r>
        <w:rPr>
          <w:rFonts w:ascii="Consolas" w:cs="Consolas" w:eastAsia="Consolas" w:hAnsi="Consolas"/>
          <w:b w:val="false"/>
          <w:bCs w:val="false"/>
          <w:sz w:val="19"/>
          <w:szCs w:val="19"/>
        </w:rPr>
        <w:t xml:space="preserve">text.secondary</w:t>
      </w:r>
      <w:r>
        <w:rPr>
          <w:b w:val="false"/>
          <w:bCs w:val="false"/>
        </w:rPr>
        <w:t xml:space="preserve"> (#8E8E93) measures roughly 6.4:1 against #000000 and 5.2:1 against #1C1C1E. Both pass WCAG AA for body text, but “Updated 3 min ago” is the most safety-relevant string on the screen and was rendering at 13pt in the dimmest colour in the system. </w:t>
      </w:r>
      <w:r>
        <w:rPr>
          <w:rFonts w:ascii="Consolas" w:cs="Consolas" w:eastAsia="Consolas" w:hAnsi="Consolas"/>
          <w:b w:val="false"/>
          <w:bCs w:val="false"/>
          <w:sz w:val="19"/>
          <w:szCs w:val="19"/>
        </w:rPr>
        <w:t xml:space="preserve">text.freshness</w:t>
      </w:r>
      <w:r>
        <w:rPr>
          <w:b w:val="false"/>
          <w:bCs w:val="false"/>
        </w:rPr>
        <w:t xml:space="preserve"> (#C7C7CC) measures roughly 12.5:1 on true black and 10.1:1 on Soft Dark.</w:t>
      </w:r>
    </w:p>
    <w:p>
      <w:pPr>
        <w:spacing w:after="120" w:line="276"/>
      </w:pPr>
      <w:r>
        <w:rPr>
          <w:b w:val="false"/>
          <w:bCs w:val="false"/>
        </w:rPr>
        <w:t xml:space="preserve">Range colouring is always paired with a glyph (§3.1.4). In-range green and low red are the deuteranopia-confusable pair, so the glyph carries the meaning and the colour reinforces it — not the other way around.</w:t>
      </w:r>
    </w:p>
    <w:p>
      <w:pPr>
        <w:pStyle w:val="Heading2"/>
        <w:spacing w:after="140" w:before="280"/>
      </w:pPr>
      <w:r>
        <w:rPr>
          <w:b w:val="false"/>
          <w:bCs w:val="false"/>
        </w:rPr>
        <w:t xml:space="preserve">5.2 Typography</w:t>
      </w:r>
    </w:p>
    <w:p>
      <w:pPr>
        <w:pStyle w:val="ListParagraph"/>
        <w:numPr>
          <w:ilvl w:val="0"/>
          <w:numId w:val="2"/>
        </w:numPr>
        <w:spacing w:after="80" w:line="276"/>
      </w:pPr>
      <w:r>
        <w:rPr>
          <w:b/>
          <w:bCs/>
        </w:rPr>
        <w:t xml:space="preserve">Hero glucose number:</w:t>
      </w:r>
      <w:r>
        <w:rPr>
          <w:b w:val="false"/>
          <w:bCs w:val="false"/>
        </w:rPr>
        <w:t xml:space="preserve"> SF Pro Rounded, 96pt, Bold at default Dynamic Type.</w:t>
      </w:r>
    </w:p>
    <w:p>
      <w:pPr>
        <w:pStyle w:val="ListParagraph"/>
        <w:numPr>
          <w:ilvl w:val="0"/>
          <w:numId w:val="2"/>
        </w:numPr>
        <w:spacing w:after="80" w:line="276"/>
      </w:pPr>
      <w:r>
        <w:rPr>
          <w:b/>
          <w:bCs/>
        </w:rPr>
        <w:t xml:space="preserve">Section titles:</w:t>
      </w:r>
      <w:r>
        <w:rPr>
          <w:b w:val="false"/>
          <w:bCs w:val="false"/>
        </w:rPr>
        <w:t xml:space="preserve"> SF Pro, 22pt, Semibold.</w:t>
      </w:r>
    </w:p>
    <w:p>
      <w:pPr>
        <w:pStyle w:val="ListParagraph"/>
        <w:numPr>
          <w:ilvl w:val="0"/>
          <w:numId w:val="2"/>
        </w:numPr>
        <w:spacing w:after="80" w:line="276"/>
      </w:pPr>
      <w:r>
        <w:rPr>
          <w:b/>
          <w:bCs/>
        </w:rPr>
        <w:t xml:space="preserve">Body:</w:t>
      </w:r>
      <w:r>
        <w:rPr>
          <w:b w:val="false"/>
          <w:bCs w:val="false"/>
        </w:rPr>
        <w:t xml:space="preserve"> SF Pro, 17pt, Regular.</w:t>
      </w:r>
    </w:p>
    <w:p>
      <w:pPr>
        <w:pStyle w:val="ListParagraph"/>
        <w:numPr>
          <w:ilvl w:val="0"/>
          <w:numId w:val="2"/>
        </w:numPr>
        <w:spacing w:after="80" w:line="276"/>
      </w:pPr>
      <w:r>
        <w:rPr>
          <w:b/>
          <w:bCs/>
        </w:rPr>
        <w:t xml:space="preserve">Captions:</w:t>
      </w:r>
      <w:r>
        <w:rPr>
          <w:b w:val="false"/>
          <w:bCs w:val="false"/>
        </w:rPr>
        <w:t xml:space="preserve"> SF Pro, 13pt, Regular, secondary colour — except data-age text, which uses </w:t>
      </w:r>
      <w:r>
        <w:rPr>
          <w:rFonts w:ascii="Consolas" w:cs="Consolas" w:eastAsia="Consolas" w:hAnsi="Consolas"/>
          <w:b w:val="false"/>
          <w:bCs w:val="false"/>
          <w:sz w:val="19"/>
          <w:szCs w:val="19"/>
        </w:rPr>
        <w:t xml:space="preserve">text.freshness</w:t>
      </w:r>
      <w:r>
        <w:rPr>
          <w:b w:val="false"/>
          <w:bCs w:val="false"/>
        </w:rPr>
        <w:t xml:space="preserve"> (§5.1).</w:t>
      </w:r>
    </w:p>
    <w:p>
      <w:pPr>
        <w:pStyle w:val="ListParagraph"/>
        <w:numPr>
          <w:ilvl w:val="0"/>
          <w:numId w:val="2"/>
        </w:numPr>
        <w:spacing w:after="80" w:line="276"/>
      </w:pPr>
      <w:r>
        <w:rPr>
          <w:b/>
          <w:bCs/>
        </w:rPr>
        <w:t xml:space="preserve">Dynamic Type:</w:t>
      </w:r>
      <w:r>
        <w:rPr>
          <w:b w:val="false"/>
          <w:bCs w:val="false"/>
        </w:rPr>
        <w:t xml:space="preserve"> all text scales. The hero number is the exception that needs a strategy rather than a rule: at accessibility sizes a scaled 96pt value will not fit on any iPhone. It scales up to a cap of roughly 120pt, then holds; the surrounding layout reflows and the 3h chart collapses to give it room. Verify at AX5.</w:t>
      </w:r>
    </w:p>
    <w:p>
      <w:pPr>
        <w:pBdr>
          <w:left w:val="single" w:color="BFD3E6" w:sz="12" w:space="8"/>
        </w:pBdr>
        <w:spacing w:after="160" w:line="260"/>
        <w:ind w:left="180"/>
      </w:pPr>
      <w:r>
        <w:rPr>
          <w:b w:val="false"/>
          <w:bCs w:val="false"/>
          <w:i/>
          <w:iCs/>
          <w:color w:val="595959"/>
          <w:sz w:val="20"/>
          <w:szCs w:val="20"/>
        </w:rPr>
        <w:t xml:space="preserve">Correction in v1.2: v1.1 justified 96pt Bold as “true OLED-friendly weight.” The rationale is backwards. A pure black background saves power on OLED because unlit pixels draw nothing; a heavy white glyph lights more pixels than a lighter one and increases glare during night checks. Bold is retained because it is the right choice for legibility at a glance — but for legibility, not for OLED efficiency. Bedside Mode (§5.3) drops the hero to Medium weight for exactly this reason.</w:t>
      </w:r>
    </w:p>
    <w:p>
      <w:pPr>
        <w:pStyle w:val="Heading2"/>
        <w:spacing w:after="140" w:before="280"/>
      </w:pPr>
      <w:r>
        <w:rPr>
          <w:b w:val="false"/>
          <w:bCs w:val="false"/>
        </w:rPr>
        <w:t xml:space="preserve">5.3 Bedside Mode Specifics</w:t>
      </w:r>
    </w:p>
    <w:p>
      <w:pPr>
        <w:pStyle w:val="ListParagraph"/>
        <w:numPr>
          <w:ilvl w:val="0"/>
          <w:numId w:val="2"/>
        </w:numPr>
        <w:spacing w:after="80" w:line="276"/>
      </w:pPr>
      <w:r>
        <w:rPr>
          <w:b w:val="false"/>
          <w:bCs w:val="false"/>
        </w:rPr>
        <w:t xml:space="preserve">Background: pure #000000.</w:t>
      </w:r>
    </w:p>
    <w:p>
      <w:pPr>
        <w:pStyle w:val="ListParagraph"/>
        <w:numPr>
          <w:ilvl w:val="0"/>
          <w:numId w:val="2"/>
        </w:numPr>
        <w:spacing w:after="80" w:line="276"/>
      </w:pPr>
      <w:r>
        <w:rPr>
          <w:b w:val="false"/>
          <w:bCs w:val="false"/>
        </w:rPr>
        <w:t xml:space="preserve">All text and accents shifted toward the red end of the spectrum (#FF6B6B, #FF9F43) to preserve dark adaptation.</w:t>
      </w:r>
    </w:p>
    <w:p>
      <w:pPr>
        <w:pStyle w:val="ListParagraph"/>
        <w:numPr>
          <w:ilvl w:val="0"/>
          <w:numId w:val="2"/>
        </w:numPr>
        <w:spacing w:after="80" w:line="276"/>
      </w:pPr>
      <w:r>
        <w:rPr>
          <w:b w:val="false"/>
          <w:bCs w:val="false"/>
        </w:rPr>
        <w:t xml:space="preserve">Hero number drops from Bold to Medium weight — fewer lit pixels, less glare, still legible at 96pt.</w:t>
      </w:r>
    </w:p>
    <w:p>
      <w:pPr>
        <w:pStyle w:val="ListParagraph"/>
        <w:numPr>
          <w:ilvl w:val="0"/>
          <w:numId w:val="2"/>
        </w:numPr>
        <w:spacing w:after="80" w:line="276"/>
      </w:pPr>
      <w:r>
        <w:rPr>
          <w:b w:val="false"/>
          <w:bCs w:val="false"/>
        </w:rPr>
        <w:t xml:space="preserve">All animations disabled.</w:t>
      </w:r>
    </w:p>
    <w:p>
      <w:pPr>
        <w:spacing w:after="100" w:before="180"/>
      </w:pPr>
      <w:r>
        <w:rPr>
          <w:b/>
          <w:bCs/>
          <w:color w:val="1F4D78"/>
        </w:rPr>
        <w:t xml:space="preserve">Dimming — corrected implementation</w:t>
      </w:r>
    </w:p>
    <w:p>
      <w:pPr>
        <w:spacing w:after="120" w:line="276"/>
      </w:pPr>
      <w:r>
        <w:rPr>
          <w:b/>
          <w:bCs/>
        </w:rPr>
        <w:t xml:space="preserve">v1.1 specified “maximum brightness on screen: 30% of system brightness setting.” An iOS app cannot do this.</w:t>
      </w:r>
      <w:r>
        <w:rPr>
          <w:b w:val="false"/>
          <w:bCs w:val="false"/>
        </w:rPr>
        <w:t xml:space="preserve"> There is no per-app or per-window brightness. </w:t>
      </w:r>
      <w:r>
        <w:rPr>
          <w:rFonts w:ascii="Consolas" w:cs="Consolas" w:eastAsia="Consolas" w:hAnsi="Consolas"/>
          <w:b w:val="false"/>
          <w:bCs w:val="false"/>
          <w:sz w:val="19"/>
          <w:szCs w:val="19"/>
        </w:rPr>
        <w:t xml:space="preserve">UIScreen.main.brightness</w:t>
      </w:r>
      <w:r>
        <w:rPr>
          <w:b w:val="false"/>
          <w:bCs w:val="false"/>
        </w:rPr>
        <w:t xml:space="preserve"> sets brightness </w:t>
      </w:r>
      <w:r>
        <w:rPr>
          <w:b/>
          <w:bCs/>
        </w:rPr>
        <w:t xml:space="preserve">globally and persistently</w:t>
      </w:r>
      <w:r>
        <w:rPr>
          <w:b w:val="false"/>
          <w:bCs w:val="false"/>
        </w:rPr>
        <w:t xml:space="preserve"> for the entire device, affecting every other app and surviving until something changes it back — and any crash, force-quit, or missed lifecycle callback leaves the user's phone stuck dim.</w:t>
      </w:r>
    </w:p>
    <w:p>
      <w:pPr>
        <w:spacing w:after="120" w:line="276"/>
      </w:pPr>
      <w:r>
        <w:rPr>
          <w:b w:val="false"/>
          <w:bCs w:val="false"/>
        </w:rPr>
        <w:t xml:space="preserve">The correct implementation is a </w:t>
      </w:r>
      <w:r>
        <w:rPr>
          <w:b/>
          <w:bCs/>
        </w:rPr>
        <w:t xml:space="preserve">full-screen black overlay</w:t>
      </w:r>
      <w:r>
        <w:rPr>
          <w:b w:val="false"/>
          <w:bCs w:val="false"/>
        </w:rPr>
        <w:t xml:space="preserve"> at the top of the view hierarchy with adjustable opacity (0 to roughly 0.7), rendered above content and below the touch layer. Content dims; the system brightness setting is never touched. This is what every well-behaved night-mode app does.</w:t>
      </w:r>
    </w:p>
    <w:p>
      <w:pPr>
        <w:spacing w:after="120" w:line="276"/>
      </w:pPr>
      <w:r>
        <w:rPr>
          <w:b w:val="false"/>
          <w:bCs w:val="false"/>
        </w:rPr>
        <w:t xml:space="preserve">If the user explicitly opts in to system-level dimming as well, </w:t>
      </w:r>
      <w:r>
        <w:rPr>
          <w:rFonts w:ascii="Consolas" w:cs="Consolas" w:eastAsia="Consolas" w:hAnsi="Consolas"/>
          <w:b w:val="false"/>
          <w:bCs w:val="false"/>
          <w:sz w:val="19"/>
          <w:szCs w:val="19"/>
        </w:rPr>
        <w:t xml:space="preserve">UIScreen.main.brightness</w:t>
      </w:r>
      <w:r>
        <w:rPr>
          <w:b w:val="false"/>
          <w:bCs w:val="false"/>
        </w:rPr>
        <w:t xml:space="preserve"> may be set — but only with the prior value captured, restored on </w:t>
      </w:r>
      <w:r>
        <w:rPr>
          <w:rFonts w:ascii="Consolas" w:cs="Consolas" w:eastAsia="Consolas" w:hAnsi="Consolas"/>
          <w:b w:val="false"/>
          <w:bCs w:val="false"/>
          <w:sz w:val="19"/>
          <w:szCs w:val="19"/>
        </w:rPr>
        <w:t xml:space="preserve">scenePhase</w:t>
      </w:r>
      <w:r>
        <w:rPr>
          <w:b w:val="false"/>
          <w:bCs w:val="false"/>
        </w:rPr>
        <w:t xml:space="preserve"> change to </w:t>
      </w:r>
      <w:r>
        <w:rPr>
          <w:rFonts w:ascii="Consolas" w:cs="Consolas" w:eastAsia="Consolas" w:hAnsi="Consolas"/>
          <w:b w:val="false"/>
          <w:bCs w:val="false"/>
          <w:sz w:val="19"/>
          <w:szCs w:val="19"/>
        </w:rPr>
        <w:t xml:space="preserve">.background</w:t>
      </w:r>
      <w:r>
        <w:rPr>
          <w:b w:val="false"/>
          <w:bCs w:val="false"/>
        </w:rPr>
        <w:t xml:space="preserve"> or </w:t>
      </w:r>
      <w:r>
        <w:rPr>
          <w:rFonts w:ascii="Consolas" w:cs="Consolas" w:eastAsia="Consolas" w:hAnsi="Consolas"/>
          <w:b w:val="false"/>
          <w:bCs w:val="false"/>
          <w:sz w:val="19"/>
          <w:szCs w:val="19"/>
        </w:rPr>
        <w:t xml:space="preserve">.inactive</w:t>
      </w:r>
      <w:r>
        <w:rPr>
          <w:b w:val="false"/>
          <w:bCs w:val="false"/>
        </w:rPr>
        <w:t xml:space="preserve">, restored on termination, and restored on next launch as a safety net if the app died holding it.</w:t>
      </w:r>
    </w:p>
    <w:p>
      <w:pPr>
        <w:spacing w:after="100" w:before="180"/>
      </w:pPr>
      <w:r>
        <w:rPr>
          <w:b/>
          <w:bCs/>
          <w:color w:val="1F4D78"/>
        </w:rPr>
        <w:t xml:space="preserve">Exit gesture</w:t>
      </w:r>
    </w:p>
    <w:p>
      <w:pPr>
        <w:spacing w:after="120" w:line="276"/>
      </w:pPr>
      <w:r>
        <w:rPr>
          <w:b w:val="false"/>
          <w:bCs w:val="false"/>
        </w:rPr>
        <w:t xml:space="preserve">v1.1's “single tap anywhere returns to normal mode” conflicts with the tappable timeline (§3.2.2) and fires on accidental wake-taps. Exit is a deliberate gesture instead: a two-finger tap, or a long-press on the hero number. Reading the screen and dismissing the mode should not be the same action.</w:t>
      </w:r>
    </w:p>
    <w:p>
      <w:pPr>
        <w:pStyle w:val="Heading2"/>
        <w:spacing w:after="140" w:before="280"/>
      </w:pPr>
      <w:r>
        <w:rPr>
          <w:b w:val="false"/>
          <w:bCs w:val="false"/>
        </w:rPr>
        <w:t xml:space="preserve">5.4 Accessibility</w:t>
      </w:r>
    </w:p>
    <w:p>
      <w:pPr>
        <w:pBdr>
          <w:left w:val="single" w:color="BFD3E6" w:sz="12" w:space="8"/>
        </w:pBdr>
        <w:spacing w:after="160" w:line="260"/>
        <w:ind w:left="180"/>
      </w:pPr>
      <w:r>
        <w:rPr>
          <w:b w:val="false"/>
          <w:bCs w:val="false"/>
          <w:i/>
          <w:iCs/>
          <w:color w:val="595959"/>
          <w:sz w:val="20"/>
          <w:szCs w:val="20"/>
        </w:rPr>
        <w:t xml:space="preserve">New in v1.2. v1.1 covered Dynamic Type and colour-vision deficiency but not screen readers, which for a health app is the significant gap.</w:t>
      </w:r>
    </w:p>
    <w:p>
      <w:pPr>
        <w:pStyle w:val="ListParagraph"/>
        <w:numPr>
          <w:ilvl w:val="0"/>
          <w:numId w:val="2"/>
        </w:numPr>
        <w:spacing w:after="80" w:line="276"/>
      </w:pPr>
      <w:r>
        <w:rPr>
          <w:b/>
          <w:bCs/>
        </w:rPr>
        <w:t xml:space="preserve">VoiceOver on the hero area</w:t>
      </w:r>
      <w:r>
        <w:rPr>
          <w:b w:val="false"/>
          <w:bCs w:val="false"/>
        </w:rPr>
        <w:t xml:space="preserve"> reads value, unit, trend, and age as a single coherent label — “142 milligrams per deciliter, steady, updated 3 minutes ago” — not four fragments the user has to assemble.</w:t>
      </w:r>
    </w:p>
    <w:p>
      <w:pPr>
        <w:pStyle w:val="ListParagraph"/>
        <w:numPr>
          <w:ilvl w:val="0"/>
          <w:numId w:val="2"/>
        </w:numPr>
        <w:spacing w:after="80" w:line="276"/>
      </w:pPr>
      <w:r>
        <w:rPr>
          <w:b/>
          <w:bCs/>
        </w:rPr>
        <w:t xml:space="preserve">Charts need an </w:t>
      </w:r>
      <w:r>
        <w:rPr>
          <w:rFonts w:ascii="Consolas" w:cs="Consolas" w:eastAsia="Consolas" w:hAnsi="Consolas"/>
          <w:b/>
          <w:bCs/>
          <w:sz w:val="19"/>
          <w:szCs w:val="19"/>
        </w:rPr>
        <w:t xml:space="preserve">AXChartDescriptor</w:t>
      </w:r>
      <w:r>
        <w:rPr>
          <w:b/>
          <w:bCs/>
        </w:rPr>
        <w:t xml:space="preserve">.</w:t>
      </w:r>
      <w:r>
        <w:rPr>
          <w:b w:val="false"/>
          <w:bCs w:val="false"/>
        </w:rPr>
        <w:t xml:space="preserve"> Swift Charts is opaque to VoiceOver by default. Both the 3h chart and the AGP expose a descriptor with axes and series so the data is navigable by audio graph.</w:t>
      </w:r>
    </w:p>
    <w:p>
      <w:pPr>
        <w:pStyle w:val="ListParagraph"/>
        <w:numPr>
          <w:ilvl w:val="0"/>
          <w:numId w:val="2"/>
        </w:numPr>
        <w:spacing w:after="80" w:line="276"/>
      </w:pPr>
      <w:r>
        <w:rPr>
          <w:b/>
          <w:bCs/>
        </w:rPr>
        <w:t xml:space="preserve">Range state is announced, not just coloured.</w:t>
      </w:r>
      <w:r>
        <w:rPr>
          <w:b w:val="false"/>
          <w:bCs w:val="false"/>
        </w:rPr>
        <w:t xml:space="preserve"> The accessibility label includes “below target” or “urgent low” explicitly.</w:t>
      </w:r>
    </w:p>
    <w:p>
      <w:pPr>
        <w:pStyle w:val="ListParagraph"/>
        <w:numPr>
          <w:ilvl w:val="0"/>
          <w:numId w:val="2"/>
        </w:numPr>
        <w:spacing w:after="80" w:line="276"/>
      </w:pPr>
      <w:r>
        <w:rPr>
          <w:b/>
          <w:bCs/>
        </w:rPr>
        <w:t xml:space="preserve">Reduce Motion</w:t>
      </w:r>
      <w:r>
        <w:rPr>
          <w:b w:val="false"/>
          <w:bCs w:val="false"/>
        </w:rPr>
        <w:t xml:space="preserve"> disables chart animations and the Live Activity's transitions.</w:t>
      </w:r>
    </w:p>
    <w:p>
      <w:pPr>
        <w:pStyle w:val="ListParagraph"/>
        <w:numPr>
          <w:ilvl w:val="0"/>
          <w:numId w:val="2"/>
        </w:numPr>
        <w:spacing w:after="80" w:line="276"/>
      </w:pPr>
      <w:r>
        <w:rPr>
          <w:b/>
          <w:bCs/>
        </w:rPr>
        <w:t xml:space="preserve">Increase Contrast</w:t>
      </w:r>
      <w:r>
        <w:rPr>
          <w:b w:val="false"/>
          <w:bCs w:val="false"/>
        </w:rPr>
        <w:t xml:space="preserve"> switches </w:t>
      </w:r>
      <w:r>
        <w:rPr>
          <w:rFonts w:ascii="Consolas" w:cs="Consolas" w:eastAsia="Consolas" w:hAnsi="Consolas"/>
          <w:b w:val="false"/>
          <w:bCs w:val="false"/>
          <w:sz w:val="19"/>
          <w:szCs w:val="19"/>
        </w:rPr>
        <w:t xml:space="preserve">text.secondary</w:t>
      </w:r>
      <w:r>
        <w:rPr>
          <w:b w:val="false"/>
          <w:bCs w:val="false"/>
        </w:rPr>
        <w:t xml:space="preserve"> to </w:t>
      </w:r>
      <w:r>
        <w:rPr>
          <w:rFonts w:ascii="Consolas" w:cs="Consolas" w:eastAsia="Consolas" w:hAnsi="Consolas"/>
          <w:b w:val="false"/>
          <w:bCs w:val="false"/>
          <w:sz w:val="19"/>
          <w:szCs w:val="19"/>
        </w:rPr>
        <w:t xml:space="preserve">text.freshness</w:t>
      </w:r>
      <w:r>
        <w:rPr>
          <w:b w:val="false"/>
          <w:bCs w:val="false"/>
        </w:rPr>
        <w:t xml:space="preserve"> throughout and thickens the target-range band border.</w:t>
      </w:r>
    </w:p>
    <w:p>
      <w:pPr>
        <w:pStyle w:val="ListParagraph"/>
        <w:numPr>
          <w:ilvl w:val="0"/>
          <w:numId w:val="2"/>
        </w:numPr>
        <w:spacing w:after="80" w:line="276"/>
      </w:pPr>
      <w:r>
        <w:rPr>
          <w:b/>
          <w:bCs/>
        </w:rPr>
        <w:t xml:space="preserve">Minimum touch target of 44×44pt</w:t>
      </w:r>
      <w:r>
        <w:rPr>
          <w:b w:val="false"/>
          <w:bCs w:val="false"/>
        </w:rPr>
        <w:t xml:space="preserve"> on every quick-log control, including complication-adjacent buttons.</w:t>
      </w:r>
    </w:p>
    <w:p>
      <w:pPr>
        <w:pStyle w:val="ListParagraph"/>
        <w:numPr>
          <w:ilvl w:val="0"/>
          <w:numId w:val="2"/>
        </w:numPr>
        <w:spacing w:after="80" w:line="276"/>
      </w:pPr>
      <w:r>
        <w:rPr>
          <w:b/>
          <w:bCs/>
        </w:rPr>
        <w:t xml:space="preserve">Bedside Mode must remain accessible</w:t>
      </w:r>
      <w:r>
        <w:rPr>
          <w:b w:val="false"/>
          <w:bCs w:val="false"/>
        </w:rPr>
        <w:t xml:space="preserve"> — the red-shifted palette is verified against WCAG AA at the dimming levels actually used, not only at full opacity.</w:t>
      </w:r>
    </w:p>
    <w:p>
      <w:pPr>
        <w:pStyle w:val="Heading1"/>
        <w:spacing w:after="160" w:before="360"/>
      </w:pPr>
      <w:r>
        <w:rPr>
          <w:b w:val="false"/>
          <w:bCs w:val="false"/>
        </w:rPr>
        <w:t xml:space="preserve">6. Constraints &amp; Security</w:t>
      </w:r>
    </w:p>
    <w:p>
      <w:pPr>
        <w:pStyle w:val="Heading2"/>
        <w:spacing w:after="140" w:before="280"/>
      </w:pPr>
      <w:r>
        <w:rPr>
          <w:b w:val="false"/>
          <w:bCs w:val="false"/>
        </w:rPr>
        <w:t xml:space="preserve">6.1 Provisioning &amp; Signing</w:t>
      </w:r>
    </w:p>
    <w:p>
      <w:pPr>
        <w:pBdr>
          <w:left w:val="single" w:color="BFD3E6" w:sz="12" w:space="8"/>
        </w:pBdr>
        <w:spacing w:after="160" w:line="260"/>
        <w:ind w:left="180"/>
      </w:pPr>
      <w:r>
        <w:rPr>
          <w:b w:val="false"/>
          <w:bCs w:val="false"/>
          <w:i/>
          <w:iCs/>
          <w:color w:val="595959"/>
          <w:sz w:val="20"/>
          <w:szCs w:val="20"/>
        </w:rPr>
        <w:t xml:space="preserve">New in v1.3. Signing tier is a real constraint on scope, so it is recorded here rather than discovered mid-build.</w:t>
      </w:r>
    </w:p>
    <w:p>
      <w:pPr>
        <w:spacing w:after="120" w:line="276"/>
      </w:pPr>
      <w:r>
        <w:rPr>
          <w:b w:val="false"/>
          <w:bCs w:val="false"/>
        </w:rPr>
        <w:t xml:space="preserve">The project starts on a </w:t>
      </w:r>
      <w:r>
        <w:rPr>
          <w:b/>
          <w:bCs/>
        </w:rPr>
        <w:t xml:space="preserve">free Apple personal team</w:t>
      </w:r>
      <w:r>
        <w:rPr>
          <w:b w:val="false"/>
          <w:bCs w:val="false"/>
        </w:rPr>
        <w:t xml:space="preserve">, which costs nothing and is sufficient for the whole of v1. The Apple Developer Program membership is deferred until v2 needs it.</w:t>
      </w:r>
    </w:p>
    <w:p>
      <w:pPr>
        <w:spacing w:after="100" w:before="180"/>
      </w:pPr>
      <w:r>
        <w:rPr>
          <w:b/>
          <w:bCs/>
          <w:color w:val="1F4D78"/>
        </w:rPr>
        <w:t xml:space="preserve">What a free personal team permits</w:t>
      </w:r>
    </w:p>
    <w:p>
      <w:pPr>
        <w:pStyle w:val="ListParagraph"/>
        <w:numPr>
          <w:ilvl w:val="0"/>
          <w:numId w:val="2"/>
        </w:numPr>
        <w:spacing w:after="80" w:line="276"/>
      </w:pPr>
      <w:r>
        <w:rPr>
          <w:b w:val="false"/>
          <w:bCs w:val="false"/>
        </w:rPr>
        <w:t xml:space="preserve">Building and installing on the developer's own device.</w:t>
      </w:r>
    </w:p>
    <w:p>
      <w:pPr>
        <w:pStyle w:val="ListParagraph"/>
        <w:numPr>
          <w:ilvl w:val="0"/>
          <w:numId w:val="2"/>
        </w:numPr>
        <w:spacing w:after="80" w:line="276"/>
      </w:pPr>
      <w:r>
        <w:rPr>
          <w:b/>
          <w:bCs/>
        </w:rPr>
        <w:t xml:space="preserve">CoreBluetooth, including the </w:t>
      </w:r>
      <w:r>
        <w:rPr>
          <w:rFonts w:ascii="Consolas" w:cs="Consolas" w:eastAsia="Consolas" w:hAnsi="Consolas"/>
          <w:b/>
          <w:bCs/>
          <w:sz w:val="19"/>
          <w:szCs w:val="19"/>
        </w:rPr>
        <w:t xml:space="preserve">bluetooth-central</w:t>
      </w:r>
      <w:r>
        <w:rPr>
          <w:b/>
          <w:bCs/>
        </w:rPr>
        <w:t xml:space="preserve"> background mode</w:t>
      </w:r>
      <w:r>
        <w:rPr>
          <w:b w:val="false"/>
          <w:bCs w:val="false"/>
        </w:rPr>
        <w:t xml:space="preserve"> — background modes are Info.plist declarations, not portal-registered entitlements. The entire live data path works.</w:t>
      </w:r>
    </w:p>
    <w:p>
      <w:pPr>
        <w:pStyle w:val="ListParagraph"/>
        <w:numPr>
          <w:ilvl w:val="0"/>
          <w:numId w:val="2"/>
        </w:numPr>
        <w:spacing w:after="80" w:line="276"/>
      </w:pPr>
      <w:r>
        <w:rPr>
          <w:b/>
          <w:bCs/>
        </w:rPr>
        <w:t xml:space="preserve">HealthKit</w:t>
      </w:r>
      <w:r>
        <w:rPr>
          <w:b w:val="false"/>
          <w:bCs w:val="false"/>
        </w:rPr>
        <w:t xml:space="preserve">, for personal use on your own device. The backfill path works.</w:t>
      </w:r>
    </w:p>
    <w:p>
      <w:pPr>
        <w:pStyle w:val="ListParagraph"/>
        <w:numPr>
          <w:ilvl w:val="0"/>
          <w:numId w:val="2"/>
        </w:numPr>
        <w:spacing w:after="80" w:line="276"/>
      </w:pPr>
      <w:r>
        <w:rPr>
          <w:b w:val="false"/>
          <w:bCs w:val="false"/>
        </w:rPr>
        <w:t xml:space="preserve">SwiftData, Swift Charts, local notifications, and the whole v1 UI.</w:t>
      </w:r>
    </w:p>
    <w:p>
      <w:pPr>
        <w:spacing w:after="100" w:before="180"/>
      </w:pPr>
      <w:r>
        <w:rPr>
          <w:b/>
          <w:bCs/>
          <w:color w:val="1F4D78"/>
        </w:rPr>
        <w:t xml:space="preserve">What it does not permit</w:t>
      </w:r>
    </w:p>
    <w:p>
      <w:pPr>
        <w:pStyle w:val="ListParagraph"/>
        <w:numPr>
          <w:ilvl w:val="0"/>
          <w:numId w:val="2"/>
        </w:numPr>
        <w:spacing w:after="80" w:line="276"/>
      </w:pPr>
      <w:r>
        <w:rPr>
          <w:b/>
          <w:bCs/>
        </w:rPr>
        <w:t xml:space="preserve">App Groups.</w:t>
      </w:r>
      <w:r>
        <w:rPr>
          <w:b w:val="false"/>
          <w:bCs w:val="false"/>
        </w:rPr>
        <w:t xml:space="preserve"> This is the binding constraint: without a shared container, a widget extension cannot read the app's store. It gates §3.2.4's glanceable surfaces.</w:t>
      </w:r>
    </w:p>
    <w:p>
      <w:pPr>
        <w:pStyle w:val="ListParagraph"/>
        <w:numPr>
          <w:ilvl w:val="0"/>
          <w:numId w:val="2"/>
        </w:numPr>
        <w:spacing w:after="80" w:line="276"/>
      </w:pPr>
      <w:r>
        <w:rPr>
          <w:b/>
          <w:bCs/>
        </w:rPr>
        <w:t xml:space="preserve">Push notifications, CloudKit, Sign in with Apple, TestFlight.</w:t>
      </w:r>
      <w:r>
        <w:rPr>
          <w:b w:val="false"/>
          <w:bCs w:val="false"/>
        </w:rPr>
        <w:t xml:space="preserve"> None are needed for v1; CloudKit is a v3 concern.</w:t>
      </w:r>
    </w:p>
    <w:p>
      <w:pPr>
        <w:pStyle w:val="ListParagraph"/>
        <w:numPr>
          <w:ilvl w:val="0"/>
          <w:numId w:val="2"/>
        </w:numPr>
        <w:spacing w:after="80" w:line="276"/>
      </w:pPr>
      <w:r>
        <w:rPr>
          <w:b/>
          <w:bCs/>
        </w:rPr>
        <w:t xml:space="preserve">Longevity.</w:t>
      </w:r>
      <w:r>
        <w:rPr>
          <w:b w:val="false"/>
          <w:bCs w:val="false"/>
        </w:rPr>
        <w:t xml:space="preserve"> Provisioning profiles and App IDs expire </w:t>
      </w:r>
      <w:r>
        <w:rPr>
          <w:b/>
          <w:bCs/>
        </w:rPr>
        <w:t xml:space="preserve">after 7 days</w:t>
      </w:r>
      <w:r>
        <w:rPr>
          <w:b w:val="false"/>
          <w:bCs w:val="false"/>
        </w:rPr>
        <w:t xml:space="preserve">. The app stops launching until rebuilt from Xcode with the phone attached or on the same network — roughly a two-minute operation, but one that must actually be remembered.</w:t>
      </w:r>
    </w:p>
    <w:p>
      <w:pPr>
        <w:pStyle w:val="ListParagraph"/>
        <w:numPr>
          <w:ilvl w:val="0"/>
          <w:numId w:val="2"/>
        </w:numPr>
        <w:spacing w:after="80" w:line="276"/>
      </w:pPr>
      <w:r>
        <w:rPr>
          <w:b/>
          <w:bCs/>
        </w:rPr>
        <w:t xml:space="preserve">Certificate expiry is separate from profile expiry, and fails confusingly.</w:t>
      </w:r>
      <w:r>
        <w:rPr>
          <w:b w:val="false"/>
          <w:bCs w:val="false"/>
        </w:rPr>
        <w:t xml:space="preserve"> The signing certificate lasts a year; the provisioning profile lasts 7 days. An expired *certificate* presents on-device as “Unable to Verify App”, which is indistinguishable from a network failure and cannot be resolved by trusting, reinstalling, or changing networks. Diagnose by checking the certificate's </w:t>
      </w:r>
      <w:r>
        <w:rPr>
          <w:rFonts w:ascii="Consolas" w:cs="Consolas" w:eastAsia="Consolas" w:hAnsi="Consolas"/>
          <w:b w:val="false"/>
          <w:bCs w:val="false"/>
          <w:sz w:val="19"/>
          <w:szCs w:val="19"/>
        </w:rPr>
        <w:t xml:space="preserve">notAfter</w:t>
      </w:r>
      <w:r>
        <w:rPr>
          <w:b w:val="false"/>
          <w:bCs w:val="false"/>
        </w:rPr>
        <w:t xml:space="preserve"> date directly rather than trusting </w:t>
      </w:r>
      <w:r>
        <w:rPr>
          <w:rFonts w:ascii="Consolas" w:cs="Consolas" w:eastAsia="Consolas" w:hAnsi="Consolas"/>
          <w:b w:val="false"/>
          <w:bCs w:val="false"/>
          <w:sz w:val="19"/>
          <w:szCs w:val="19"/>
        </w:rPr>
        <w:t xml:space="preserve">security find-identity</w:t>
      </w:r>
      <w:r>
        <w:rPr>
          <w:b w:val="false"/>
          <w:bCs w:val="false"/>
        </w:rPr>
        <w:t xml:space="preserve">, which reports expired certificates as valid and lets </w:t>
      </w:r>
      <w:r>
        <w:rPr>
          <w:rFonts w:ascii="Consolas" w:cs="Consolas" w:eastAsia="Consolas" w:hAnsi="Consolas"/>
          <w:b w:val="false"/>
          <w:bCs w:val="false"/>
          <w:sz w:val="19"/>
          <w:szCs w:val="19"/>
        </w:rPr>
        <w:t xml:space="preserve">codesign</w:t>
      </w:r>
      <w:r>
        <w:rPr>
          <w:b w:val="false"/>
          <w:bCs w:val="false"/>
        </w:rPr>
        <w:t xml:space="preserve"> sign with them happily. The fix is to delete the identity and let Xcode issue a new one; the stale certificate must also be removed, since a new certificate sharing its Common Name collides with the device's existing trust record and produces “unable to trust”.</w:t>
      </w:r>
    </w:p>
    <w:p>
      <w:pPr>
        <w:pStyle w:val="ListParagraph"/>
        <w:numPr>
          <w:ilvl w:val="0"/>
          <w:numId w:val="2"/>
        </w:numPr>
        <w:spacing w:after="80" w:line="276"/>
      </w:pPr>
      <w:r>
        <w:rPr>
          <w:b w:val="false"/>
          <w:bCs w:val="false"/>
        </w:rPr>
        <w:t xml:space="preserve">Limits of 3 apps per device, 3 devices, and 10 App IDs per 7 days. Comfortable for one app; the App ID limit is worth knowing before creating extensions casually.</w:t>
      </w:r>
    </w:p>
    <w:p>
      <w:pPr>
        <w:spacing w:after="100" w:before="180"/>
      </w:pPr>
      <w:r>
        <w:rPr>
          <w:b/>
          <w:bCs/>
          <w:color w:val="1F4D78"/>
        </w:rPr>
        <w:t xml:space="preserve">Consequence for the roadmap</w:t>
      </w:r>
    </w:p>
    <w:p>
      <w:pPr>
        <w:spacing w:after="120" w:line="276"/>
      </w:pPr>
      <w:r>
        <w:rPr>
          <w:b/>
          <w:bCs/>
        </w:rPr>
        <w:t xml:space="preserve">Phases 0 through 8 — everything through v2 prediction — run on a free personal team.</w:t>
      </w:r>
      <w:r>
        <w:rPr>
          <w:b w:val="false"/>
          <w:bCs w:val="false"/>
        </w:rPr>
        <w:t xml:space="preserve"> Only Phase 9 (glanceable surfaces) requires the paid membership, because Live Activities and widgets need App Groups to read shared data.</w:t>
      </w:r>
    </w:p>
    <w:p>
      <w:pPr>
        <w:spacing w:after="120" w:line="276"/>
      </w:pPr>
      <w:r>
        <w:rPr>
          <w:b w:val="false"/>
          <w:bCs w:val="false"/>
        </w:rPr>
        <w:t xml:space="preserve">This ordering is deliberate. By the time the $99 decision arrives, the app will have been in daily use for weeks and its value will be established rather than hypothetical. The weekly rebuild is the price of deferring that decision, and it is a fair one.</w:t>
      </w:r>
    </w:p>
    <w:p>
      <w:pPr>
        <w:pBdr>
          <w:left w:val="single" w:color="BFD3E6" w:sz="12" w:space="8"/>
        </w:pBdr>
        <w:spacing w:after="160" w:line="260"/>
        <w:ind w:left="180"/>
      </w:pPr>
      <w:r>
        <w:rPr>
          <w:b w:val="false"/>
          <w:bCs w:val="false"/>
          <w:i/>
          <w:iCs/>
          <w:color w:val="595959"/>
          <w:sz w:val="20"/>
          <w:szCs w:val="20"/>
        </w:rPr>
        <w:t xml:space="preserve">The 7-day expiry has a specific failure mode worth naming: an expired profile means the app will not launch at 3am. This is an inconvenience rather than a safety problem, because the official Dexcom app is unaffected and remains the alarm source (§1.3). Rebuilding on a fixed weekly rhythm — same evening each week — is the mitigation.</w:t>
      </w:r>
    </w:p>
    <w:p>
      <w:pPr>
        <w:pStyle w:val="Heading2"/>
        <w:spacing w:after="140" w:before="280"/>
      </w:pPr>
      <w:r>
        <w:rPr>
          <w:b w:val="false"/>
          <w:bCs w:val="false"/>
        </w:rPr>
        <w:t xml:space="preserve">6.2 Privacy &amp; Security</w:t>
      </w:r>
    </w:p>
    <w:p>
      <w:pPr>
        <w:pStyle w:val="ListParagraph"/>
        <w:numPr>
          <w:ilvl w:val="0"/>
          <w:numId w:val="2"/>
        </w:numPr>
        <w:spacing w:after="80" w:line="276"/>
      </w:pPr>
      <w:r>
        <w:rPr>
          <w:b w:val="false"/>
          <w:bCs w:val="false"/>
        </w:rPr>
        <w:t xml:space="preserve">All glucose data is stored locally on device.</w:t>
      </w:r>
    </w:p>
    <w:p>
      <w:pPr>
        <w:pStyle w:val="ListParagraph"/>
        <w:numPr>
          <w:ilvl w:val="0"/>
          <w:numId w:val="2"/>
        </w:numPr>
        <w:spacing w:after="80" w:line="276"/>
      </w:pPr>
      <w:r>
        <w:rPr>
          <w:b/>
          <w:bCs/>
        </w:rPr>
        <w:t xml:space="preserve">v1 makes no network requests at all.</w:t>
      </w:r>
      <w:r>
        <w:rPr>
          <w:b w:val="false"/>
          <w:bCs w:val="false"/>
        </w:rPr>
        <w:t xml:space="preserve"> With BLE primary and HealthKit local, there is no server in the picture — not Dexcom's, not anyone's. This is a stronger privacy position than either earlier revision could claim, and it removes an entire class of failure and exposure.</w:t>
      </w:r>
    </w:p>
    <w:p>
      <w:pPr>
        <w:pStyle w:val="ListParagraph"/>
        <w:numPr>
          <w:ilvl w:val="0"/>
          <w:numId w:val="2"/>
        </w:numPr>
        <w:spacing w:after="80" w:line="276"/>
      </w:pPr>
      <w:r>
        <w:rPr>
          <w:b/>
          <w:bCs/>
        </w:rPr>
        <w:t xml:space="preserve">v1 stores no credentials.</w:t>
      </w:r>
      <w:r>
        <w:rPr>
          <w:b w:val="false"/>
          <w:bCs w:val="false"/>
        </w:rPr>
        <w:t xml:space="preserve"> The Keychain requirement arrives only if the optional Share fallback (§4.2.4) is built. Should it be, use </w:t>
      </w:r>
      <w:r>
        <w:rPr>
          <w:rFonts w:ascii="Consolas" w:cs="Consolas" w:eastAsia="Consolas" w:hAnsi="Consolas"/>
          <w:b w:val="false"/>
          <w:bCs w:val="false"/>
          <w:sz w:val="19"/>
          <w:szCs w:val="19"/>
        </w:rPr>
        <w:t xml:space="preserve">kSecAttrAccessibleAfterFirstUnlockThisDeviceOnly</w:t>
      </w:r>
      <w:r>
        <w:rPr>
          <w:b w:val="false"/>
          <w:bCs w:val="false"/>
        </w:rPr>
        <w:t xml:space="preserve"> — not </w:t>
      </w:r>
      <w:r>
        <w:rPr>
          <w:rFonts w:ascii="Consolas" w:cs="Consolas" w:eastAsia="Consolas" w:hAnsi="Consolas"/>
          <w:b w:val="false"/>
          <w:bCs w:val="false"/>
          <w:sz w:val="19"/>
          <w:szCs w:val="19"/>
        </w:rPr>
        <w:t xml:space="preserve">WhenUnlocked</w:t>
      </w:r>
      <w:r>
        <w:rPr>
          <w:b w:val="false"/>
          <w:bCs w:val="false"/>
        </w:rPr>
        <w:t xml:space="preserve">, which would make the item unreadable during background operation and after reboot.</w:t>
      </w:r>
    </w:p>
    <w:p>
      <w:pPr>
        <w:pStyle w:val="ListParagraph"/>
        <w:numPr>
          <w:ilvl w:val="0"/>
          <w:numId w:val="2"/>
        </w:numPr>
        <w:spacing w:after="80" w:line="276"/>
      </w:pPr>
      <w:r>
        <w:rPr>
          <w:b/>
          <w:bCs/>
        </w:rPr>
        <w:t xml:space="preserve">HealthKit data handling:</w:t>
      </w:r>
      <w:r>
        <w:rPr>
          <w:b w:val="false"/>
          <w:bCs w:val="false"/>
        </w:rPr>
        <w:t xml:space="preserve"> read-only, minimum types, context types requested separately. HealthKit values never leave the device, never appear in the diagnostic log, and are excluded from any crash payload.</w:t>
      </w:r>
    </w:p>
    <w:p>
      <w:pPr>
        <w:pStyle w:val="ListParagraph"/>
        <w:numPr>
          <w:ilvl w:val="0"/>
          <w:numId w:val="2"/>
        </w:numPr>
        <w:spacing w:after="80" w:line="276"/>
      </w:pPr>
      <w:r>
        <w:rPr>
          <w:b/>
          <w:bCs/>
        </w:rPr>
        <w:t xml:space="preserve">No analytics SDKs. No third-party crash reporters.</w:t>
      </w:r>
      <w:r>
        <w:rPr>
          <w:b w:val="false"/>
          <w:bCs w:val="false"/>
        </w:rPr>
        <w:t xml:space="preserve"> Diagnostics are a local-only log with a manual copy action; glucose values are redacted from it.</w:t>
      </w:r>
    </w:p>
    <w:p>
      <w:pPr>
        <w:pStyle w:val="ListParagraph"/>
        <w:numPr>
          <w:ilvl w:val="0"/>
          <w:numId w:val="2"/>
        </w:numPr>
        <w:spacing w:after="80" w:line="276"/>
      </w:pPr>
      <w:r>
        <w:rPr>
          <w:b/>
          <w:bCs/>
        </w:rPr>
        <w:t xml:space="preserve">Photos</w:t>
      </w:r>
      <w:r>
        <w:rPr>
          <w:b w:val="false"/>
          <w:bCs w:val="false"/>
        </w:rPr>
        <w:t xml:space="preserve"> attached to meals stay in the app sandbox and are never uploaded. Excluded from CSV/JSON export by default, with an opt-in.</w:t>
      </w:r>
    </w:p>
    <w:p>
      <w:pPr>
        <w:pStyle w:val="ListParagraph"/>
        <w:numPr>
          <w:ilvl w:val="0"/>
          <w:numId w:val="2"/>
        </w:numPr>
        <w:spacing w:after="80" w:line="276"/>
      </w:pPr>
      <w:r>
        <w:rPr>
          <w:b/>
          <w:bCs/>
        </w:rPr>
        <w:t xml:space="preserve">Exports leave the sandbox by user action only</w:t>
      </w:r>
      <w:r>
        <w:rPr>
          <w:b w:val="false"/>
          <w:bCs w:val="false"/>
        </w:rPr>
        <w:t xml:space="preserve">, through the share sheet. The file contains complete medical history and is labelled as such at the moment of sharing.</w:t>
      </w:r>
    </w:p>
    <w:p>
      <w:pPr>
        <w:pStyle w:val="ListParagraph"/>
        <w:numPr>
          <w:ilvl w:val="0"/>
          <w:numId w:val="2"/>
        </w:numPr>
        <w:spacing w:after="80" w:line="276"/>
      </w:pPr>
      <w:r>
        <w:rPr>
          <w:b/>
          <w:bCs/>
        </w:rPr>
        <w:t xml:space="preserve">iCloud sync (v3)</w:t>
      </w:r>
      <w:r>
        <w:rPr>
          <w:b w:val="false"/>
          <w:bCs w:val="false"/>
        </w:rPr>
        <w:t xml:space="preserve"> uses the CloudKit private database, encrypted by Apple. Opt-in, and disabling it offers deletion of the cloud copy.</w:t>
      </w:r>
    </w:p>
    <w:p>
      <w:pPr>
        <w:pStyle w:val="ListParagraph"/>
        <w:numPr>
          <w:ilvl w:val="0"/>
          <w:numId w:val="2"/>
        </w:numPr>
        <w:spacing w:after="80" w:line="276"/>
      </w:pPr>
      <w:r>
        <w:rPr>
          <w:b/>
          <w:bCs/>
        </w:rPr>
        <w:t xml:space="preserve">No passcode gate on launch</w:t>
      </w:r>
      <w:r>
        <w:rPr>
          <w:b w:val="false"/>
          <w:bCs w:val="false"/>
        </w:rPr>
        <w:t xml:space="preserve"> — a glucose check must not be gated behind authentication at 3am. Optional Face ID gating covers the log and export screens only.</w:t>
      </w:r>
    </w:p>
    <w:p>
      <w:pPr>
        <w:pStyle w:val="Heading1"/>
        <w:spacing w:after="160" w:before="360"/>
      </w:pPr>
      <w:r>
        <w:rPr>
          <w:b w:val="false"/>
          <w:bCs w:val="false"/>
        </w:rPr>
        <w:t xml:space="preserve">7. Build Roadmap</w:t>
      </w:r>
    </w:p>
    <w:p>
      <w:pPr>
        <w:spacing w:after="120" w:line="276"/>
      </w:pPr>
      <w:r>
        <w:rPr>
          <w:b w:val="false"/>
          <w:bCs w:val="false"/>
        </w:rPr>
        <w:t xml:space="preserve">Estimates assume one developer working evenings and weekends. Phases 0 to 8 run on a free personal team; only Phase 9 needs the paid membership (§6.1).</w:t>
      </w:r>
    </w:p>
    <w:p>
      <w:pPr>
        <w:pBdr>
          <w:left w:val="single" w:color="BFD3E6" w:sz="12" w:space="8"/>
        </w:pBdr>
        <w:spacing w:after="160" w:line="260"/>
        <w:ind w:left="180"/>
      </w:pPr>
      <w:r>
        <w:rPr>
          <w:b w:val="false"/>
          <w:bCs w:val="false"/>
          <w:i/>
          <w:iCs/>
          <w:color w:val="595959"/>
          <w:sz w:val="20"/>
          <w:szCs w:val="20"/>
        </w:rPr>
        <w:t xml:space="preserve">Status as of v1.4: Phases 0 to 2 are substantially complete. The app is installed on device, signed in, and displaying live glucose in the user's own units, with 35 passing tests. Phase 1 returned a negative result that changed the architecture — which is exactly what it was for.</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400"/>
        <w:gridCol w:w="3500"/>
        <w:gridCol w:w="1300"/>
        <w:gridCol w:w="3160"/>
      </w:tblGrid>
      <w:tr>
        <w:trPr>
          <w:tblHeader/>
        </w:trPr>
        <w:tc>
          <w:tcPr>
            <w:tcW w:type="dxa" w:w="1400"/>
            <w:shd w:fill="DEEAF6" w:color="auto" w:val="clear"/>
            <w:tcMar>
              <w:top w:type="dxa" w:w="60"/>
              <w:left w:type="dxa" w:w="100"/>
              <w:bottom w:type="dxa" w:w="60"/>
              <w:right w:type="dxa" w:w="100"/>
            </w:tcMar>
          </w:tcPr>
          <w:p>
            <w:pPr>
              <w:spacing w:after="0" w:line="250"/>
            </w:pPr>
            <w:r>
              <w:rPr>
                <w:b/>
                <w:bCs/>
                <w:sz w:val="20"/>
                <w:szCs w:val="20"/>
              </w:rPr>
              <w:t xml:space="preserve">Phase</w:t>
            </w:r>
          </w:p>
        </w:tc>
        <w:tc>
          <w:tcPr>
            <w:tcW w:type="dxa" w:w="3500"/>
            <w:shd w:fill="DEEAF6" w:color="auto" w:val="clear"/>
            <w:tcMar>
              <w:top w:type="dxa" w:w="60"/>
              <w:left w:type="dxa" w:w="100"/>
              <w:bottom w:type="dxa" w:w="60"/>
              <w:right w:type="dxa" w:w="100"/>
            </w:tcMar>
          </w:tcPr>
          <w:p>
            <w:pPr>
              <w:spacing w:after="0" w:line="250"/>
            </w:pPr>
            <w:r>
              <w:rPr>
                <w:b/>
                <w:bCs/>
                <w:sz w:val="20"/>
                <w:szCs w:val="20"/>
              </w:rPr>
              <w:t xml:space="preserve">Scope</w:t>
            </w:r>
          </w:p>
        </w:tc>
        <w:tc>
          <w:tcPr>
            <w:tcW w:type="dxa" w:w="1300"/>
            <w:shd w:fill="DEEAF6" w:color="auto" w:val="clear"/>
            <w:tcMar>
              <w:top w:type="dxa" w:w="60"/>
              <w:left w:type="dxa" w:w="100"/>
              <w:bottom w:type="dxa" w:w="60"/>
              <w:right w:type="dxa" w:w="100"/>
            </w:tcMar>
          </w:tcPr>
          <w:p>
            <w:pPr>
              <w:spacing w:after="0" w:line="250"/>
            </w:pPr>
            <w:r>
              <w:rPr>
                <w:b/>
                <w:bCs/>
                <w:sz w:val="20"/>
                <w:szCs w:val="20"/>
              </w:rPr>
              <w:t xml:space="preserve">Status</w:t>
            </w:r>
          </w:p>
        </w:tc>
        <w:tc>
          <w:tcPr>
            <w:tcW w:type="dxa" w:w="3160"/>
            <w:shd w:fill="DEEAF6" w:color="auto" w:val="clear"/>
            <w:tcMar>
              <w:top w:type="dxa" w:w="60"/>
              <w:left w:type="dxa" w:w="100"/>
              <w:bottom w:type="dxa" w:w="60"/>
              <w:right w:type="dxa" w:w="100"/>
            </w:tcMar>
          </w:tcPr>
          <w:p>
            <w:pPr>
              <w:spacing w:after="0" w:line="250"/>
            </w:pPr>
            <w:r>
              <w:rPr>
                <w:b/>
                <w:bCs/>
                <w:sz w:val="20"/>
                <w:szCs w:val="20"/>
              </w:rPr>
              <w:t xml:space="preserve">Exit Criteria</w:t>
            </w:r>
          </w:p>
        </w:tc>
      </w:tr>
      <w:tr>
        <w:tc>
          <w:tcPr>
            <w:tcW w:type="dxa" w:w="1400"/>
            <w:tcMar>
              <w:top w:type="dxa" w:w="60"/>
              <w:left w:type="dxa" w:w="100"/>
              <w:bottom w:type="dxa" w:w="60"/>
              <w:right w:type="dxa" w:w="100"/>
            </w:tcMar>
          </w:tcPr>
          <w:p>
            <w:pPr>
              <w:spacing w:after="0" w:line="250"/>
            </w:pPr>
            <w:r>
              <w:rPr>
                <w:b w:val="false"/>
                <w:bCs w:val="false"/>
                <w:sz w:val="20"/>
                <w:szCs w:val="20"/>
              </w:rPr>
              <w:t xml:space="preserve">0. Setup</w:t>
            </w:r>
          </w:p>
        </w:tc>
        <w:tc>
          <w:tcPr>
            <w:tcW w:type="dxa" w:w="3500"/>
            <w:tcMar>
              <w:top w:type="dxa" w:w="60"/>
              <w:left w:type="dxa" w:w="100"/>
              <w:bottom w:type="dxa" w:w="60"/>
              <w:right w:type="dxa" w:w="100"/>
            </w:tcMar>
          </w:tcPr>
          <w:p>
            <w:pPr>
              <w:spacing w:after="0" w:line="250"/>
            </w:pPr>
            <w:r>
              <w:rPr>
                <w:b w:val="false"/>
                <w:bCs w:val="false"/>
                <w:sz w:val="20"/>
                <w:szCs w:val="20"/>
              </w:rPr>
              <w:t xml:space="preserve">Xcode project, free personal-team signing, test target, CI.</w:t>
            </w:r>
          </w:p>
        </w:tc>
        <w:tc>
          <w:tcPr>
            <w:tcW w:type="dxa" w:w="1300"/>
            <w:tcMar>
              <w:top w:type="dxa" w:w="60"/>
              <w:left w:type="dxa" w:w="100"/>
              <w:bottom w:type="dxa" w:w="60"/>
              <w:right w:type="dxa" w:w="100"/>
            </w:tcMar>
          </w:tcPr>
          <w:p>
            <w:pPr>
              <w:spacing w:after="0" w:line="250"/>
            </w:pPr>
            <w:r>
              <w:rPr>
                <w:b/>
                <w:bCs/>
                <w:sz w:val="20"/>
                <w:szCs w:val="20"/>
              </w:rPr>
              <w:t xml:space="preserve">Done</w:t>
            </w:r>
          </w:p>
        </w:tc>
        <w:tc>
          <w:tcPr>
            <w:tcW w:type="dxa" w:w="3160"/>
            <w:tcMar>
              <w:top w:type="dxa" w:w="60"/>
              <w:left w:type="dxa" w:w="100"/>
              <w:bottom w:type="dxa" w:w="60"/>
              <w:right w:type="dxa" w:w="100"/>
            </w:tcMar>
          </w:tcPr>
          <w:p>
            <w:pPr>
              <w:spacing w:after="0" w:line="250"/>
            </w:pPr>
            <w:r>
              <w:rPr>
                <w:b w:val="false"/>
                <w:bCs w:val="false"/>
                <w:sz w:val="20"/>
                <w:szCs w:val="20"/>
              </w:rPr>
              <w:t xml:space="preserve">Builds and runs on device.</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1. BLE spike</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Minimal Bluetooth client to determine whether a third app can read the sensor alongside the official app.</w:t>
            </w:r>
          </w:p>
        </w:tc>
        <w:tc>
          <w:tcPr>
            <w:tcW w:type="dxa" w:w="1300"/>
            <w:shd w:fill="F5F8FC" w:color="auto" w:val="clear"/>
            <w:tcMar>
              <w:top w:type="dxa" w:w="60"/>
              <w:left w:type="dxa" w:w="100"/>
              <w:bottom w:type="dxa" w:w="60"/>
              <w:right w:type="dxa" w:w="100"/>
            </w:tcMar>
          </w:tcPr>
          <w:p>
            <w:pPr>
              <w:spacing w:after="0" w:line="250"/>
            </w:pPr>
            <w:r>
              <w:rPr>
                <w:b/>
                <w:bCs/>
                <w:sz w:val="20"/>
                <w:szCs w:val="20"/>
              </w:rPr>
              <w:t xml:space="preserve">Done — negative</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Answered definitively: it cannot (§3.1.1). Two evenings spent, architecture corrected before anything was built on it.</w:t>
            </w:r>
          </w:p>
        </w:tc>
      </w:tr>
      <w:tr>
        <w:tc>
          <w:tcPr>
            <w:tcW w:type="dxa" w:w="1400"/>
            <w:tcMar>
              <w:top w:type="dxa" w:w="60"/>
              <w:left w:type="dxa" w:w="100"/>
              <w:bottom w:type="dxa" w:w="60"/>
              <w:right w:type="dxa" w:w="100"/>
            </w:tcMar>
          </w:tcPr>
          <w:p>
            <w:pPr>
              <w:spacing w:after="0" w:line="250"/>
            </w:pPr>
            <w:r>
              <w:rPr>
                <w:b w:val="false"/>
                <w:bCs w:val="false"/>
                <w:sz w:val="20"/>
                <w:szCs w:val="20"/>
              </w:rPr>
              <w:t xml:space="preserve">2. Share client</w:t>
            </w:r>
          </w:p>
        </w:tc>
        <w:tc>
          <w:tcPr>
            <w:tcW w:type="dxa" w:w="3500"/>
            <w:tcMar>
              <w:top w:type="dxa" w:w="60"/>
              <w:left w:type="dxa" w:w="100"/>
              <w:bottom w:type="dxa" w:w="60"/>
              <w:right w:type="dxa" w:w="100"/>
            </w:tcMar>
          </w:tcPr>
          <w:p>
            <w:pPr>
              <w:spacing w:after="0" w:line="250"/>
            </w:pPr>
            <w:r>
              <w:rPr>
                <w:b w:val="false"/>
                <w:bCs w:val="false"/>
                <w:sz w:val="20"/>
                <w:szCs w:val="20"/>
              </w:rPr>
              <w:t xml:space="preserve">DexcomShareClient actor, two-step auth, session refresh, Microsoft date parsing, trend polymorphism, terminal-vs-transient error split, Keychain storage, sensor-anchored polling, sign-in UI, reading screen, unit conversion.</w:t>
            </w:r>
          </w:p>
        </w:tc>
        <w:tc>
          <w:tcPr>
            <w:tcW w:type="dxa" w:w="1300"/>
            <w:tcMar>
              <w:top w:type="dxa" w:w="60"/>
              <w:left w:type="dxa" w:w="100"/>
              <w:bottom w:type="dxa" w:w="60"/>
              <w:right w:type="dxa" w:w="100"/>
            </w:tcMar>
          </w:tcPr>
          <w:p>
            <w:pPr>
              <w:spacing w:after="0" w:line="250"/>
            </w:pPr>
            <w:r>
              <w:rPr>
                <w:b/>
                <w:bCs/>
                <w:sz w:val="20"/>
                <w:szCs w:val="20"/>
              </w:rPr>
              <w:t xml:space="preserve">Done</w:t>
            </w:r>
          </w:p>
        </w:tc>
        <w:tc>
          <w:tcPr>
            <w:tcW w:type="dxa" w:w="3160"/>
            <w:tcMar>
              <w:top w:type="dxa" w:w="60"/>
              <w:left w:type="dxa" w:w="100"/>
              <w:bottom w:type="dxa" w:w="60"/>
              <w:right w:type="dxa" w:w="100"/>
            </w:tcMar>
          </w:tcPr>
          <w:p>
            <w:pPr>
              <w:spacing w:after="0" w:line="250"/>
            </w:pPr>
            <w:r>
              <w:rPr>
                <w:b w:val="false"/>
                <w:bCs w:val="false"/>
                <w:sz w:val="20"/>
                <w:szCs w:val="20"/>
              </w:rPr>
              <w:t xml:space="preserve">Live readings on device in the user's units, matching the official app. 35 tests passing.</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3. Persistence</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SwiftData schema v1, upsert-by-sample-time, history survives restart, VersionedSchema and migration test.</w:t>
            </w:r>
          </w:p>
        </w:tc>
        <w:tc>
          <w:tcPr>
            <w:tcW w:type="dxa" w:w="1300"/>
            <w:shd w:fill="F5F8FC" w:color="auto" w:val="clear"/>
            <w:tcMar>
              <w:top w:type="dxa" w:w="60"/>
              <w:left w:type="dxa" w:w="100"/>
              <w:bottom w:type="dxa" w:w="60"/>
              <w:right w:type="dxa" w:w="100"/>
            </w:tcMar>
          </w:tcPr>
          <w:p>
            <w:pPr>
              <w:spacing w:after="0" w:line="250"/>
            </w:pPr>
            <w:r>
              <w:rPr>
                <w:b w:val="false"/>
                <w:bCs w:val="false"/>
                <w:sz w:val="20"/>
                <w:szCs w:val="20"/>
              </w:rPr>
              <w:t xml:space="preserve">Next</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History persists across launches and a schema migration.</w:t>
            </w:r>
          </w:p>
        </w:tc>
      </w:tr>
      <w:tr>
        <w:tc>
          <w:tcPr>
            <w:tcW w:type="dxa" w:w="1400"/>
            <w:tcMar>
              <w:top w:type="dxa" w:w="60"/>
              <w:left w:type="dxa" w:w="100"/>
              <w:bottom w:type="dxa" w:w="60"/>
              <w:right w:type="dxa" w:w="100"/>
            </w:tcMar>
          </w:tcPr>
          <w:p>
            <w:pPr>
              <w:spacing w:after="0" w:line="250"/>
            </w:pPr>
            <w:r>
              <w:rPr>
                <w:b w:val="false"/>
                <w:bCs w:val="false"/>
                <w:sz w:val="20"/>
                <w:szCs w:val="20"/>
              </w:rPr>
              <w:t xml:space="preserve">4. v1 UI</w:t>
            </w:r>
          </w:p>
        </w:tc>
        <w:tc>
          <w:tcPr>
            <w:tcW w:type="dxa" w:w="3500"/>
            <w:tcMar>
              <w:top w:type="dxa" w:w="60"/>
              <w:left w:type="dxa" w:w="100"/>
              <w:bottom w:type="dxa" w:w="60"/>
              <w:right w:type="dxa" w:w="100"/>
            </w:tcMar>
          </w:tcPr>
          <w:p>
            <w:pPr>
              <w:spacing w:after="0" w:line="250"/>
            </w:pPr>
            <w:r>
              <w:rPr>
                <w:b w:val="false"/>
                <w:bCs w:val="false"/>
                <w:sz w:val="20"/>
                <w:szCs w:val="20"/>
              </w:rPr>
              <w:t xml:space="preserve">3h chart, theme system, Bedside Mode, settings screen, data states (§3.1.3).</w:t>
            </w:r>
          </w:p>
        </w:tc>
        <w:tc>
          <w:tcPr>
            <w:tcW w:type="dxa" w:w="1300"/>
            <w:tcMar>
              <w:top w:type="dxa" w:w="60"/>
              <w:left w:type="dxa" w:w="100"/>
              <w:bottom w:type="dxa" w:w="60"/>
              <w:right w:type="dxa" w:w="100"/>
            </w:tcMar>
          </w:tcPr>
          <w:p>
            <w:pPr>
              <w:spacing w:after="0" w:line="250"/>
            </w:pPr>
            <w:r>
              <w:rPr>
                <w:b w:val="false"/>
                <w:bCs w:val="false"/>
                <w:sz w:val="20"/>
                <w:szCs w:val="20"/>
              </w:rPr>
              <w:t xml:space="preserve">1 to 2 weeks</w:t>
            </w:r>
          </w:p>
        </w:tc>
        <w:tc>
          <w:tcPr>
            <w:tcW w:type="dxa" w:w="3160"/>
            <w:tcMar>
              <w:top w:type="dxa" w:w="60"/>
              <w:left w:type="dxa" w:w="100"/>
              <w:bottom w:type="dxa" w:w="60"/>
              <w:right w:type="dxa" w:w="100"/>
            </w:tcMar>
          </w:tcPr>
          <w:p>
            <w:pPr>
              <w:spacing w:after="0" w:line="250"/>
            </w:pPr>
            <w:r>
              <w:rPr>
                <w:b w:val="false"/>
                <w:bCs w:val="false"/>
                <w:sz w:val="20"/>
                <w:szCs w:val="20"/>
              </w:rPr>
              <w:t xml:space="preserve">Daily-usable as a dark-mode G7 display.</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5. History + backfill</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HealthKit 90-day backfill, window switcher, five-band statistics, CV, GMI gating, percentile AGP, downsampling.</w:t>
            </w:r>
          </w:p>
        </w:tc>
        <w:tc>
          <w:tcPr>
            <w:tcW w:type="dxa" w:w="1300"/>
            <w:shd w:fill="F5F8FC" w:color="auto" w:val="clear"/>
            <w:tcMar>
              <w:top w:type="dxa" w:w="60"/>
              <w:left w:type="dxa" w:w="100"/>
              <w:bottom w:type="dxa" w:w="60"/>
              <w:right w:type="dxa" w:w="100"/>
            </w:tcMar>
          </w:tcPr>
          <w:p>
            <w:pPr>
              <w:spacing w:after="0" w:line="250"/>
            </w:pPr>
            <w:r>
              <w:rPr>
                <w:b w:val="false"/>
                <w:bCs w:val="false"/>
                <w:sz w:val="20"/>
                <w:szCs w:val="20"/>
              </w:rPr>
              <w:t xml:space="preserve">1 to 2 weeks</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90-day window renders under 500ms. Statistics match a hand-computed reference.</w:t>
            </w:r>
          </w:p>
        </w:tc>
      </w:tr>
      <w:tr>
        <w:tc>
          <w:tcPr>
            <w:tcW w:type="dxa" w:w="1400"/>
            <w:tcMar>
              <w:top w:type="dxa" w:w="60"/>
              <w:left w:type="dxa" w:w="100"/>
              <w:bottom w:type="dxa" w:w="60"/>
              <w:right w:type="dxa" w:w="100"/>
            </w:tcMar>
          </w:tcPr>
          <w:p>
            <w:pPr>
              <w:spacing w:after="0" w:line="250"/>
            </w:pPr>
            <w:r>
              <w:rPr>
                <w:b w:val="false"/>
                <w:bCs w:val="false"/>
                <w:sz w:val="20"/>
                <w:szCs w:val="20"/>
              </w:rPr>
              <w:t xml:space="preserve">6. Export &amp; backup</w:t>
            </w:r>
          </w:p>
        </w:tc>
        <w:tc>
          <w:tcPr>
            <w:tcW w:type="dxa" w:w="3500"/>
            <w:tcMar>
              <w:top w:type="dxa" w:w="60"/>
              <w:left w:type="dxa" w:w="100"/>
              <w:bottom w:type="dxa" w:w="60"/>
              <w:right w:type="dxa" w:w="100"/>
            </w:tcMar>
          </w:tcPr>
          <w:p>
            <w:pPr>
              <w:spacing w:after="0" w:line="250"/>
            </w:pPr>
            <w:r>
              <w:rPr>
                <w:b w:val="false"/>
                <w:bCs w:val="false"/>
                <w:sz w:val="20"/>
                <w:szCs w:val="20"/>
              </w:rPr>
              <w:t xml:space="preserve">CSV/JSON export, database backup and restore, Nightscout format.</w:t>
            </w:r>
          </w:p>
        </w:tc>
        <w:tc>
          <w:tcPr>
            <w:tcW w:type="dxa" w:w="1300"/>
            <w:tcMar>
              <w:top w:type="dxa" w:w="60"/>
              <w:left w:type="dxa" w:w="100"/>
              <w:bottom w:type="dxa" w:w="60"/>
              <w:right w:type="dxa" w:w="100"/>
            </w:tcMar>
          </w:tcPr>
          <w:p>
            <w:pPr>
              <w:spacing w:after="0" w:line="250"/>
            </w:pPr>
            <w:r>
              <w:rPr>
                <w:b w:val="false"/>
                <w:bCs w:val="false"/>
                <w:sz w:val="20"/>
                <w:szCs w:val="20"/>
              </w:rPr>
              <w:t xml:space="preserve">3 to 4 days</w:t>
            </w:r>
          </w:p>
        </w:tc>
        <w:tc>
          <w:tcPr>
            <w:tcW w:type="dxa" w:w="3160"/>
            <w:tcMar>
              <w:top w:type="dxa" w:w="60"/>
              <w:left w:type="dxa" w:w="100"/>
              <w:bottom w:type="dxa" w:w="60"/>
              <w:right w:type="dxa" w:w="100"/>
            </w:tcMar>
          </w:tcPr>
          <w:p>
            <w:pPr>
              <w:spacing w:after="0" w:line="250"/>
            </w:pPr>
            <w:r>
              <w:rPr>
                <w:b w:val="false"/>
                <w:bCs w:val="false"/>
                <w:sz w:val="20"/>
                <w:szCs w:val="20"/>
              </w:rPr>
              <w:t xml:space="preserve">A backup restores cleanly onto a fresh install.</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7. v1 self-test</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Daily use, including the weekly re-signing rhythm.</w:t>
            </w:r>
          </w:p>
        </w:tc>
        <w:tc>
          <w:tcPr>
            <w:tcW w:type="dxa" w:w="1300"/>
            <w:shd w:fill="F5F8FC" w:color="auto" w:val="clear"/>
            <w:tcMar>
              <w:top w:type="dxa" w:w="60"/>
              <w:left w:type="dxa" w:w="100"/>
              <w:bottom w:type="dxa" w:w="60"/>
              <w:right w:type="dxa" w:w="100"/>
            </w:tcMar>
          </w:tcPr>
          <w:p>
            <w:pPr>
              <w:spacing w:after="0" w:line="250"/>
            </w:pPr>
            <w:r>
              <w:rPr>
                <w:b w:val="false"/>
                <w:bCs w:val="false"/>
                <w:sz w:val="20"/>
                <w:szCs w:val="20"/>
              </w:rPr>
              <w:t xml:space="preserve">2 to 4 weeks</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Opened in preference to the official app for routine checks.</w:t>
            </w:r>
          </w:p>
        </w:tc>
      </w:tr>
      <w:tr>
        <w:tc>
          <w:tcPr>
            <w:tcW w:type="dxa" w:w="1400"/>
            <w:tcMar>
              <w:top w:type="dxa" w:w="60"/>
              <w:left w:type="dxa" w:w="100"/>
              <w:bottom w:type="dxa" w:w="60"/>
              <w:right w:type="dxa" w:w="100"/>
            </w:tcMar>
          </w:tcPr>
          <w:p>
            <w:pPr>
              <w:spacing w:after="0" w:line="250"/>
            </w:pPr>
            <w:r>
              <w:rPr>
                <w:b w:val="false"/>
                <w:bCs w:val="false"/>
                <w:sz w:val="20"/>
                <w:szCs w:val="20"/>
              </w:rPr>
              <w:t xml:space="preserve">8. v2 logging &amp; prediction</w:t>
            </w:r>
          </w:p>
        </w:tc>
        <w:tc>
          <w:tcPr>
            <w:tcW w:type="dxa" w:w="3500"/>
            <w:tcMar>
              <w:top w:type="dxa" w:w="60"/>
              <w:left w:type="dxa" w:w="100"/>
              <w:bottom w:type="dxa" w:w="60"/>
              <w:right w:type="dxa" w:w="100"/>
            </w:tcMar>
          </w:tcPr>
          <w:p>
            <w:pPr>
              <w:spacing w:after="0" w:line="250"/>
            </w:pPr>
            <w:r>
              <w:rPr>
                <w:b w:val="false"/>
                <w:bCs w:val="false"/>
                <w:sz w:val="20"/>
                <w:szCs w:val="20"/>
              </w:rPr>
              <w:t xml:space="preserve">Event model, log UI, meal fingerprinting, IOB/COB, damped forecaster, backtesting harness.</w:t>
            </w:r>
          </w:p>
        </w:tc>
        <w:tc>
          <w:tcPr>
            <w:tcW w:type="dxa" w:w="1300"/>
            <w:tcMar>
              <w:top w:type="dxa" w:w="60"/>
              <w:left w:type="dxa" w:w="100"/>
              <w:bottom w:type="dxa" w:w="60"/>
              <w:right w:type="dxa" w:w="100"/>
            </w:tcMar>
          </w:tcPr>
          <w:p>
            <w:pPr>
              <w:spacing w:after="0" w:line="250"/>
            </w:pPr>
            <w:r>
              <w:rPr>
                <w:b w:val="false"/>
                <w:bCs w:val="false"/>
                <w:sz w:val="20"/>
                <w:szCs w:val="20"/>
              </w:rPr>
              <w:t xml:space="preserve">4 to 6 weeks</w:t>
            </w:r>
          </w:p>
        </w:tc>
        <w:tc>
          <w:tcPr>
            <w:tcW w:type="dxa" w:w="3160"/>
            <w:tcMar>
              <w:top w:type="dxa" w:w="60"/>
              <w:left w:type="dxa" w:w="100"/>
              <w:bottom w:type="dxa" w:w="60"/>
              <w:right w:type="dxa" w:w="100"/>
            </w:tcMar>
          </w:tcPr>
          <w:p>
            <w:pPr>
              <w:spacing w:after="0" w:line="250"/>
            </w:pPr>
            <w:r>
              <w:rPr>
                <w:b w:val="false"/>
                <w:bCs w:val="false"/>
                <w:sz w:val="20"/>
                <w:szCs w:val="20"/>
              </w:rPr>
              <w:t xml:space="preserve">Beats the persistence baseline by the §4.4 margins.</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9. Glanceable surfaces [paid]</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Developer Program enrolment, App Group, Live Activity, Watch complication, App Intents.</w:t>
            </w:r>
          </w:p>
        </w:tc>
        <w:tc>
          <w:tcPr>
            <w:tcW w:type="dxa" w:w="1300"/>
            <w:shd w:fill="F5F8FC" w:color="auto" w:val="clear"/>
            <w:tcMar>
              <w:top w:type="dxa" w:w="60"/>
              <w:left w:type="dxa" w:w="100"/>
              <w:bottom w:type="dxa" w:w="60"/>
              <w:right w:type="dxa" w:w="100"/>
            </w:tcMar>
          </w:tcPr>
          <w:p>
            <w:pPr>
              <w:spacing w:after="0" w:line="250"/>
            </w:pPr>
            <w:r>
              <w:rPr>
                <w:b w:val="false"/>
                <w:bCs w:val="false"/>
                <w:sz w:val="20"/>
                <w:szCs w:val="20"/>
              </w:rPr>
              <w:t xml:space="preserve">2 to 3 weeks</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Live surfaces stay within one poll cycle of the in-app value.</w:t>
            </w:r>
          </w:p>
        </w:tc>
      </w:tr>
      <w:tr>
        <w:tc>
          <w:tcPr>
            <w:tcW w:type="dxa" w:w="1400"/>
            <w:tcMar>
              <w:top w:type="dxa" w:w="60"/>
              <w:left w:type="dxa" w:w="100"/>
              <w:bottom w:type="dxa" w:w="60"/>
              <w:right w:type="dxa" w:w="100"/>
            </w:tcMar>
          </w:tcPr>
          <w:p>
            <w:pPr>
              <w:spacing w:after="0" w:line="250"/>
            </w:pPr>
            <w:r>
              <w:rPr>
                <w:b w:val="false"/>
                <w:bCs w:val="false"/>
                <w:sz w:val="20"/>
                <w:szCs w:val="20"/>
              </w:rPr>
              <w:t xml:space="preserve">10. v3</w:t>
            </w:r>
          </w:p>
        </w:tc>
        <w:tc>
          <w:tcPr>
            <w:tcW w:type="dxa" w:w="3500"/>
            <w:tcMar>
              <w:top w:type="dxa" w:w="60"/>
              <w:left w:type="dxa" w:w="100"/>
              <w:bottom w:type="dxa" w:w="60"/>
              <w:right w:type="dxa" w:w="100"/>
            </w:tcMar>
          </w:tcPr>
          <w:p>
            <w:pPr>
              <w:spacing w:after="0" w:line="250"/>
            </w:pPr>
            <w:r>
              <w:rPr>
                <w:b w:val="false"/>
                <w:bCs w:val="false"/>
                <w:sz w:val="20"/>
                <w:szCs w:val="20"/>
              </w:rPr>
              <w:t xml:space="preserve">AGP PDF, endo prep, widgets, HealthKit write-back, iCloud sync.</w:t>
            </w:r>
          </w:p>
        </w:tc>
        <w:tc>
          <w:tcPr>
            <w:tcW w:type="dxa" w:w="1300"/>
            <w:tcMar>
              <w:top w:type="dxa" w:w="60"/>
              <w:left w:type="dxa" w:w="100"/>
              <w:bottom w:type="dxa" w:w="60"/>
              <w:right w:type="dxa" w:w="100"/>
            </w:tcMar>
          </w:tcPr>
          <w:p>
            <w:pPr>
              <w:spacing w:after="0" w:line="250"/>
            </w:pPr>
            <w:r>
              <w:rPr>
                <w:b w:val="false"/>
                <w:bCs w:val="false"/>
                <w:sz w:val="20"/>
                <w:szCs w:val="20"/>
              </w:rPr>
              <w:t xml:space="preserve">Ongoing</w:t>
            </w:r>
          </w:p>
        </w:tc>
        <w:tc>
          <w:tcPr>
            <w:tcW w:type="dxa" w:w="3160"/>
            <w:tcMar>
              <w:top w:type="dxa" w:w="60"/>
              <w:left w:type="dxa" w:w="100"/>
              <w:bottom w:type="dxa" w:w="60"/>
              <w:right w:type="dxa" w:w="100"/>
            </w:tcMar>
          </w:tcPr>
          <w:p>
            <w:pPr>
              <w:spacing w:after="0" w:line="250"/>
            </w:pPr>
            <w:r>
              <w:rPr>
                <w:b w:val="false"/>
                <w:bCs w:val="false"/>
                <w:sz w:val="20"/>
                <w:szCs w:val="20"/>
              </w:rPr>
              <w:t xml:space="preserve">Each shipped as ready.</w:t>
            </w:r>
          </w:p>
        </w:tc>
      </w:tr>
    </w:tbl>
    <w:p>
      <w:pPr>
        <w:spacing w:after="100"/>
      </w:pPr>
    </w:p>
    <w:p>
      <w:pPr>
        <w:spacing w:after="120" w:line="276"/>
      </w:pPr>
      <w:r>
        <w:rPr>
          <w:b w:val="false"/>
          <w:bCs w:val="false"/>
        </w:rPr>
        <w:t xml:space="preserve">Roughly 6 to 11 weeks of evenings from here to a daily-usable v1. Dropping the Bluetooth path removed more work than the Share client added — the Share client took one evening, against v1.3's 1 to 2 week estimate for BLE integration.</w:t>
      </w:r>
    </w:p>
    <w:p>
      <w:pPr>
        <w:pStyle w:val="Heading1"/>
        <w:spacing w:after="160" w:before="360"/>
      </w:pPr>
      <w:r>
        <w:rPr>
          <w:b w:val="false"/>
          <w:bCs w:val="false"/>
        </w:rPr>
        <w:t xml:space="preserve">8. Resolved Decisions</w:t>
      </w:r>
    </w:p>
    <w:p>
      <w:pPr>
        <w:pBdr>
          <w:left w:val="single" w:color="BFD3E6" w:sz="12" w:space="8"/>
        </w:pBdr>
        <w:spacing w:after="160" w:line="260"/>
        <w:ind w:left="180"/>
      </w:pPr>
      <w:r>
        <w:rPr>
          <w:b w:val="false"/>
          <w:bCs w:val="false"/>
          <w:i/>
          <w:iCs/>
          <w:color w:val="595959"/>
          <w:sz w:val="20"/>
          <w:szCs w:val="20"/>
        </w:rPr>
        <w:t xml:space="preserve">New in v1.2. These were §8 “Open Questions” in v1.1; each is now decided, with the reasoning recorded so it is not relitigated.</w:t>
      </w:r>
    </w:p>
    <w:p>
      <w:pPr>
        <w:spacing w:after="100" w:before="180"/>
      </w:pPr>
      <w:r>
        <w:rPr>
          <w:b/>
          <w:bCs/>
          <w:color w:val="1F4D78"/>
        </w:rPr>
        <w:t xml:space="preserve">Carbs: grams only, or also “meal size” (S/M/L)?</w:t>
      </w:r>
    </w:p>
    <w:p>
      <w:pPr>
        <w:spacing w:after="120" w:line="276"/>
      </w:pPr>
      <w:r>
        <w:rPr>
          <w:b/>
          <w:bCs/>
        </w:rPr>
        <w:t xml:space="preserve">Grams only.</w:t>
      </w:r>
      <w:r>
        <w:rPr>
          <w:b w:val="false"/>
          <w:bCs w:val="false"/>
        </w:rPr>
        <w:t xml:space="preserve"> S/M/L is a second unit system that would have to be reconciled with ICR arithmetic (§4.4) to produce a forecast, and any mapping from it to grams is a guess the user cannot inspect. The speed benefit S/M/L was meant to provide is delivered instead by a quick-pick row of the user's own recent and frequent gram entries, which is faster than a size picker and keeps the math exact.</w:t>
      </w:r>
    </w:p>
    <w:p>
      <w:pPr>
        <w:spacing w:after="100" w:before="180"/>
      </w:pPr>
      <w:r>
        <w:rPr>
          <w:b/>
          <w:bCs/>
          <w:color w:val="1F4D78"/>
        </w:rPr>
        <w:t xml:space="preserve">Insulin types: pre-seeded or free-text?</w:t>
      </w:r>
    </w:p>
    <w:p>
      <w:pPr>
        <w:spacing w:after="120" w:line="276"/>
      </w:pPr>
      <w:r>
        <w:rPr>
          <w:b/>
          <w:bCs/>
        </w:rPr>
        <w:t xml:space="preserve">Both, but neither is the point.</w:t>
      </w:r>
      <w:r>
        <w:rPr>
          <w:b w:val="false"/>
          <w:bCs w:val="false"/>
        </w:rPr>
        <w:t xml:space="preserve"> A short pre-seeded list is offered and free-text entry is allowed. What actually matters is the pair of curve parameters (peak, duration) each type carries, because that is the only property the IOB calculation consumes. Every type — seeded or user-created — maps to an editable peak/duration pair with the §4.4 defaults pre-filled. A brand name with no curve attached is decoration.</w:t>
      </w:r>
    </w:p>
    <w:p>
      <w:pPr>
        <w:spacing w:after="100" w:before="180"/>
      </w:pPr>
      <w:r>
        <w:rPr>
          <w:b/>
          <w:bCs/>
          <w:color w:val="1F4D78"/>
        </w:rPr>
        <w:t xml:space="preserve">Confidence band: ±1 SD or ±2 SD?</w:t>
      </w:r>
    </w:p>
    <w:p>
      <w:pPr>
        <w:spacing w:after="120" w:line="276"/>
      </w:pPr>
      <w:r>
        <w:rPr>
          <w:b/>
          <w:bCs/>
        </w:rPr>
        <w:t xml:space="preserve">Neither.</w:t>
      </w:r>
      <w:r>
        <w:rPr>
          <w:b w:val="false"/>
          <w:bCs w:val="false"/>
        </w:rPr>
        <w:t xml:space="preserve"> Both options assume forecast residuals are stationary and normally distributed. They are strongly heteroscedastic — errors are several times larger when glucose is moving fast than when it is flat, which is exactly when the band is consulted. GlucoNoir uses </w:t>
      </w:r>
      <w:r>
        <w:rPr>
          <w:b/>
          <w:bCs/>
        </w:rPr>
        <w:t xml:space="preserve">empirical 10th/90th percentiles of the app's own realised errors</w:t>
      </w:r>
      <w:r>
        <w:rPr>
          <w:b w:val="false"/>
          <w:bCs w:val="false"/>
        </w:rPr>
        <w:t xml:space="preserve"> at each horizon, backtested on the user's own data and recomputed weekly. It is no harder to compute, it needs no distributional assumption, and it widens automatically in the conditions where it should.</w:t>
      </w:r>
    </w:p>
    <w:p>
      <w:pPr>
        <w:spacing w:after="100" w:before="180"/>
      </w:pPr>
      <w:r>
        <w:rPr>
          <w:b/>
          <w:bCs/>
          <w:color w:val="1F4D78"/>
        </w:rPr>
        <w:t xml:space="preserve">Bedside Mode trigger: ambient light, time, or both?</w:t>
      </w:r>
    </w:p>
    <w:p>
      <w:pPr>
        <w:spacing w:after="120" w:line="276"/>
      </w:pPr>
      <w:r>
        <w:rPr>
          <w:b/>
          <w:bCs/>
        </w:rPr>
        <w:t xml:space="preserve">Schedule primary, ambient light as a modifier.</w:t>
      </w:r>
      <w:r>
        <w:rPr>
          <w:b w:val="false"/>
          <w:bCs w:val="false"/>
        </w:rPr>
        <w:t xml:space="preserve"> Pure ambient-light triggering flips modes when walking past a window or into a dark room mid-afternoon, and mode flapping is worse than either mode. The schedule decides whether Bedside Mode is eligible; ambient light within that window modulates the dimming opacity.</w:t>
      </w:r>
    </w:p>
    <w:p>
      <w:pPr>
        <w:spacing w:after="100" w:before="180"/>
      </w:pPr>
      <w:r>
        <w:rPr>
          <w:b/>
          <w:bCs/>
          <w:color w:val="1F4D78"/>
        </w:rPr>
        <w:t xml:space="preserve">v3 closed-loop integration?</w:t>
      </w:r>
    </w:p>
    <w:p>
      <w:pPr>
        <w:spacing w:after="120" w:line="276"/>
      </w:pPr>
      <w:r>
        <w:rPr>
          <w:b/>
          <w:bCs/>
        </w:rPr>
        <w:t xml:space="preserve">No — stay strictly observational, permanently.</w:t>
      </w:r>
      <w:r>
        <w:rPr>
          <w:b w:val="false"/>
          <w:bCs w:val="false"/>
        </w:rPr>
        <w:t xml:space="preserve"> v1.1 recommended this and the recommendation is upgraded to a non-goal (§1.2). The subtler risk worth naming: a prediction curve displayed adjacent to a dose entry field functions as dose guidance regardless of labelling. The §3.2.3 requirement that predictions and dose entry never share a screen region exists for this reason.</w:t>
      </w:r>
    </w:p>
    <w:p>
      <w:pPr>
        <w:pStyle w:val="Heading1"/>
        <w:spacing w:after="160" w:before="360"/>
      </w:pPr>
      <w:r>
        <w:rPr>
          <w:b w:val="false"/>
          <w:bCs w:val="false"/>
        </w:rPr>
        <w:t xml:space="preserve">9. Open Questions</w:t>
      </w:r>
    </w:p>
    <w:p>
      <w:pPr>
        <w:spacing w:after="120" w:line="276"/>
      </w:pPr>
      <w:r>
        <w:rPr>
          <w:b w:val="false"/>
          <w:bCs w:val="false"/>
        </w:rPr>
        <w:t xml:space="preserve">v1.3's first two questions are closed. Direct BLE does not work (§3.1.1). HealthKit's lag is a documented three hours, and the mechanism is unused.</w:t>
      </w:r>
    </w:p>
    <w:p>
      <w:pPr>
        <w:pStyle w:val="ListParagraph"/>
        <w:numPr>
          <w:ilvl w:val="0"/>
          <w:numId w:val="3"/>
        </w:numPr>
        <w:spacing w:after="80" w:line="276"/>
      </w:pPr>
      <w:r>
        <w:rPr>
          <w:b/>
          <w:bCs/>
        </w:rPr>
        <w:t xml:space="preserve">How often does the Share dependency chain actually break in normal use?</w:t>
      </w:r>
      <w:r>
        <w:rPr>
          <w:b w:val="false"/>
          <w:bCs w:val="false"/>
        </w:rPr>
        <w:t xml:space="preserve"> Overnight wifi drops, cloud hiccups, the official app failing to upload. Instrument during Phase 7 and record the real figure — it determines whether the §10 resilience criterion is realistic.</w:t>
      </w:r>
    </w:p>
    <w:p>
      <w:pPr>
        <w:pStyle w:val="ListParagraph"/>
        <w:numPr>
          <w:ilvl w:val="0"/>
          <w:numId w:val="3"/>
        </w:numPr>
        <w:spacing w:after="80" w:line="276"/>
      </w:pPr>
      <w:r>
        <w:rPr>
          <w:b/>
          <w:bCs/>
        </w:rPr>
        <w:t xml:space="preserve">Is background polling worth keeping at all?</w:t>
      </w:r>
      <w:r>
        <w:rPr>
          <w:b w:val="false"/>
          <w:bCs w:val="false"/>
        </w:rPr>
        <w:t xml:space="preserve"> If </w:t>
      </w:r>
      <w:r>
        <w:rPr>
          <w:rFonts w:ascii="Consolas" w:cs="Consolas" w:eastAsia="Consolas" w:hAnsi="Consolas"/>
          <w:b w:val="false"/>
          <w:bCs w:val="false"/>
          <w:sz w:val="19"/>
          <w:szCs w:val="19"/>
        </w:rPr>
        <w:t xml:space="preserve">BGAppRefreshTask</w:t>
      </w:r>
      <w:r>
        <w:rPr>
          <w:b w:val="false"/>
          <w:bCs w:val="false"/>
        </w:rPr>
        <w:t xml:space="preserve"> almost never fires, the code is complexity with no benefit, and freshness-on-open is the honest model. Measure before deciding.</w:t>
      </w:r>
    </w:p>
    <w:p>
      <w:pPr>
        <w:pStyle w:val="ListParagraph"/>
        <w:numPr>
          <w:ilvl w:val="0"/>
          <w:numId w:val="3"/>
        </w:numPr>
        <w:spacing w:after="80" w:line="276"/>
      </w:pPr>
      <w:r>
        <w:rPr>
          <w:b/>
          <w:bCs/>
        </w:rPr>
        <w:t xml:space="preserve">Should sensor session tracking be attempted from gap inference?</w:t>
      </w:r>
      <w:r>
        <w:rPr>
          <w:b w:val="false"/>
          <w:bCs w:val="false"/>
        </w:rPr>
        <w:t xml:space="preserve"> v1.3 could read session state directly over BLE. Via Share it is guesswork, and a wrong “sensor expiring” prompt is worse than none.</w:t>
      </w:r>
    </w:p>
    <w:p>
      <w:pPr>
        <w:pStyle w:val="ListParagraph"/>
        <w:numPr>
          <w:ilvl w:val="0"/>
          <w:numId w:val="3"/>
        </w:numPr>
        <w:spacing w:after="80" w:line="276"/>
      </w:pPr>
      <w:r>
        <w:rPr>
          <w:b/>
          <w:bCs/>
        </w:rPr>
        <w:t xml:space="preserve">Does the weekly re-signing rhythm hold,</w:t>
      </w:r>
      <w:r>
        <w:rPr>
          <w:b w:val="false"/>
          <w:bCs w:val="false"/>
        </w:rPr>
        <w:t xml:space="preserve"> or does the app die often enough to justify the $99 before Phase 9?</w:t>
      </w:r>
    </w:p>
    <w:p>
      <w:pPr>
        <w:pStyle w:val="ListParagraph"/>
        <w:numPr>
          <w:ilvl w:val="0"/>
          <w:numId w:val="3"/>
        </w:numPr>
        <w:spacing w:after="80" w:line="276"/>
      </w:pPr>
      <w:r>
        <w:rPr>
          <w:b/>
          <w:bCs/>
        </w:rPr>
        <w:t xml:space="preserve">Default exercise sensitivity multiplier.</w:t>
      </w:r>
      <w:r>
        <w:rPr>
          <w:b w:val="false"/>
          <w:bCs w:val="false"/>
        </w:rPr>
        <w:t xml:space="preserve"> 1.5 is a placeholder; derive from the user's own logged events once Phase 8 has data.</w:t>
      </w:r>
    </w:p>
    <w:p>
      <w:pPr>
        <w:pStyle w:val="ListParagraph"/>
        <w:numPr>
          <w:ilvl w:val="0"/>
          <w:numId w:val="3"/>
        </w:numPr>
        <w:spacing w:after="80" w:line="276"/>
      </w:pPr>
      <w:r>
        <w:rPr>
          <w:b/>
          <w:bCs/>
        </w:rPr>
        <w:t xml:space="preserve">How many samples make a meal fingerprint trustworthy?</w:t>
      </w:r>
      <w:r>
        <w:rPr>
          <w:b w:val="false"/>
          <w:bCs w:val="false"/>
        </w:rPr>
        <w:t xml:space="preserve"> Provisional: individual curves from the first instance, median suppressed until four.</w:t>
      </w:r>
    </w:p>
    <w:p>
      <w:pPr>
        <w:pStyle w:val="Heading1"/>
        <w:spacing w:after="160" w:before="360"/>
      </w:pPr>
      <w:r>
        <w:rPr>
          <w:b w:val="false"/>
          <w:bCs w:val="false"/>
        </w:rPr>
        <w:t xml:space="preserve">10. Success Criteria</w:t>
      </w:r>
    </w:p>
    <w:p>
      <w:pPr>
        <w:spacing w:after="120" w:line="276"/>
      </w:pPr>
      <w:r>
        <w:rPr>
          <w:b w:val="false"/>
          <w:bCs w:val="false"/>
        </w:rPr>
        <w:t xml:space="preserve">This is a personal-use app, so success is measured against the user's own daily experience, not market metrics. v1.1's criteria are retained where they were measurable and tightened where they were not.</w:t>
      </w:r>
    </w:p>
    <w:p>
      <w:pPr>
        <w:pStyle w:val="ListParagraph"/>
        <w:numPr>
          <w:ilvl w:val="0"/>
          <w:numId w:val="2"/>
        </w:numPr>
        <w:spacing w:after="80" w:line="276"/>
      </w:pPr>
      <w:r>
        <w:rPr>
          <w:b/>
          <w:bCs/>
        </w:rPr>
        <w:t xml:space="preserve">Preference.</w:t>
      </w:r>
      <w:r>
        <w:rPr>
          <w:b w:val="false"/>
          <w:bCs w:val="false"/>
        </w:rPr>
        <w:t xml:space="preserve"> The user opens GlucoNoir before the official Dexcom app for routine checks within 30 days of v1. Measurable directly, since the app can count its own launches against a self-reported baseline.</w:t>
      </w:r>
    </w:p>
    <w:p>
      <w:pPr>
        <w:pStyle w:val="ListParagraph"/>
        <w:numPr>
          <w:ilvl w:val="0"/>
          <w:numId w:val="2"/>
        </w:numPr>
        <w:spacing w:after="80" w:line="276"/>
      </w:pPr>
      <w:r>
        <w:rPr>
          <w:b/>
          <w:bCs/>
        </w:rPr>
        <w:t xml:space="preserve">Glance displacement (new).</w:t>
      </w:r>
      <w:r>
        <w:rPr>
          <w:b w:val="false"/>
          <w:bCs w:val="false"/>
        </w:rPr>
        <w:t xml:space="preserve"> After v2, at least half of daily glucose checks are satisfied by the Live Activity, Lock Screen, or Watch complication without opening the app. This is the criterion that reflects §2.2's dominant use case.</w:t>
      </w:r>
    </w:p>
    <w:p>
      <w:pPr>
        <w:pStyle w:val="ListParagraph"/>
        <w:numPr>
          <w:ilvl w:val="0"/>
          <w:numId w:val="2"/>
        </w:numPr>
        <w:spacing w:after="80" w:line="276"/>
      </w:pPr>
      <w:r>
        <w:rPr>
          <w:b/>
          <w:bCs/>
        </w:rPr>
        <w:t xml:space="preserve">Eye strain.</w:t>
      </w:r>
      <w:r>
        <w:rPr>
          <w:b w:val="false"/>
          <w:bCs w:val="false"/>
        </w:rPr>
        <w:t xml:space="preserve"> Nighttime checks are subjectively less unpleasant. Deliberately subjective; a weekly one-tap self-rating in the app makes it trackable without pretending it is objective.</w:t>
      </w:r>
    </w:p>
    <w:p>
      <w:pPr>
        <w:pStyle w:val="ListParagraph"/>
        <w:numPr>
          <w:ilvl w:val="0"/>
          <w:numId w:val="2"/>
        </w:numPr>
        <w:spacing w:after="80" w:line="276"/>
      </w:pPr>
      <w:r>
        <w:rPr>
          <w:b/>
          <w:bCs/>
        </w:rPr>
        <w:t xml:space="preserve">Logging speed.</w:t>
      </w:r>
      <w:r>
        <w:rPr>
          <w:b w:val="false"/>
          <w:bCs w:val="false"/>
        </w:rPr>
        <w:t xml:space="preserve"> Median time from intent to logged event stays under 30 seconds, measured by the app instrumenting its own log flows. Under 10 seconds via App Intents.</w:t>
      </w:r>
    </w:p>
    <w:p>
      <w:pPr>
        <w:pStyle w:val="ListParagraph"/>
        <w:numPr>
          <w:ilvl w:val="0"/>
          <w:numId w:val="2"/>
        </w:numPr>
        <w:spacing w:after="80" w:line="276"/>
      </w:pPr>
      <w:r>
        <w:rPr>
          <w:b/>
          <w:bCs/>
        </w:rPr>
        <w:t xml:space="preserve">Forecast quality.</w:t>
      </w:r>
      <w:r>
        <w:rPr>
          <w:b w:val="false"/>
          <w:bCs w:val="false"/>
        </w:rPr>
        <w:t xml:space="preserve"> The §4.4 validation gate: beats the persistence baseline by at least 15% RMSE at 15 minutes, with zero points in Parkes zones C/D/E. This replaces v1.1's ±20 mg/dL threshold, which a naive baseline passes.</w:t>
      </w:r>
    </w:p>
    <w:p>
      <w:pPr>
        <w:pStyle w:val="ListParagraph"/>
        <w:numPr>
          <w:ilvl w:val="0"/>
          <w:numId w:val="2"/>
        </w:numPr>
        <w:spacing w:after="80" w:line="276"/>
      </w:pPr>
      <w:r>
        <w:rPr>
          <w:b/>
          <w:bCs/>
        </w:rPr>
        <w:t xml:space="preserve">Resilience (new).</w:t>
      </w:r>
      <w:r>
        <w:rPr>
          <w:b w:val="false"/>
          <w:bCs w:val="false"/>
        </w:rPr>
        <w:t xml:space="preserve"> Over any 30-day period after v1, no more than 1% of expected 5-minute samples are permanently missing from the local store, and no single gap exceeds 2 hours while the phone had network. This is the criterion for whether the dual-source architecture actually earned its complexity — v1.1 rewrote the architecture and then never measured whether it worked.</w:t>
      </w:r>
    </w:p>
    <w:p>
      <w:pPr>
        <w:pStyle w:val="ListParagraph"/>
        <w:numPr>
          <w:ilvl w:val="0"/>
          <w:numId w:val="2"/>
        </w:numPr>
        <w:spacing w:after="80" w:line="276"/>
      </w:pPr>
      <w:r>
        <w:rPr>
          <w:b/>
          <w:bCs/>
        </w:rPr>
        <w:t xml:space="preserve">Time in range.</w:t>
      </w:r>
      <w:r>
        <w:rPr>
          <w:b w:val="false"/>
          <w:bCs w:val="false"/>
        </w:rPr>
        <w:t xml:space="preserve"> TIR improves by at least 5 percentage points, sustained over a 30-day window, compared against the 90 days preceding v1 install. v1.1's “any measurable amount” is not a criterion — TIR routinely swings several points week to week on its own, so any threshold below the noise floor will be met by chance. Attribution to the app is explicitly not claimed; this measures whether things got better, not why.</w:t>
      </w:r>
    </w:p>
    <w:p>
      <w:pPr>
        <w:pStyle w:val="Heading1"/>
        <w:spacing w:after="160" w:before="360"/>
      </w:pPr>
      <w:r>
        <w:rPr>
          <w:b w:val="false"/>
          <w:bCs w:val="false"/>
        </w:rPr>
        <w:t xml:space="preserve">Appendix A: Glossary</w:t>
      </w:r>
    </w:p>
    <w:p>
      <w:pPr>
        <w:pStyle w:val="ListParagraph"/>
        <w:numPr>
          <w:ilvl w:val="0"/>
          <w:numId w:val="2"/>
        </w:numPr>
        <w:spacing w:after="80" w:line="276"/>
      </w:pPr>
      <w:r>
        <w:rPr>
          <w:b/>
          <w:bCs/>
        </w:rPr>
        <w:t xml:space="preserve">AGP</w:t>
      </w:r>
      <w:r>
        <w:rPr>
          <w:b w:val="false"/>
          <w:bCs w:val="false"/>
        </w:rPr>
        <w:t xml:space="preserve"> — Ambulatory Glucose Profile. A standardised CGM chart format showing percentile bands of glucose by time of day.</w:t>
      </w:r>
    </w:p>
    <w:p>
      <w:pPr>
        <w:pStyle w:val="ListParagraph"/>
        <w:numPr>
          <w:ilvl w:val="0"/>
          <w:numId w:val="2"/>
        </w:numPr>
        <w:spacing w:after="80" w:line="276"/>
      </w:pPr>
      <w:r>
        <w:rPr>
          <w:b/>
          <w:bCs/>
        </w:rPr>
        <w:t xml:space="preserve">BLE</w:t>
      </w:r>
      <w:r>
        <w:rPr>
          <w:b w:val="false"/>
          <w:bCs w:val="false"/>
        </w:rPr>
        <w:t xml:space="preserve"> — Bluetooth Low Energy. The radio protocol the G7 sensor broadcasts on, and GlucoNoir's primary data path.</w:t>
      </w:r>
    </w:p>
    <w:p>
      <w:pPr>
        <w:pStyle w:val="ListParagraph"/>
        <w:numPr>
          <w:ilvl w:val="0"/>
          <w:numId w:val="2"/>
        </w:numPr>
        <w:spacing w:after="80" w:line="276"/>
      </w:pPr>
      <w:r>
        <w:rPr>
          <w:b/>
          <w:bCs/>
        </w:rPr>
        <w:t xml:space="preserve">CGM</w:t>
      </w:r>
      <w:r>
        <w:rPr>
          <w:b w:val="false"/>
          <w:bCs w:val="false"/>
        </w:rPr>
        <w:t xml:space="preserve"> — Continuous Glucose Monitor (e.g. Dexcom G7).</w:t>
      </w:r>
    </w:p>
    <w:p>
      <w:pPr>
        <w:pStyle w:val="ListParagraph"/>
        <w:numPr>
          <w:ilvl w:val="0"/>
          <w:numId w:val="2"/>
        </w:numPr>
        <w:spacing w:after="80" w:line="276"/>
      </w:pPr>
      <w:r>
        <w:rPr>
          <w:b/>
          <w:bCs/>
        </w:rPr>
        <w:t xml:space="preserve">Direct to Watch</w:t>
      </w:r>
      <w:r>
        <w:rPr>
          <w:b w:val="false"/>
          <w:bCs w:val="false"/>
        </w:rPr>
        <w:t xml:space="preserve"> — Dexcom feature connecting the G7 sensor straight to an Apple Watch, consuming one of the sensor's three Bluetooth channels.</w:t>
      </w:r>
    </w:p>
    <w:p>
      <w:pPr>
        <w:pStyle w:val="ListParagraph"/>
        <w:numPr>
          <w:ilvl w:val="0"/>
          <w:numId w:val="2"/>
        </w:numPr>
        <w:spacing w:after="80" w:line="276"/>
      </w:pPr>
      <w:r>
        <w:rPr>
          <w:b/>
          <w:bCs/>
        </w:rPr>
        <w:t xml:space="preserve">Free personal team</w:t>
      </w:r>
      <w:r>
        <w:rPr>
          <w:b w:val="false"/>
          <w:bCs w:val="false"/>
        </w:rPr>
        <w:t xml:space="preserve"> — Apple's no-cost signing tier. Sufficient for all of GlucoNoir v1; provisioning expires every 7 days (§6.1).</w:t>
      </w:r>
    </w:p>
    <w:p>
      <w:pPr>
        <w:pStyle w:val="ListParagraph"/>
        <w:numPr>
          <w:ilvl w:val="0"/>
          <w:numId w:val="2"/>
        </w:numPr>
        <w:spacing w:after="80" w:line="276"/>
      </w:pPr>
      <w:r>
        <w:rPr>
          <w:b/>
          <w:bCs/>
        </w:rPr>
        <w:t xml:space="preserve">G7SensorKit</w:t>
      </w:r>
      <w:r>
        <w:rPr>
          <w:b w:val="false"/>
          <w:bCs w:val="false"/>
        </w:rPr>
        <w:t xml:space="preserve"> — LoopKit's MIT-licensed Swift package implementing the G7 BLE protocol. GlucoNoir's transport layer.</w:t>
      </w:r>
    </w:p>
    <w:p>
      <w:pPr>
        <w:pStyle w:val="ListParagraph"/>
        <w:numPr>
          <w:ilvl w:val="0"/>
          <w:numId w:val="2"/>
        </w:numPr>
        <w:spacing w:after="80" w:line="276"/>
      </w:pPr>
      <w:r>
        <w:rPr>
          <w:b/>
          <w:bCs/>
        </w:rPr>
        <w:t xml:space="preserve">COB</w:t>
      </w:r>
      <w:r>
        <w:rPr>
          <w:b w:val="false"/>
          <w:bCs w:val="false"/>
        </w:rPr>
        <w:t xml:space="preserve"> — Carbs On Board. Ingested carbohydrate not yet absorbed.</w:t>
      </w:r>
    </w:p>
    <w:p>
      <w:pPr>
        <w:pStyle w:val="ListParagraph"/>
        <w:numPr>
          <w:ilvl w:val="0"/>
          <w:numId w:val="2"/>
        </w:numPr>
        <w:spacing w:after="80" w:line="276"/>
      </w:pPr>
      <w:r>
        <w:rPr>
          <w:b/>
          <w:bCs/>
        </w:rPr>
        <w:t xml:space="preserve">Compression low</w:t>
      </w:r>
      <w:r>
        <w:rPr>
          <w:b w:val="false"/>
          <w:bCs w:val="false"/>
        </w:rPr>
        <w:t xml:space="preserve"> — a falsely low reading caused by physical pressure on the sensor, typically from lying on it. A sensor artifact, not a physiological event.</w:t>
      </w:r>
    </w:p>
    <w:p>
      <w:pPr>
        <w:pStyle w:val="ListParagraph"/>
        <w:numPr>
          <w:ilvl w:val="0"/>
          <w:numId w:val="2"/>
        </w:numPr>
        <w:spacing w:after="80" w:line="276"/>
      </w:pPr>
      <w:r>
        <w:rPr>
          <w:b/>
          <w:bCs/>
        </w:rPr>
        <w:t xml:space="preserve">CV</w:t>
      </w:r>
      <w:r>
        <w:rPr>
          <w:b w:val="false"/>
          <w:bCs w:val="false"/>
        </w:rPr>
        <w:t xml:space="preserve"> — Coefficient of Variation. SD divided by mean, expressed as a percentage. The standard glycaemic variability metric; target below 36%.</w:t>
      </w:r>
    </w:p>
    <w:p>
      <w:pPr>
        <w:pStyle w:val="ListParagraph"/>
        <w:numPr>
          <w:ilvl w:val="0"/>
          <w:numId w:val="2"/>
        </w:numPr>
        <w:spacing w:after="80" w:line="276"/>
      </w:pPr>
      <w:r>
        <w:rPr>
          <w:b/>
          <w:bCs/>
        </w:rPr>
        <w:t xml:space="preserve">DIA</w:t>
      </w:r>
      <w:r>
        <w:rPr>
          <w:b w:val="false"/>
          <w:bCs w:val="false"/>
        </w:rPr>
        <w:t xml:space="preserve"> — Duration of Insulin Action. How long a dose remains active; 5 to 6 hours for rapid analogues.</w:t>
      </w:r>
    </w:p>
    <w:p>
      <w:pPr>
        <w:pStyle w:val="ListParagraph"/>
        <w:numPr>
          <w:ilvl w:val="0"/>
          <w:numId w:val="2"/>
        </w:numPr>
        <w:spacing w:after="80" w:line="276"/>
      </w:pPr>
      <w:r>
        <w:rPr>
          <w:b/>
          <w:bCs/>
        </w:rPr>
        <w:t xml:space="preserve">GMI</w:t>
      </w:r>
      <w:r>
        <w:rPr>
          <w:b w:val="false"/>
          <w:bCs w:val="false"/>
        </w:rPr>
        <w:t xml:space="preserve"> — Glucose Management Indicator. An A1C estimate derived from mean CGM glucose. Requires at least 14 days at 70% capture to be meaningful.</w:t>
      </w:r>
    </w:p>
    <w:p>
      <w:pPr>
        <w:pStyle w:val="ListParagraph"/>
        <w:numPr>
          <w:ilvl w:val="0"/>
          <w:numId w:val="2"/>
        </w:numPr>
        <w:spacing w:after="80" w:line="276"/>
      </w:pPr>
      <w:r>
        <w:rPr>
          <w:b/>
          <w:bCs/>
        </w:rPr>
        <w:t xml:space="preserve">ICR</w:t>
      </w:r>
      <w:r>
        <w:rPr>
          <w:b w:val="false"/>
          <w:bCs w:val="false"/>
        </w:rPr>
        <w:t xml:space="preserve"> — Insulin-to-Carb Ratio. Grams of carbohydrate covered by one unit of insulin.</w:t>
      </w:r>
    </w:p>
    <w:p>
      <w:pPr>
        <w:pStyle w:val="ListParagraph"/>
        <w:numPr>
          <w:ilvl w:val="0"/>
          <w:numId w:val="2"/>
        </w:numPr>
        <w:spacing w:after="80" w:line="276"/>
      </w:pPr>
      <w:r>
        <w:rPr>
          <w:b/>
          <w:bCs/>
        </w:rPr>
        <w:t xml:space="preserve">IOB</w:t>
      </w:r>
      <w:r>
        <w:rPr>
          <w:b w:val="false"/>
          <w:bCs w:val="false"/>
        </w:rPr>
        <w:t xml:space="preserve"> — Insulin On Board. Active insulin still working in the body.</w:t>
      </w:r>
    </w:p>
    <w:p>
      <w:pPr>
        <w:pStyle w:val="ListParagraph"/>
        <w:numPr>
          <w:ilvl w:val="0"/>
          <w:numId w:val="2"/>
        </w:numPr>
        <w:spacing w:after="80" w:line="276"/>
      </w:pPr>
      <w:r>
        <w:rPr>
          <w:b/>
          <w:bCs/>
        </w:rPr>
        <w:t xml:space="preserve">ISF</w:t>
      </w:r>
      <w:r>
        <w:rPr>
          <w:b w:val="false"/>
          <w:bCs w:val="false"/>
        </w:rPr>
        <w:t xml:space="preserve"> — Insulin Sensitivity Factor. Expected mg/dL drop per unit of insulin. Also called correction factor.</w:t>
      </w:r>
    </w:p>
    <w:p>
      <w:pPr>
        <w:pStyle w:val="ListParagraph"/>
        <w:numPr>
          <w:ilvl w:val="0"/>
          <w:numId w:val="2"/>
        </w:numPr>
        <w:spacing w:after="80" w:line="276"/>
      </w:pPr>
      <w:r>
        <w:rPr>
          <w:b/>
          <w:bCs/>
        </w:rPr>
        <w:t xml:space="preserve">MDI</w:t>
      </w:r>
      <w:r>
        <w:rPr>
          <w:b w:val="false"/>
          <w:bCs w:val="false"/>
        </w:rPr>
        <w:t xml:space="preserve"> — Multiple Daily Injections. A non-pump insulin regimen.</w:t>
      </w:r>
    </w:p>
    <w:p>
      <w:pPr>
        <w:pStyle w:val="ListParagraph"/>
        <w:numPr>
          <w:ilvl w:val="0"/>
          <w:numId w:val="2"/>
        </w:numPr>
        <w:spacing w:after="80" w:line="276"/>
      </w:pPr>
      <w:r>
        <w:rPr>
          <w:b/>
          <w:bCs/>
        </w:rPr>
        <w:t xml:space="preserve">Parkes error grid</w:t>
      </w:r>
      <w:r>
        <w:rPr>
          <w:b w:val="false"/>
          <w:bCs w:val="false"/>
        </w:rPr>
        <w:t xml:space="preserve"> — a clinical-significance plot for glucose estimates, dividing predicted-versus-actual space into zones by the severity of the consequence of the error.</w:t>
      </w:r>
    </w:p>
    <w:p>
      <w:pPr>
        <w:pStyle w:val="ListParagraph"/>
        <w:numPr>
          <w:ilvl w:val="0"/>
          <w:numId w:val="2"/>
        </w:numPr>
        <w:spacing w:after="80" w:line="276"/>
      </w:pPr>
      <w:r>
        <w:rPr>
          <w:b/>
          <w:bCs/>
        </w:rPr>
        <w:t xml:space="preserve">Persistence baseline</w:t>
      </w:r>
      <w:r>
        <w:rPr>
          <w:b w:val="false"/>
          <w:bCs w:val="false"/>
        </w:rPr>
        <w:t xml:space="preserve"> — the trivial forecast “the next value equals the current value.” The benchmark any real forecaster must beat.</w:t>
      </w:r>
    </w:p>
    <w:p>
      <w:pPr>
        <w:pStyle w:val="ListParagraph"/>
        <w:numPr>
          <w:ilvl w:val="0"/>
          <w:numId w:val="2"/>
        </w:numPr>
        <w:spacing w:after="80" w:line="276"/>
      </w:pPr>
      <w:r>
        <w:rPr>
          <w:b/>
          <w:bCs/>
        </w:rPr>
        <w:t xml:space="preserve">T1D</w:t>
      </w:r>
      <w:r>
        <w:rPr>
          <w:b w:val="false"/>
          <w:bCs w:val="false"/>
        </w:rPr>
        <w:t xml:space="preserve"> — Type 1 Diabetes.</w:t>
      </w:r>
    </w:p>
    <w:p>
      <w:pPr>
        <w:pStyle w:val="ListParagraph"/>
        <w:numPr>
          <w:ilvl w:val="0"/>
          <w:numId w:val="2"/>
        </w:numPr>
        <w:spacing w:after="80" w:line="276"/>
      </w:pPr>
      <w:r>
        <w:rPr>
          <w:b/>
          <w:bCs/>
        </w:rPr>
        <w:t xml:space="preserve">Time in Range (TIR)</w:t>
      </w:r>
      <w:r>
        <w:rPr>
          <w:b w:val="false"/>
          <w:bCs w:val="false"/>
        </w:rPr>
        <w:t xml:space="preserve"> — percentage of CGM readings within the target range, conventionally 70 to 180 mg/dL.</w:t>
      </w:r>
    </w:p>
    <w:p>
      <w:r>
        <w:br w:type="page"/>
      </w:r>
    </w:p>
    <w:p>
      <w:pPr>
        <w:pStyle w:val="Heading1"/>
        <w:spacing w:after="160" w:before="360"/>
      </w:pPr>
      <w:r>
        <w:rPr>
          <w:b w:val="false"/>
          <w:bCs w:val="false"/>
        </w:rPr>
        <w:t xml:space="preserve">Appendix B: Review Findings Log</w:t>
      </w:r>
    </w:p>
    <w:p>
      <w:pPr>
        <w:spacing w:after="120" w:line="276"/>
      </w:pPr>
      <w:r>
        <w:rPr>
          <w:b w:val="false"/>
          <w:bCs w:val="false"/>
        </w:rPr>
        <w:t xml:space="preserve">Every change made across both review passes, with the finding that prompted it. Ordered by severity within each pass so the material changes can be reviewed first. “Blocking” means the app would not have worked as specified.</w:t>
      </w:r>
    </w:p>
    <w:p>
      <w:pPr>
        <w:pBdr>
          <w:left w:val="single" w:color="BFD3E6" w:sz="12" w:space="8"/>
        </w:pBdr>
        <w:spacing w:after="160" w:line="260"/>
        <w:ind w:left="180"/>
      </w:pPr>
      <w:r>
        <w:rPr>
          <w:b w:val="false"/>
          <w:bCs w:val="false"/>
          <w:i/>
          <w:iCs/>
          <w:color w:val="595959"/>
          <w:sz w:val="20"/>
          <w:szCs w:val="20"/>
        </w:rPr>
        <w:t xml:space="preserve">Section references in B.1 to B.6 use the numbering of v1.2, the revision in which those changes were made. Sections were renumbered in v1.3 when the source layer was restructured; B.7 uses current numbering. Where the two conflict, B.7 supersedes — several v1.2 fixes were to a HealthKit-primary design that v1.3 discarded outright.</w:t>
      </w:r>
    </w:p>
    <w:p>
      <w:pPr>
        <w:pStyle w:val="Heading2"/>
        <w:spacing w:after="140" w:before="280"/>
      </w:pPr>
      <w:r>
        <w:rPr>
          <w:b w:val="false"/>
          <w:bCs w:val="false"/>
        </w:rPr>
        <w:t xml:space="preserve">B.1 Blocking Technical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BGAppRefreshTask cannot deliver a 15-minute background poll; earliestBeginDate is a floor, not a schedule, and is least likely to fire overnight.</w:t>
            </w:r>
          </w:p>
        </w:tc>
        <w:tc>
          <w:tcPr>
            <w:tcW w:type="dxa" w:w="4100"/>
            <w:tcMar>
              <w:top w:type="dxa" w:w="60"/>
              <w:left w:type="dxa" w:w="100"/>
              <w:bottom w:type="dxa" w:w="60"/>
              <w:right w:type="dxa" w:w="100"/>
            </w:tcMar>
          </w:tcPr>
          <w:p>
            <w:pPr>
              <w:spacing w:after="0" w:line="250"/>
            </w:pPr>
            <w:r>
              <w:rPr>
                <w:b w:val="false"/>
                <w:bCs w:val="false"/>
                <w:sz w:val="20"/>
                <w:szCs w:val="20"/>
              </w:rPr>
              <w:t xml:space="preserve">Background architecture inverted: HealthKit background delivery is the wake mechanism; Share polled opportunistically inside each wake; BGAppRefreshTask demoted to a daily janitor.</w:t>
            </w:r>
          </w:p>
        </w:tc>
        <w:tc>
          <w:tcPr>
            <w:tcW w:type="dxa" w:w="1760"/>
            <w:tcMar>
              <w:top w:type="dxa" w:w="60"/>
              <w:left w:type="dxa" w:w="100"/>
              <w:bottom w:type="dxa" w:w="60"/>
              <w:right w:type="dxa" w:w="100"/>
            </w:tcMar>
          </w:tcPr>
          <w:p>
            <w:pPr>
              <w:spacing w:after="0" w:line="250"/>
            </w:pPr>
            <w:r>
              <w:rPr>
                <w:b w:val="false"/>
                <w:bCs w:val="false"/>
                <w:sz w:val="20"/>
                <w:szCs w:val="20"/>
              </w:rPr>
              <w:t xml:space="preserve">§3.1.1, §4.1, §4.2.1,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HealthKit background delivery entitlement was never mentioned; without it the observer does not fire when backgrounded.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Entitlement added to the stack table and the source spec; verified in Phase 0.</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 §4.2.2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kSecAttrAccessibleWhenUnlockedThisDeviceOnly makes credentials unreadable while the device is locked, breaking every background Share poll and all operation after reboot until first unlock.</w:t>
            </w:r>
          </w:p>
        </w:tc>
        <w:tc>
          <w:tcPr>
            <w:tcW w:type="dxa" w:w="4100"/>
            <w:tcMar>
              <w:top w:type="dxa" w:w="60"/>
              <w:left w:type="dxa" w:w="100"/>
              <w:bottom w:type="dxa" w:w="60"/>
              <w:right w:type="dxa" w:w="100"/>
            </w:tcMar>
          </w:tcPr>
          <w:p>
            <w:pPr>
              <w:spacing w:after="0" w:line="250"/>
            </w:pPr>
            <w:r>
              <w:rPr>
                <w:b w:val="false"/>
                <w:bCs w:val="false"/>
                <w:sz w:val="20"/>
                <w:szCs w:val="20"/>
              </w:rPr>
              <w:t xml:space="preserve">Changed to kSecAttrAccessibleAfterFirstUnlockThisDeviceOnly.</w:t>
            </w:r>
          </w:p>
        </w:tc>
        <w:tc>
          <w:tcPr>
            <w:tcW w:type="dxa" w:w="1760"/>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unique syncId attribute is incompatible with SwiftData's CloudKit backing, which v3 commits to.</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 unique attributes anywhere; dedup enforced in the coordinator with an indexed non-unique dedupKey and explicit upsert. CloudKit's optional-property and delete-rule constraints adopted from v1.</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§4.2.4,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App Group container; widgets, Live Activity, and Watch cannot read the default store, and retrofitting means migrating the whole history.</w:t>
            </w:r>
          </w:p>
        </w:tc>
        <w:tc>
          <w:tcPr>
            <w:tcW w:type="dxa" w:w="4100"/>
            <w:tcMar>
              <w:top w:type="dxa" w:w="60"/>
              <w:left w:type="dxa" w:w="100"/>
              <w:bottom w:type="dxa" w:w="60"/>
              <w:right w:type="dxa" w:w="100"/>
            </w:tcMar>
          </w:tcPr>
          <w:p>
            <w:pPr>
              <w:spacing w:after="0" w:line="250"/>
            </w:pPr>
            <w:r>
              <w:rPr>
                <w:b w:val="false"/>
                <w:bCs w:val="false"/>
                <w:sz w:val="20"/>
                <w:szCs w:val="20"/>
              </w:rPr>
              <w:t xml:space="preserve">App Group mandated from Phase 0, including the HealthKit anchor.</w:t>
            </w:r>
          </w:p>
        </w:tc>
        <w:tc>
          <w:tcPr>
            <w:tcW w:type="dxa" w:w="1760"/>
            <w:tcMar>
              <w:top w:type="dxa" w:w="60"/>
              <w:left w:type="dxa" w:w="100"/>
              <w:bottom w:type="dxa" w:w="60"/>
              <w:right w:type="dxa" w:w="100"/>
            </w:tcMar>
          </w:tcPr>
          <w:p>
            <w:pPr>
              <w:spacing w:after="0" w:line="250"/>
            </w:pPr>
            <w:r>
              <w:rPr>
                <w:b w:val="false"/>
                <w:bCs w:val="false"/>
                <w:sz w:val="20"/>
                <w:szCs w:val="20"/>
              </w:rPr>
              <w:t xml:space="preserve">§4.1, §4.2.2, §4.3, §4.6,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Blanket exponential backoff applied to a 401 retries bad credentials indefinitely and can lock the Dexcom account the official app depends 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Auth failures stop immediately and prompt; only transient failures back off.</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An app cannot set brightness for its own window; UIScreen.main.brightness is global and persistent, and a crash leaves the device stuck dim.</w:t>
            </w:r>
          </w:p>
        </w:tc>
        <w:tc>
          <w:tcPr>
            <w:tcW w:type="dxa" w:w="4100"/>
            <w:tcMar>
              <w:top w:type="dxa" w:w="60"/>
              <w:left w:type="dxa" w:w="100"/>
              <w:bottom w:type="dxa" w:w="60"/>
              <w:right w:type="dxa" w:w="100"/>
            </w:tcMar>
          </w:tcPr>
          <w:p>
            <w:pPr>
              <w:spacing w:after="0" w:line="250"/>
            </w:pPr>
            <w:r>
              <w:rPr>
                <w:b w:val="false"/>
                <w:bCs w:val="false"/>
                <w:sz w:val="20"/>
                <w:szCs w:val="20"/>
              </w:rPr>
              <w:t xml:space="preserve">Bedside dimming reimplemented as a black overlay with adjustable opacity; optional system dimming requires capture and guaranteed restore.</w:t>
            </w:r>
          </w:p>
        </w:tc>
        <w:tc>
          <w:tcPr>
            <w:tcW w:type="dxa" w:w="1760"/>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Share auth flow, applicationId, Microsoft date format, and integer/string trend polymorphism were unspecified — each an established breakage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Full protocol spec added, with an instruction to pin against a maintained reference implementation.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§4.2.3</w:t>
            </w:r>
          </w:p>
        </w:tc>
      </w:tr>
    </w:tbl>
    <w:p>
      <w:pPr>
        <w:pStyle w:val="Heading2"/>
        <w:spacing w:after="140" w:before="280"/>
      </w:pPr>
      <w:r>
        <w:rPr>
          <w:b w:val="false"/>
          <w:bCs w:val="false"/>
        </w:rPr>
        <w:t xml:space="preserve">B.2 Clinical &amp; Mathematical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Linear 4-hour IOB decay is wrong in shape (activity peaks, it does not decline linearly) and duration (5–6 hours, not 4). The error propagated into every prediction via the meal estimator.</w:t>
            </w:r>
          </w:p>
        </w:tc>
        <w:tc>
          <w:tcPr>
            <w:tcW w:type="dxa" w:w="4100"/>
            <w:tcMar>
              <w:top w:type="dxa" w:w="60"/>
              <w:left w:type="dxa" w:w="100"/>
              <w:bottom w:type="dxa" w:w="60"/>
              <w:right w:type="dxa" w:w="100"/>
            </w:tcMar>
          </w:tcPr>
          <w:p>
            <w:pPr>
              <w:spacing w:after="0" w:line="250"/>
            </w:pPr>
            <w:r>
              <w:rPr>
                <w:b w:val="false"/>
                <w:bCs w:val="false"/>
                <w:sz w:val="20"/>
                <w:szCs w:val="20"/>
              </w:rPr>
              <w:t xml:space="preserve">Bi-exponential LoopKit model with explicit formula; defaults peak 75 min / duration 360 min for rapid, 55/300 for ultra-rapid; all editable.</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Long-acting insulin was logged and fed into IOB undifferentiated, making the IOB figure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Basal explicitly excluded from IOB; logged and displayed separately.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§4.3,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MealResponseEstimator was mathematically impossible as specified — carbs-to-mg/dL needs ICR and insulin-to-mg/dL needs ISF, and neither existed in the settings or the data model.</w:t>
            </w:r>
          </w:p>
        </w:tc>
        <w:tc>
          <w:tcPr>
            <w:tcW w:type="dxa" w:w="4100"/>
            <w:tcMar>
              <w:top w:type="dxa" w:w="60"/>
              <w:left w:type="dxa" w:w="100"/>
              <w:bottom w:type="dxa" w:w="60"/>
              <w:right w:type="dxa" w:w="100"/>
            </w:tcMar>
          </w:tcPr>
          <w:p>
            <w:pPr>
              <w:spacing w:after="0" w:line="250"/>
            </w:pPr>
            <w:r>
              <w:rPr>
                <w:b w:val="false"/>
                <w:bCs w:val="false"/>
                <w:sz w:val="20"/>
                <w:szCs w:val="20"/>
              </w:rPr>
              <w:t xml:space="preserve">ISF and ICR added as required settings and model fields; explicit prediction formula; forecast disabled until both are entered.</w:t>
            </w:r>
          </w:p>
        </w:tc>
        <w:tc>
          <w:tcPr>
            <w:tcW w:type="dxa" w:w="1760"/>
            <w:tcMar>
              <w:top w:type="dxa" w:w="60"/>
              <w:left w:type="dxa" w:w="100"/>
              <w:bottom w:type="dxa" w:w="60"/>
              <w:right w:type="dxa" w:w="100"/>
            </w:tcMar>
          </w:tcPr>
          <w:p>
            <w:pPr>
              <w:spacing w:after="0" w:line="250"/>
            </w:pPr>
            <w:r>
              <w:rPr>
                <w:b w:val="false"/>
                <w:bCs w:val="false"/>
                <w:sz w:val="20"/>
                <w:szCs w:val="20"/>
              </w:rPr>
              <w:t xml:space="preserve">§3.1.6, §4.3,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GMI would have been computed for 3-hour windows, where it is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Gated to windows ≥14 days with ≥70% capture; hidden otherwise. Formula stated explicitly.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Three-band time-in-range does not match the consensus definition or any AGP report, despite AGP export being a stated goal.</w:t>
            </w:r>
          </w:p>
        </w:tc>
        <w:tc>
          <w:tcPr>
            <w:tcW w:type="dxa" w:w="4100"/>
            <w:tcMar>
              <w:top w:type="dxa" w:w="60"/>
              <w:left w:type="dxa" w:w="100"/>
              <w:bottom w:type="dxa" w:w="60"/>
              <w:right w:type="dxa" w:w="100"/>
            </w:tcMar>
          </w:tcPr>
          <w:p>
            <w:pPr>
              <w:spacing w:after="0" w:line="250"/>
            </w:pPr>
            <w:r>
              <w:rPr>
                <w:b w:val="false"/>
                <w:bCs w:val="false"/>
                <w:sz w:val="20"/>
                <w:szCs w:val="20"/>
              </w:rPr>
              <w:t xml:space="preserve">Five-band TIR with consensus thresholds and targets.</w:t>
            </w:r>
          </w:p>
        </w:tc>
        <w:tc>
          <w:tcPr>
            <w:tcW w:type="dxa" w:w="1760"/>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Coefficient of variation — the standard variability metric — was absent; raw SD was reported instead.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CV added and emphasised; SD retained but de-emphasised. Data-capture percentage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described “AGP overlay” is a spaghetti plot, not an AGP; v3 then promised an AGP-styled PDF.</w:t>
            </w:r>
          </w:p>
        </w:tc>
        <w:tc>
          <w:tcPr>
            <w:tcW w:type="dxa" w:w="4100"/>
            <w:tcMar>
              <w:top w:type="dxa" w:w="60"/>
              <w:left w:type="dxa" w:w="100"/>
              <w:bottom w:type="dxa" w:w="60"/>
              <w:right w:type="dxa" w:w="100"/>
            </w:tcMar>
          </w:tcPr>
          <w:p>
            <w:pPr>
              <w:spacing w:after="0" w:line="250"/>
            </w:pPr>
            <w:r>
              <w:rPr>
                <w:b w:val="false"/>
                <w:bCs w:val="false"/>
                <w:sz w:val="20"/>
                <w:szCs w:val="20"/>
              </w:rPr>
              <w:t xml:space="preserve">Percentile-band computation (5/25/50/75/95 in 30-minute bins) specified in v1, making the v3 export a rendering task.</w:t>
            </w:r>
          </w:p>
        </w:tc>
        <w:tc>
          <w:tcPr>
            <w:tcW w:type="dxa" w:w="1760"/>
            <w:tcMar>
              <w:top w:type="dxa" w:w="60"/>
              <w:left w:type="dxa" w:w="100"/>
              <w:bottom w:type="dxa" w:w="60"/>
              <w:right w:type="dxa" w:w="100"/>
            </w:tcMar>
          </w:tcPr>
          <w:p>
            <w:pPr>
              <w:spacing w:after="0" w:line="250"/>
            </w:pPr>
            <w:r>
              <w:rPr>
                <w:b w:val="false"/>
                <w:bCs w:val="false"/>
                <w:sz w:val="20"/>
                <w:szCs w:val="20"/>
              </w:rPr>
              <w:t xml:space="preserve">§3.1.5, §3.3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±20 mg/dL / 80% accuracy target is passed by a naive persistence baseline, so it demonstrates nothing.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Replaced with mandatory persistence-baseline comparison, zone-stratified error, and a Parkes error grid gate.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§4.4, §10</w:t>
            </w:r>
          </w:p>
        </w:tc>
      </w:tr>
      <w:tr>
        <w:tc>
          <w:tcPr>
            <w:tcW w:type="dxa" w:w="3500"/>
            <w:tcMar>
              <w:top w:type="dxa" w:w="60"/>
              <w:left w:type="dxa" w:w="100"/>
              <w:bottom w:type="dxa" w:w="60"/>
              <w:right w:type="dxa" w:w="100"/>
            </w:tcMar>
          </w:tcPr>
          <w:p>
            <w:pPr>
              <w:spacing w:after="0" w:line="250"/>
            </w:pPr>
            <w:r>
              <w:rPr>
                <w:b w:val="false"/>
                <w:bCs w:val="false"/>
                <w:sz w:val="20"/>
                <w:szCs w:val="20"/>
              </w:rPr>
              <w:t xml:space="preserve">Undamped linear extrapolation overshoots at post-meal peaks and post-correction nadirs — the moments a forecast is actually consulted.</w:t>
            </w:r>
          </w:p>
        </w:tc>
        <w:tc>
          <w:tcPr>
            <w:tcW w:type="dxa" w:w="4100"/>
            <w:tcMar>
              <w:top w:type="dxa" w:w="60"/>
              <w:left w:type="dxa" w:w="100"/>
              <w:bottom w:type="dxa" w:w="60"/>
              <w:right w:type="dxa" w:w="100"/>
            </w:tcMar>
          </w:tcPr>
          <w:p>
            <w:pPr>
              <w:spacing w:after="0" w:line="250"/>
            </w:pPr>
            <w:r>
              <w:rPr>
                <w:b w:val="false"/>
                <w:bCs w:val="false"/>
                <w:sz w:val="20"/>
                <w:szCs w:val="20"/>
              </w:rPr>
              <w:t xml:space="preserve">Exponentially damped projection with a ±4 mg/dL/min slope clamp.</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±1 SD confidence band assumes stationary normal residuals; glucose forecast residuals are strongly heteroscedastic.</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Empirical 10th/90th percentile band from backtested errors, recomputed weekly.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§3.2.3, §4.4, §8</w:t>
            </w:r>
          </w:p>
        </w:tc>
      </w:tr>
    </w:tbl>
    <w:p>
      <w:pPr>
        <w:pStyle w:val="Heading2"/>
        <w:spacing w:after="140" w:before="280"/>
      </w:pPr>
      <w:r>
        <w:rPr>
          <w:b w:val="false"/>
          <w:bCs w:val="false"/>
        </w:rPr>
        <w:t xml:space="preserve">B.3 Internal Contradictions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Dedup rule contradicted itself: §3.1.1 said the earlier timestamp wins, §4.2.3 said the record with the most metadata wins.</w:t>
            </w:r>
          </w:p>
        </w:tc>
        <w:tc>
          <w:tcPr>
            <w:tcW w:type="dxa" w:w="4100"/>
            <w:tcMar>
              <w:top w:type="dxa" w:w="60"/>
              <w:left w:type="dxa" w:w="100"/>
              <w:bottom w:type="dxa" w:w="60"/>
              <w:right w:type="dxa" w:w="100"/>
            </w:tcMar>
          </w:tcPr>
          <w:p>
            <w:pPr>
              <w:spacing w:after="0" w:line="250"/>
            </w:pPr>
            <w:r>
              <w:rPr>
                <w:b w:val="false"/>
                <w:bCs w:val="false"/>
                <w:sz w:val="20"/>
                <w:szCs w:val="20"/>
              </w:rPr>
              <w:t xml:space="preserve">Neither — the records are merged, taking HealthKit's timestamp and Share's trend. Window widened from 60s to ±2.5 min.</w:t>
            </w:r>
          </w:p>
        </w:tc>
        <w:tc>
          <w:tcPr>
            <w:tcW w:type="dxa" w:w="1760"/>
            <w:tcMar>
              <w:top w:type="dxa" w:w="60"/>
              <w:left w:type="dxa" w:w="100"/>
              <w:bottom w:type="dxa" w:w="60"/>
              <w:right w:type="dxa" w:w="100"/>
            </w:tcMar>
          </w:tcPr>
          <w:p>
            <w:pPr>
              <w:spacing w:after="0" w:line="250"/>
            </w:pPr>
            <w:r>
              <w:rPr>
                <w:b w:val="false"/>
                <w:bCs w:val="false"/>
                <w:sz w:val="20"/>
                <w:szCs w:val="20"/>
              </w:rPr>
              <w:t xml:space="preserve">§3.1.1,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Widget and Watch complication appeared in v2 (§3.2.1) and v3 (§3.3, §4.5) simultaneously.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Consolidated into v2 as §3.2.4 Glanceable Surfaces, with only the full Watch app and StandBy widgets left in v3.</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§3.3, §4.6, §7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§1.3 enforced a safety boundary on glucose alarms, but no alarm feature was specified anywhere in §3.</w:t>
            </w:r>
          </w:p>
        </w:tc>
        <w:tc>
          <w:tcPr>
            <w:tcW w:type="dxa" w:w="4100"/>
            <w:tcMar>
              <w:top w:type="dxa" w:w="60"/>
              <w:left w:type="dxa" w:w="100"/>
              <w:bottom w:type="dxa" w:w="60"/>
              <w:right w:type="dxa" w:w="100"/>
            </w:tcMar>
          </w:tcPr>
          <w:p>
            <w:pPr>
              <w:spacing w:after="0" w:line="250"/>
            </w:pPr>
            <w:r>
              <w:rPr>
                <w:b w:val="false"/>
                <w:bCs w:val="false"/>
                <w:sz w:val="20"/>
                <w:szCs w:val="20"/>
              </w:rPr>
              <w:t xml:space="preserve">Alarms excluded permanently, with the Critical Alerts entitlement as the concrete reason. Replaced by a pull-only predicted-low heads-up.</w:t>
            </w:r>
          </w:p>
        </w:tc>
        <w:tc>
          <w:tcPr>
            <w:tcW w:type="dxa" w:w="1760"/>
            <w:tcMar>
              <w:top w:type="dxa" w:w="60"/>
              <w:left w:type="dxa" w:w="100"/>
              <w:bottom w:type="dxa" w:w="60"/>
              <w:right w:type="dxa" w:w="100"/>
            </w:tcMar>
          </w:tcPr>
          <w:p>
            <w:pPr>
              <w:spacing w:after="0" w:line="250"/>
            </w:pPr>
            <w:r>
              <w:rPr>
                <w:b w:val="false"/>
                <w:bCs w:val="false"/>
                <w:sz w:val="20"/>
                <w:szCs w:val="20"/>
              </w:rPr>
              <w:t xml:space="preserve">§1.2, §1.3, §3.2.3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§2.1 defined the target user as someone maintaining a Share follower account; §4.2.4 defined a fully supported HealthKit-only mode.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 described as optional throughout.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§2.1, §4.2.5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§3.1.2 omitted the source badge that §3.1.1 mandates — a v1.1 revision leftover.</w:t>
            </w:r>
          </w:p>
        </w:tc>
        <w:tc>
          <w:tcPr>
            <w:tcW w:type="dxa" w:w="4100"/>
            <w:tcMar>
              <w:top w:type="dxa" w:w="60"/>
              <w:left w:type="dxa" w:w="100"/>
              <w:bottom w:type="dxa" w:w="60"/>
              <w:right w:type="dxa" w:w="100"/>
            </w:tcMar>
          </w:tcPr>
          <w:p>
            <w:pPr>
              <w:spacing w:after="0" w:line="250"/>
            </w:pPr>
            <w:r>
              <w:rPr>
                <w:b w:val="false"/>
                <w:bCs w:val="false"/>
                <w:sz w:val="20"/>
                <w:szCs w:val="20"/>
              </w:rPr>
              <w:t xml:space="preserve">Badge added to the screen spec.</w:t>
            </w:r>
          </w:p>
        </w:tc>
        <w:tc>
          <w:tcPr>
            <w:tcW w:type="dxa" w:w="1760"/>
            <w:tcMar>
              <w:top w:type="dxa" w:w="60"/>
              <w:left w:type="dxa" w:w="100"/>
              <w:bottom w:type="dxa" w:w="60"/>
              <w:right w:type="dxa" w:w="100"/>
            </w:tcMar>
          </w:tcPr>
          <w:p>
            <w:pPr>
              <w:spacing w:after="0" w:line="250"/>
            </w:pPr>
            <w:r>
              <w:rPr>
                <w:b w:val="false"/>
                <w:bCs w:val="false"/>
                <w:sz w:val="20"/>
                <w:szCs w:val="20"/>
              </w:rPr>
              <w:t xml:space="preserve">§3.1.2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§6 Privacy was never updated for the v1.1 dual-source change and said nothing about HealthKit.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HealthKit handling, export handling, and diagnostics redaction specified.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 had no success criterion for source failover — the capability the v1.1 architecture rewrite existed to deliver.</w:t>
            </w:r>
          </w:p>
        </w:tc>
        <w:tc>
          <w:tcPr>
            <w:tcW w:type="dxa" w:w="4100"/>
            <w:tcMar>
              <w:top w:type="dxa" w:w="60"/>
              <w:left w:type="dxa" w:w="100"/>
              <w:bottom w:type="dxa" w:w="60"/>
              <w:right w:type="dxa" w:w="100"/>
            </w:tcMar>
          </w:tcPr>
          <w:p>
            <w:pPr>
              <w:spacing w:after="0" w:line="250"/>
            </w:pPr>
            <w:r>
              <w:rPr>
                <w:b w:val="false"/>
                <w:bCs w:val="false"/>
                <w:sz w:val="20"/>
                <w:szCs w:val="20"/>
              </w:rPr>
              <w:t xml:space="preserve">Resilience criterion added: sample completeness and maximum gap duration.</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bl>
    <w:p>
      <w:pPr>
        <w:pStyle w:val="Heading2"/>
        <w:spacing w:after="140" w:before="280"/>
      </w:pPr>
      <w:r>
        <w:rPr>
          <w:b w:val="false"/>
          <w:bCs w:val="false"/>
        </w:rPr>
        <w:t xml:space="preserve">B.4 Specification Gaps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sensor lifecycle model; a routine 30-minute G7 warmup would have rendered as a staleness failure every 10 days.</w:t>
            </w:r>
          </w:p>
        </w:tc>
        <w:tc>
          <w:tcPr>
            <w:tcW w:type="dxa" w:w="4100"/>
            <w:tcMar>
              <w:top w:type="dxa" w:w="60"/>
              <w:left w:type="dxa" w:w="100"/>
              <w:bottom w:type="dxa" w:w="60"/>
              <w:right w:type="dxa" w:w="100"/>
            </w:tcMar>
          </w:tcPr>
          <w:p>
            <w:pPr>
              <w:spacing w:after="0" w:line="250"/>
            </w:pPr>
            <w:r>
              <w:rPr>
                <w:b w:val="false"/>
                <w:bCs w:val="false"/>
                <w:sz w:val="20"/>
                <w:szCs w:val="20"/>
              </w:rPr>
              <w:t xml:space="preserve">New §3.1.3 with six explicit states, plus a sensor session dashboard.</w:t>
            </w:r>
          </w:p>
        </w:tc>
        <w:tc>
          <w:tcPr>
            <w:tcW w:type="dxa" w:w="1760"/>
            <w:tcMar>
              <w:top w:type="dxa" w:w="60"/>
              <w:left w:type="dxa" w:w="100"/>
              <w:bottom w:type="dxa" w:w="60"/>
              <w:right w:type="dxa" w:w="100"/>
            </w:tcMar>
          </w:tcPr>
          <w:p>
            <w:pPr>
              <w:spacing w:after="0" w:line="250"/>
            </w:pPr>
            <w:r>
              <w:rPr>
                <w:b w:val="false"/>
                <w:bCs w:val="false"/>
                <w:sz w:val="20"/>
                <w:szCs w:val="20"/>
              </w:rPr>
              <w:t xml:space="preserve">§3.1.2, §3.1.3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handling for values at the G7's 40–400 mg/dL rails; a bounded sentinel would display as a measurement.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LOW/HIGH sentinel rendering and model flags.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§4.2.3,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Dexcom backfills and revises readings; insert-only persistence accumulates duplicates that corrupt every aggregate.</w:t>
            </w:r>
          </w:p>
        </w:tc>
        <w:tc>
          <w:tcPr>
            <w:tcW w:type="dxa" w:w="4100"/>
            <w:tcMar>
              <w:top w:type="dxa" w:w="60"/>
              <w:left w:type="dxa" w:w="100"/>
              <w:bottom w:type="dxa" w:w="60"/>
              <w:right w:type="dxa" w:w="100"/>
            </w:tcMar>
          </w:tcPr>
          <w:p>
            <w:pPr>
              <w:spacing w:after="0" w:line="250"/>
            </w:pPr>
            <w:r>
              <w:rPr>
                <w:b w:val="false"/>
                <w:bCs w:val="false"/>
                <w:sz w:val="20"/>
                <w:szCs w:val="20"/>
              </w:rPr>
              <w:t xml:space="preserve">Upsert-by-sample-time semantics; HealthKit deletions handled.</w:t>
            </w:r>
          </w:p>
        </w:tc>
        <w:tc>
          <w:tcPr>
            <w:tcW w:type="dxa" w:w="1760"/>
            <w:tcMar>
              <w:top w:type="dxa" w:w="60"/>
              <w:left w:type="dxa" w:w="100"/>
              <w:bottom w:type="dxa" w:w="60"/>
              <w:right w:type="dxa" w:w="100"/>
            </w:tcMar>
          </w:tcPr>
          <w:p>
            <w:pPr>
              <w:spacing w:after="0" w:line="250"/>
            </w:pPr>
            <w:r>
              <w:rPr>
                <w:b w:val="false"/>
                <w:bCs w:val="false"/>
                <w:sz w:val="20"/>
                <w:szCs w:val="20"/>
              </w:rPr>
              <w:t xml:space="preserve">§3.1.1, §4.2.2,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90-day window is ~26,000 points; handing that to Swift Charts stutters, and an unbounded @Query materialises the store into a view body.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§4.5: downsampling with min/max preservation, DailyAggregate, bounded predicates.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SwiftData was chosen for migrations, then no migration plan was given despite committed model changes at v2 and v3.</w:t>
            </w:r>
          </w:p>
        </w:tc>
        <w:tc>
          <w:tcPr>
            <w:tcW w:type="dxa" w:w="4100"/>
            <w:tcMar>
              <w:top w:type="dxa" w:w="60"/>
              <w:left w:type="dxa" w:w="100"/>
              <w:bottom w:type="dxa" w:w="60"/>
              <w:right w:type="dxa" w:w="100"/>
            </w:tcMar>
          </w:tcPr>
          <w:p>
            <w:pPr>
              <w:spacing w:after="0" w:line="250"/>
            </w:pPr>
            <w:r>
              <w:rPr>
                <w:b w:val="false"/>
                <w:bCs w:val="false"/>
                <w:sz w:val="20"/>
                <w:szCs w:val="20"/>
              </w:rPr>
              <w:t xml:space="preserve">VersionedSchema and SchemaMigrationPlan from v1, with per-version migration tests.</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retention policy, and the 90-day backfill window means older data exists only if the app was running.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Retention policy defined; nothing auto-deleted.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export or backup before v3 iCloud — a single point of failure for years of irreplaceable medical history.</w:t>
            </w:r>
          </w:p>
        </w:tc>
        <w:tc>
          <w:tcPr>
            <w:tcW w:type="dxa" w:w="4100"/>
            <w:tcMar>
              <w:top w:type="dxa" w:w="60"/>
              <w:left w:type="dxa" w:w="100"/>
              <w:bottom w:type="dxa" w:w="60"/>
              <w:right w:type="dxa" w:w="100"/>
            </w:tcMar>
          </w:tcPr>
          <w:p>
            <w:pPr>
              <w:spacing w:after="0" w:line="250"/>
            </w:pPr>
            <w:r>
              <w:rPr>
                <w:b w:val="false"/>
                <w:bCs w:val="false"/>
                <w:sz w:val="20"/>
                <w:szCs w:val="20"/>
              </w:rPr>
              <w:t xml:space="preserve">New §3.1.7 shipping in v1: CSV/JSON, database backup/restore, Nightscout format.</w:t>
            </w:r>
          </w:p>
        </w:tc>
        <w:tc>
          <w:tcPr>
            <w:tcW w:type="dxa" w:w="1760"/>
            <w:tcMar>
              <w:top w:type="dxa" w:w="60"/>
              <w:left w:type="dxa" w:w="100"/>
              <w:bottom w:type="dxa" w:w="60"/>
              <w:right w:type="dxa" w:w="100"/>
            </w:tcMar>
          </w:tcPr>
          <w:p>
            <w:pPr>
              <w:spacing w:after="0" w:line="250"/>
            </w:pPr>
            <w:r>
              <w:rPr>
                <w:b w:val="false"/>
                <w:bCs w:val="false"/>
                <w:sz w:val="20"/>
                <w:szCs w:val="20"/>
              </w:rPr>
              <w:t xml:space="preserve">§3.1.7,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Exercise was logged with type, duration, and intensity, then used only as a timeline glyph despite being a major driver of glucose response.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Exercise sensitivity multiplier feeds the forecast; HealthKit workouts auto-suggest entries.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§3.2.3,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Client-side trend thresholds were unspecified, so computed arrows would have disagreed with the official app.</w:t>
            </w:r>
          </w:p>
        </w:tc>
        <w:tc>
          <w:tcPr>
            <w:tcW w:type="dxa" w:w="4100"/>
            <w:tcMar>
              <w:top w:type="dxa" w:w="60"/>
              <w:left w:type="dxa" w:w="100"/>
              <w:bottom w:type="dxa" w:w="60"/>
              <w:right w:type="dxa" w:w="100"/>
            </w:tcMar>
          </w:tcPr>
          <w:p>
            <w:pPr>
              <w:spacing w:after="0" w:line="250"/>
            </w:pPr>
            <w:r>
              <w:rPr>
                <w:b w:val="false"/>
                <w:bCs w:val="false"/>
                <w:sz w:val="20"/>
                <w:szCs w:val="20"/>
              </w:rPr>
              <w:t xml:space="preserve">New §4.2.6 with Dexcom's published rate bands and the non-computable cases.</w:t>
            </w:r>
          </w:p>
        </w:tc>
        <w:tc>
          <w:tcPr>
            <w:tcW w:type="dxa" w:w="1760"/>
            <w:tcMar>
              <w:top w:type="dxa" w:w="60"/>
              <w:left w:type="dxa" w:w="100"/>
              <w:bottom w:type="dxa" w:w="60"/>
              <w:right w:type="dxa" w:w="100"/>
            </w:tcMar>
          </w:tcPr>
          <w:p>
            <w:pPr>
              <w:spacing w:after="0" w:line="250"/>
            </w:pPr>
            <w:r>
              <w:rPr>
                <w:b w:val="false"/>
                <w:bCs w:val="false"/>
                <w:sz w:val="20"/>
                <w:szCs w:val="20"/>
              </w:rPr>
              <w:t xml:space="preserve">§4.2.6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Trend was described as seven states; the Share API returns ten, including None, NotComputable, and RateOutOfRange.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Non-arrow states specified and given a neutral glyph.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VoiceOver and chart accessibility unaddressed; Swift Charts is opaque to screen readers by default.</w:t>
            </w:r>
          </w:p>
        </w:tc>
        <w:tc>
          <w:tcPr>
            <w:tcW w:type="dxa" w:w="4100"/>
            <w:tcMar>
              <w:top w:type="dxa" w:w="60"/>
              <w:left w:type="dxa" w:w="100"/>
              <w:bottom w:type="dxa" w:w="60"/>
              <w:right w:type="dxa" w:w="100"/>
            </w:tcMar>
          </w:tcPr>
          <w:p>
            <w:pPr>
              <w:spacing w:after="0" w:line="250"/>
            </w:pPr>
            <w:r>
              <w:rPr>
                <w:b w:val="false"/>
                <w:bCs w:val="false"/>
                <w:sz w:val="20"/>
                <w:szCs w:val="20"/>
              </w:rPr>
              <w:t xml:space="preserve">New §5.4, including AXChartDescriptor, composed hero labels, and Reduce Motion / Increase Contrast behaviour.</w:t>
            </w:r>
          </w:p>
        </w:tc>
        <w:tc>
          <w:tcPr>
            <w:tcW w:type="dxa" w:w="1760"/>
            <w:tcMar>
              <w:top w:type="dxa" w:w="60"/>
              <w:left w:type="dxa" w:w="100"/>
              <w:bottom w:type="dxa" w:w="60"/>
              <w:right w:type="dxa" w:w="100"/>
            </w:tcMar>
          </w:tcPr>
          <w:p>
            <w:pPr>
              <w:spacing w:after="0" w:line="250"/>
            </w:pPr>
            <w:r>
              <w:rPr>
                <w:b w:val="false"/>
                <w:bCs w:val="false"/>
                <w:sz w:val="20"/>
                <w:szCs w:val="20"/>
              </w:rPr>
              <w:t xml:space="preserve">§5.4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96pt hero number cannot survive accessibility Dynamic Type sizes.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Scaling cap with layout reflow, verified at AX5.</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claim that HealthKit glucose lags 15–30 minutes was a G6-era figure driving the entire architecture, and was never verified for G7.</w:t>
            </w:r>
          </w:p>
        </w:tc>
        <w:tc>
          <w:tcPr>
            <w:tcW w:type="dxa" w:w="4100"/>
            <w:tcMar>
              <w:top w:type="dxa" w:w="60"/>
              <w:left w:type="dxa" w:w="100"/>
              <w:bottom w:type="dxa" w:w="60"/>
              <w:right w:type="dxa" w:w="100"/>
            </w:tcMar>
          </w:tcPr>
          <w:p>
            <w:pPr>
              <w:spacing w:after="0" w:line="250"/>
            </w:pPr>
            <w:r>
              <w:rPr>
                <w:b w:val="false"/>
                <w:bCs w:val="false"/>
                <w:sz w:val="20"/>
                <w:szCs w:val="20"/>
              </w:rPr>
              <w:t xml:space="preserve">Made an explicit Phase 1 measurement with a defined method and a blocking exit criterion; downstream product decisions named.</w:t>
            </w:r>
          </w:p>
        </w:tc>
        <w:tc>
          <w:tcPr>
            <w:tcW w:type="dxa" w:w="1760"/>
            <w:tcMar>
              <w:top w:type="dxa" w:w="60"/>
              <w:left w:type="dxa" w:w="100"/>
              <w:bottom w:type="dxa" w:w="60"/>
              <w:right w:type="dxa" w:w="100"/>
            </w:tcMar>
          </w:tcPr>
          <w:p>
            <w:pPr>
              <w:spacing w:after="0" w:line="250"/>
            </w:pPr>
            <w:r>
              <w:rPr>
                <w:b w:val="false"/>
                <w:bCs w:val="false"/>
                <w:sz w:val="20"/>
                <w:szCs w:val="20"/>
              </w:rPr>
              <w:t xml:space="preserve">§1.3, §4.2.2, §7, §9</w:t>
            </w:r>
          </w:p>
        </w:tc>
      </w:tr>
    </w:tbl>
    <w:p>
      <w:pPr>
        <w:pStyle w:val="Heading2"/>
        <w:spacing w:after="140" w:before="280"/>
      </w:pPr>
      <w:r>
        <w:rPr>
          <w:b w:val="false"/>
          <w:bCs w:val="false"/>
        </w:rPr>
        <w:t xml:space="preserve">B.5 Corrections &amp; Refinements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range.low (#FF453A) and range.urgent (#FF2D55) are near-identical hues, and that is the most safety-critical distinction in the app.</w:t>
            </w:r>
          </w:p>
        </w:tc>
        <w:tc>
          <w:tcPr>
            <w:tcW w:type="dxa" w:w="4100"/>
            <w:tcMar>
              <w:top w:type="dxa" w:w="60"/>
              <w:left w:type="dxa" w:w="100"/>
              <w:bottom w:type="dxa" w:w="60"/>
              <w:right w:type="dxa" w:w="100"/>
            </w:tcMar>
          </w:tcPr>
          <w:p>
            <w:pPr>
              <w:spacing w:after="0" w:line="250"/>
            </w:pPr>
            <w:r>
              <w:rPr>
                <w:b w:val="false"/>
                <w:bCs w:val="false"/>
                <w:sz w:val="20"/>
                <w:szCs w:val="20"/>
              </w:rPr>
              <w:t xml:space="preserve">Urgent distinguished by treatment rather than hue: fill-plus-white-text versus coloured text, plus a distinct glyph.</w:t>
            </w:r>
          </w:p>
        </w:tc>
        <w:tc>
          <w:tcPr>
            <w:tcW w:type="dxa" w:w="1760"/>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Freshness text — the most safety-relevant string on screen — used the dimmest token in the system at 13pt.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text.freshness token; measured contrast reported.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“96pt Bold is a true OLED-friendly weight” is backwards; a heavier glyph lights more pixels and increases night glare.</w:t>
            </w:r>
          </w:p>
        </w:tc>
        <w:tc>
          <w:tcPr>
            <w:tcW w:type="dxa" w:w="4100"/>
            <w:tcMar>
              <w:top w:type="dxa" w:w="60"/>
              <w:left w:type="dxa" w:w="100"/>
              <w:bottom w:type="dxa" w:w="60"/>
              <w:right w:type="dxa" w:w="100"/>
            </w:tcMar>
          </w:tcPr>
          <w:p>
            <w:pPr>
              <w:spacing w:after="0" w:line="250"/>
            </w:pPr>
            <w:r>
              <w:rPr>
                <w:b w:val="false"/>
                <w:bCs w:val="false"/>
                <w:sz w:val="20"/>
                <w:szCs w:val="20"/>
              </w:rPr>
              <w:t xml:space="preserve">Rationale corrected; Bold retained for legibility; Bedside Mode drops to Medium.</w:t>
            </w:r>
          </w:p>
        </w:tc>
        <w:tc>
          <w:tcPr>
            <w:tcW w:type="dxa" w:w="1760"/>
            <w:tcMar>
              <w:top w:type="dxa" w:w="60"/>
              <w:left w:type="dxa" w:w="100"/>
              <w:bottom w:type="dxa" w:w="60"/>
              <w:right w:type="dxa" w:w="100"/>
            </w:tcMar>
          </w:tcPr>
          <w:p>
            <w:pPr>
              <w:spacing w:after="0" w:line="250"/>
            </w:pPr>
            <w:r>
              <w:rPr>
                <w:b w:val="false"/>
                <w:bCs w:val="false"/>
                <w:sz w:val="20"/>
                <w:szCs w:val="20"/>
              </w:rPr>
              <w:t xml:space="preserve">§5.2, §5.3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“Single tap anywhere exits Bedside Mode” conflicts with the tappable timeline and fires on accidental wake-taps.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Deliberate exit gesture: two-finger tap or long-press on the hero number.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Staleness amber at 10 minutes fires on a single missed reading — routine — and trains the user to ignore it.</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Thresholds moved to 12 and 30 minutes; arrow and forecast hidden in the critical state.</w:t>
            </w:r>
          </w:p>
        </w:tc>
        <w:tc>
          <w:tcPr>
            <w:tcW w:type="dxa" w:w="1760"/>
            <w:tcMar>
              <w:top w:type="dxa" w:w="60"/>
              <w:left w:type="dxa" w:w="100"/>
              <w:bottom w:type="dxa" w:w="60"/>
              <w:right w:type="dxa" w:w="100"/>
            </w:tcMar>
          </w:tcPr>
          <w:p>
            <w:pPr>
              <w:spacing w:after="0" w:line="250"/>
            </w:pPr>
            <w:r>
              <w:rPr>
                <w:b w:val="false"/>
                <w:bCs w:val="false"/>
                <w:sz w:val="20"/>
                <w:szCs w:val="20"/>
              </w:rPr>
              <w:t xml:space="preserve">§1.3, §3.1.2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third-party servers” is inaccurate while Share is a data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Reworded to “no servers beyond Dexcom's own.”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photoData stored inline in SwiftData bloats the store and slows unrelated queries.</w:t>
            </w:r>
          </w:p>
        </w:tc>
        <w:tc>
          <w:tcPr>
            <w:tcW w:type="dxa" w:w="4100"/>
            <w:tcMar>
              <w:top w:type="dxa" w:w="60"/>
              <w:left w:type="dxa" w:w="100"/>
              <w:bottom w:type="dxa" w:w="60"/>
              <w:right w:type="dxa" w:w="100"/>
            </w:tcMar>
          </w:tcPr>
          <w:p>
            <w:pPr>
              <w:spacing w:after="0" w:line="250"/>
            </w:pPr>
            <w:r>
              <w:rPr>
                <w:b w:val="false"/>
                <w:bCs w:val="false"/>
                <w:sz w:val="20"/>
                <w:szCs w:val="20"/>
              </w:rPr>
              <w:t xml:space="preserve">@Attribute(.externalStorage).</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iOS 17 minimum is conservative for a single-user app with no market, and inherits iOS 17 SwiftData's known problems.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Minimum raised to the current major release, with the rationale stated.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 6 strict concurrency and SwiftData interact badly; ModelContext is not Sendable.</w:t>
            </w:r>
          </w:p>
        </w:tc>
        <w:tc>
          <w:tcPr>
            <w:tcW w:type="dxa" w:w="4100"/>
            <w:tcMar>
              <w:top w:type="dxa" w:w="60"/>
              <w:left w:type="dxa" w:w="100"/>
              <w:bottom w:type="dxa" w:w="60"/>
              <w:right w:type="dxa" w:w="100"/>
            </w:tcMar>
          </w:tcPr>
          <w:p>
            <w:pPr>
              <w:spacing w:after="0" w:line="250"/>
            </w:pPr>
            <w:r>
              <w:rPr>
                <w:b w:val="false"/>
                <w:bCs w:val="false"/>
                <w:sz w:val="20"/>
                <w:szCs w:val="20"/>
              </w:rPr>
              <w:t xml:space="preserve">All writes routed through a @ModelActor; noted in the stack table.</w:t>
            </w:r>
          </w:p>
        </w:tc>
        <w:tc>
          <w:tcPr>
            <w:tcW w:type="dxa" w:w="1760"/>
            <w:tcMar>
              <w:top w:type="dxa" w:w="60"/>
              <w:left w:type="dxa" w:w="100"/>
              <w:bottom w:type="dxa" w:w="60"/>
              <w:right w:type="dxa" w:w="100"/>
            </w:tcMar>
          </w:tcPr>
          <w:p>
            <w:pPr>
              <w:spacing w:after="0" w:line="250"/>
            </w:pPr>
            <w:r>
              <w:rPr>
                <w:b w:val="false"/>
                <w:bCs w:val="false"/>
                <w:sz w:val="20"/>
                <w:szCs w:val="20"/>
              </w:rPr>
              <w:t xml:space="preserve">§4.1, §4.3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CI signing in a one-weekend Phase 0 is a disproportionate time sink for a personal app.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CI does build and test only; signing deferred until TestFlight is actually needed.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“TIR improves by any measurable amount” is not measurable — TIR swings several points week to week on its own.</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 set at 5 percentage points sustained over 30 days against a defined pre-install baseline; attribution explicitly not claimed.</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Japan Share endpoint was missing from the region toggle.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share.dexcom.jp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regulatory position was framed as intent-based; the actual boundary is distribution.</w:t>
            </w:r>
          </w:p>
        </w:tc>
        <w:tc>
          <w:tcPr>
            <w:tcW w:type="dxa" w:w="4100"/>
            <w:tcMar>
              <w:top w:type="dxa" w:w="60"/>
              <w:left w:type="dxa" w:w="100"/>
              <w:bottom w:type="dxa" w:w="60"/>
              <w:right w:type="dxa" w:w="100"/>
            </w:tcMar>
          </w:tcPr>
          <w:p>
            <w:pPr>
              <w:spacing w:after="0" w:line="250"/>
            </w:pPr>
            <w:r>
              <w:rPr>
                <w:b w:val="false"/>
                <w:bCs w:val="false"/>
                <w:sz w:val="20"/>
                <w:szCs w:val="20"/>
              </w:rPr>
              <w:t xml:space="preserve">New §1.4 stating the personal-use position, the line, the ToS issue, and why the official Dexcom API is unusable.</w:t>
            </w:r>
          </w:p>
        </w:tc>
        <w:tc>
          <w:tcPr>
            <w:tcW w:type="dxa" w:w="1760"/>
            <w:tcMar>
              <w:top w:type="dxa" w:w="60"/>
              <w:left w:type="dxa" w:w="100"/>
              <w:bottom w:type="dxa" w:w="60"/>
              <w:right w:type="dxa" w:w="100"/>
            </w:tcMar>
          </w:tcPr>
          <w:p>
            <w:pPr>
              <w:spacing w:after="0" w:line="250"/>
            </w:pPr>
            <w:r>
              <w:rPr>
                <w:b w:val="false"/>
                <w:bCs w:val="false"/>
                <w:sz w:val="20"/>
                <w:szCs w:val="20"/>
              </w:rPr>
              <w:t xml:space="preserve">§1.4</w:t>
            </w:r>
          </w:p>
        </w:tc>
      </w:tr>
    </w:tbl>
    <w:p>
      <w:pPr>
        <w:pStyle w:val="Heading2"/>
        <w:spacing w:after="140" w:before="280"/>
      </w:pPr>
      <w:r>
        <w:rPr>
          <w:b w:val="false"/>
          <w:bCs w:val="false"/>
        </w:rPr>
        <w:t xml:space="preserve">B.6 Features Added</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Feature</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Rationale</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Live Activity and Dynamic Island</w:t>
            </w:r>
          </w:p>
        </w:tc>
        <w:tc>
          <w:tcPr>
            <w:tcW w:type="dxa" w:w="4100"/>
            <w:tcMar>
              <w:top w:type="dxa" w:w="60"/>
              <w:left w:type="dxa" w:w="100"/>
              <w:bottom w:type="dxa" w:w="60"/>
              <w:right w:type="dxa" w:w="100"/>
            </w:tcMar>
          </w:tcPr>
          <w:p>
            <w:pPr>
              <w:spacing w:after="0" w:line="250"/>
            </w:pPr>
            <w:r>
              <w:rPr>
                <w:b w:val="false"/>
                <w:bCs w:val="false"/>
                <w:sz w:val="20"/>
                <w:szCs w:val="20"/>
              </w:rPr>
              <w:t xml:space="preserve">The primary use case is 20–50 daily glances. A persistent Lock Screen reading absorbs most of them without opening anything, and it is the single change that most affects daily experience.</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Apple Watch complication, reading HealthKit directly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Glances happen at the wrist. Direct HealthKit access avoids WatchConnectivity, which would make the most-used surface the least fresh.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App Intents for logging and querying</w:t>
            </w:r>
          </w:p>
        </w:tc>
        <w:tc>
          <w:tcPr>
            <w:tcW w:type="dxa" w:w="4100"/>
            <w:tcMar>
              <w:top w:type="dxa" w:w="60"/>
              <w:left w:type="dxa" w:w="100"/>
              <w:bottom w:type="dxa" w:w="60"/>
              <w:right w:type="dxa" w:w="100"/>
            </w:tcMar>
          </w:tcPr>
          <w:p>
            <w:pPr>
              <w:spacing w:after="0" w:line="250"/>
            </w:pPr>
            <w:r>
              <w:rPr>
                <w:b w:val="false"/>
                <w:bCs w:val="false"/>
                <w:sz w:val="20"/>
                <w:szCs w:val="20"/>
              </w:rPr>
              <w:t xml:space="preserve">The fastest logging path available, serving the sub-30-second target. One implementation yields Siri, Shortcuts, Spotlight, and interactive widgets.</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Sensor session dashboard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Nearly free once the lifecycle state machine exists, and answers a question that currently requires opening the Dexcom app.</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 (v1)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 fingerprinting</w:t>
            </w:r>
          </w:p>
        </w:tc>
        <w:tc>
          <w:tcPr>
            <w:tcW w:type="dxa" w:w="4100"/>
            <w:tcMar>
              <w:top w:type="dxa" w:w="60"/>
              <w:left w:type="dxa" w:w="100"/>
              <w:bottom w:type="dxa" w:w="60"/>
              <w:right w:type="dxa" w:w="100"/>
            </w:tcMar>
          </w:tcPr>
          <w:p>
            <w:pPr>
              <w:spacing w:after="0" w:line="250"/>
            </w:pPr>
            <w:r>
              <w:rPr>
                <w:b w:val="false"/>
                <w:bCs w:val="false"/>
                <w:sz w:val="20"/>
                <w:szCs w:val="20"/>
              </w:rPr>
              <w:t xml:space="preserve">The feature the official app structurally cannot offer, and the payoff that justifies the logging discipline v2 asks for. Promoted from a v3 line item.</w:t>
            </w:r>
          </w:p>
        </w:tc>
        <w:tc>
          <w:tcPr>
            <w:tcW w:type="dxa" w:w="1760"/>
            <w:tcMar>
              <w:top w:type="dxa" w:w="60"/>
              <w:left w:type="dxa" w:w="100"/>
              <w:bottom w:type="dxa" w:w="60"/>
              <w:right w:type="dxa" w:w="100"/>
            </w:tcMar>
          </w:tcPr>
          <w:p>
            <w:pPr>
              <w:spacing w:after="0" w:line="250"/>
            </w:pPr>
            <w:r>
              <w:rPr>
                <w:b w:val="false"/>
                <w:bCs w:val="false"/>
                <w:sz w:val="20"/>
                <w:szCs w:val="20"/>
              </w:rPr>
              <w:t xml:space="preserve">§3.2.5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Overnight report card with compression-low detection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High value for T1D at low cost; flagging artifacts prevents over-correcting patterns that were never real and keeps them out of the forecast error statistics.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§3.2.6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Extended HealthKit context reads (sleep, workouts, steps, carbs, insulin)</w:t>
            </w:r>
          </w:p>
        </w:tc>
        <w:tc>
          <w:tcPr>
            <w:tcW w:type="dxa" w:w="4100"/>
            <w:tcMar>
              <w:top w:type="dxa" w:w="60"/>
              <w:left w:type="dxa" w:w="100"/>
              <w:bottom w:type="dxa" w:w="60"/>
              <w:right w:type="dxa" w:w="100"/>
            </w:tcMar>
          </w:tcPr>
          <w:p>
            <w:pPr>
              <w:spacing w:after="0" w:line="250"/>
            </w:pPr>
            <w:r>
              <w:rPr>
                <w:b w:val="false"/>
                <w:bCs w:val="false"/>
                <w:sz w:val="20"/>
                <w:szCs w:val="20"/>
              </w:rPr>
              <w:t xml:space="preserve">The plumbing already exists. Each read reduces manual logging, which §10 identifies as the primary adoption risk.</w:t>
            </w:r>
          </w:p>
        </w:tc>
        <w:tc>
          <w:tcPr>
            <w:tcW w:type="dxa" w:w="1760"/>
            <w:tcMar>
              <w:top w:type="dxa" w:w="60"/>
              <w:left w:type="dxa" w:w="100"/>
              <w:bottom w:type="dxa" w:w="60"/>
              <w:right w:type="dxa" w:w="100"/>
            </w:tcMar>
          </w:tcPr>
          <w:p>
            <w:pPr>
              <w:spacing w:after="0" w:line="250"/>
            </w:pPr>
            <w:r>
              <w:rPr>
                <w:b w:val="false"/>
                <w:bCs w:val="false"/>
                <w:sz w:val="20"/>
                <w:szCs w:val="20"/>
              </w:rPr>
              <w:t xml:space="preserve">§3.1.1, §3.2.1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Bolus outcome review</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Reuses the prediction engine with no new math, closes the logging-to-learning loop, and stays retrospective — so it serves dosing accuracy without recommending a dose.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§3.2.7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Predicted-low heads-up, pull-only</w:t>
            </w:r>
          </w:p>
        </w:tc>
        <w:tc>
          <w:tcPr>
            <w:tcW w:type="dxa" w:w="4100"/>
            <w:tcMar>
              <w:top w:type="dxa" w:w="60"/>
              <w:left w:type="dxa" w:w="100"/>
              <w:bottom w:type="dxa" w:w="60"/>
              <w:right w:type="dxa" w:w="100"/>
            </w:tcMar>
          </w:tcPr>
          <w:p>
            <w:pPr>
              <w:spacing w:after="0" w:line="250"/>
            </w:pPr>
            <w:r>
              <w:rPr>
                <w:b w:val="false"/>
                <w:bCs w:val="false"/>
                <w:sz w:val="20"/>
                <w:szCs w:val="20"/>
              </w:rPr>
              <w:t xml:space="preserve">The most valuable forecast output, delivered without crossing the alarm boundary. The official app keeps the alarm; GlucoNoir keeps the foresight.</w:t>
            </w:r>
          </w:p>
        </w:tc>
        <w:tc>
          <w:tcPr>
            <w:tcW w:type="dxa" w:w="1760"/>
            <w:tcMar>
              <w:top w:type="dxa" w:w="60"/>
              <w:left w:type="dxa" w:w="100"/>
              <w:bottom w:type="dxa" w:w="60"/>
              <w:right w:type="dxa" w:w="100"/>
            </w:tcMar>
          </w:tcPr>
          <w:p>
            <w:pPr>
              <w:spacing w:after="0" w:line="250"/>
            </w:pPr>
            <w:r>
              <w:rPr>
                <w:b w:val="false"/>
                <w:bCs w:val="false"/>
                <w:sz w:val="20"/>
                <w:szCs w:val="20"/>
              </w:rPr>
              <w:t xml:space="preserve">§3.2.3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Auto-generated endo prep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More useful in a 15-minute appointment than a raw AGP page.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§3.3 (v3)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Replay and simulator mode</w:t>
            </w:r>
          </w:p>
        </w:tc>
        <w:tc>
          <w:tcPr>
            <w:tcW w:type="dxa" w:w="4100"/>
            <w:tcMar>
              <w:top w:type="dxa" w:w="60"/>
              <w:left w:type="dxa" w:w="100"/>
              <w:bottom w:type="dxa" w:w="60"/>
              <w:right w:type="dxa" w:w="100"/>
            </w:tcMar>
          </w:tcPr>
          <w:p>
            <w:pPr>
              <w:spacing w:after="0" w:line="250"/>
            </w:pPr>
            <w:r>
              <w:rPr>
                <w:b w:val="false"/>
                <w:bCs w:val="false"/>
                <w:sz w:val="20"/>
                <w:szCs w:val="20"/>
              </w:rPr>
              <w:t xml:space="preserve">Required to develop during sensor warmup and to make Phase 2's 24-hour failure-injection exit criterion an automated test rather than a vigil.</w:t>
            </w:r>
          </w:p>
        </w:tc>
        <w:tc>
          <w:tcPr>
            <w:tcW w:type="dxa" w:w="1760"/>
            <w:tcMar>
              <w:top w:type="dxa" w:w="60"/>
              <w:left w:type="dxa" w:w="100"/>
              <w:bottom w:type="dxa" w:w="60"/>
              <w:right w:type="dxa" w:w="100"/>
            </w:tcMar>
          </w:tcPr>
          <w:p>
            <w:pPr>
              <w:spacing w:after="0" w:line="250"/>
            </w:pPr>
            <w:r>
              <w:rPr>
                <w:b w:val="false"/>
                <w:bCs w:val="false"/>
                <w:sz w:val="20"/>
                <w:szCs w:val="20"/>
              </w:rPr>
              <w:t xml:space="preserve">§4.5,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Rescue-carb calculator — deliberately excluded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Two lines of code once ISF and ICR exist, and squarely across the §1.2 line. Recorded as a permanent non-goal so future work does not drift into it.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§1.2</w:t>
            </w:r>
          </w:p>
        </w:tc>
      </w:tr>
    </w:tbl>
    <w:p>
      <w:pPr>
        <w:pStyle w:val="Heading2"/>
        <w:spacing w:after="140" w:before="280"/>
      </w:pPr>
      <w:r>
        <w:rPr>
          <w:b w:val="false"/>
          <w:bCs w:val="false"/>
        </w:rPr>
        <w:t xml:space="preserve">B.7 v1.3 Findings — Data Source Architecture</w:t>
      </w:r>
    </w:p>
    <w:p>
      <w:pPr>
        <w:spacing w:after="120" w:line="276"/>
      </w:pPr>
      <w:r>
        <w:rPr>
          <w:b w:val="false"/>
          <w:bCs w:val="false"/>
        </w:rPr>
        <w:t xml:space="preserve">A second review pass, verified against primary sources rather than recalled. This pass overturned the central architectural decision of both prior revisions.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bCs/>
                <w:sz w:val="20"/>
                <w:szCs w:val="20"/>
              </w:rPr>
              <w:t xml:space="preserve">Apple HealthKit carries a documented three-hour delay</w:t>
            </w:r>
            <w:r>
              <w:rPr>
                <w:b w:val="false"/>
                <w:bCs w:val="false"/>
                <w:sz w:val="20"/>
                <w:szCs w:val="20"/>
              </w:rPr>
              <w:t xml:space="preserve"> for Dexcom G7 data, not the 15–30 minutes assumed in v1.1. v1.2 compounded this by promoting HealthKit to primary live source and background wake mechanism — it would have shown a three-hour-old value at 3am.</w:t>
            </w:r>
          </w:p>
        </w:tc>
        <w:tc>
          <w:tcPr>
            <w:tcW w:type="dxa" w:w="4100"/>
            <w:tcMar>
              <w:top w:type="dxa" w:w="60"/>
              <w:left w:type="dxa" w:w="100"/>
              <w:bottom w:type="dxa" w:w="60"/>
              <w:right w:type="dxa" w:w="100"/>
            </w:tcMar>
          </w:tcPr>
          <w:p>
            <w:pPr>
              <w:spacing w:after="0" w:line="250"/>
            </w:pPr>
            <w:r>
              <w:rPr>
                <w:b w:val="false"/>
                <w:bCs w:val="false"/>
                <w:sz w:val="20"/>
                <w:szCs w:val="20"/>
              </w:rPr>
              <w:t xml:space="preserve">HealthKit demoted to historical backfill only, where the delay is irrelevant. It is structurally barred from supplying the displayed current value.</w:t>
            </w:r>
          </w:p>
        </w:tc>
        <w:tc>
          <w:tcPr>
            <w:tcW w:type="dxa" w:w="1760"/>
            <w:tcMar>
              <w:top w:type="dxa" w:w="60"/>
              <w:left w:type="dxa" w:w="100"/>
              <w:bottom w:type="dxa" w:w="60"/>
              <w:right w:type="dxa" w:w="100"/>
            </w:tcMar>
          </w:tcPr>
          <w:p>
            <w:pPr>
              <w:spacing w:after="0" w:line="250"/>
            </w:pPr>
            <w:r>
              <w:rPr>
                <w:b w:val="false"/>
                <w:bCs w:val="false"/>
                <w:sz w:val="20"/>
                <w:szCs w:val="20"/>
              </w:rPr>
              <w:t xml:space="preserve">§1, §1.3, §3.1.1, §4.2.3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Direct BLE to the sensor was never considered</w:t>
            </w:r>
            <w:r>
              <w:rPr>
                <w:b w:val="false"/>
                <w:bCs w:val="false"/>
                <w:sz w:val="20"/>
                <w:szCs w:val="20"/>
              </w:rPr>
              <w:t xml:space="preserve"> in either revision, despite being the only source that is both real-time and independent of any network.</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Direct Bluetooth via G7SensorKit (LoopKit, MIT) is now the primary source. Latency drops from minutes to seconds and the app works with no internet at all.</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 §3.1.1, §4.1, §4.2.2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G7 exposes only </w:t>
            </w:r>
            <w:r>
              <w:rPr>
                <w:b/>
                <w:bCs/>
                <w:sz w:val="20"/>
                <w:szCs w:val="20"/>
              </w:rPr>
              <w:t xml:space="preserve">three Bluetooth channels</w:t>
            </w:r>
            <w:r>
              <w:rPr>
                <w:b w:val="false"/>
                <w:bCs w:val="false"/>
                <w:sz w:val="20"/>
                <w:szCs w:val="20"/>
              </w:rPr>
              <w:t xml:space="preserve"> (phone, watch, receiver/AID), and the phone channel is held by the official app.</w:t>
            </w:r>
          </w:p>
        </w:tc>
        <w:tc>
          <w:tcPr>
            <w:tcW w:type="dxa" w:w="4100"/>
            <w:tcMar>
              <w:top w:type="dxa" w:w="60"/>
              <w:left w:type="dxa" w:w="100"/>
              <w:bottom w:type="dxa" w:w="60"/>
              <w:right w:type="dxa" w:w="100"/>
            </w:tcMar>
          </w:tcPr>
          <w:p>
            <w:pPr>
              <w:spacing w:after="0" w:line="250"/>
            </w:pPr>
            <w:r>
              <w:rPr>
                <w:b w:val="false"/>
                <w:bCs w:val="false"/>
                <w:sz w:val="20"/>
                <w:szCs w:val="20"/>
              </w:rPr>
              <w:t xml:space="preserve">Explicit channel budget documented. GlucoNoir occupies the receiver/AID channel; this user runs Direct to Watch and owns no receiver, so all three are allocated with none spare.</w:t>
            </w:r>
          </w:p>
        </w:tc>
        <w:tc>
          <w:tcPr>
            <w:tcW w:type="dxa" w:w="1760"/>
            <w:tcMar>
              <w:top w:type="dxa" w:w="60"/>
              <w:left w:type="dxa" w:w="100"/>
              <w:bottom w:type="dxa" w:w="60"/>
              <w:right w:type="dxa" w:w="100"/>
            </w:tcMar>
          </w:tcPr>
          <w:p>
            <w:pPr>
              <w:spacing w:after="0" w:line="250"/>
            </w:pPr>
            <w:r>
              <w:rPr>
                <w:b w:val="false"/>
                <w:bCs w:val="false"/>
                <w:sz w:val="20"/>
                <w:szCs w:val="20"/>
              </w:rPr>
              <w:t xml:space="preserve">§3.1.1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Whether a third BLE client degrades the official app's connection </w:t>
            </w:r>
            <w:r>
              <w:rPr>
                <w:b/>
                <w:bCs/>
                <w:sz w:val="20"/>
                <w:szCs w:val="20"/>
              </w:rPr>
              <w:t xml:space="preserve">cannot be determined by reasoning</w:t>
            </w:r>
            <w:r>
              <w:rPr>
                <w:b w:val="false"/>
                <w:bCs w:val="false"/>
                <w:sz w:val="20"/>
                <w:szCs w:val="20"/>
              </w:rPr>
              <w:t xml:space="preserve"> — and that app is the safety-critical alarm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Phase 1 is now a minimal 48-hour BLE spike whose exit criterion includes no degradation of the official app. It blocks all downstream work.</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§7, §9</w:t>
            </w:r>
          </w:p>
        </w:tc>
      </w:tr>
      <w:tr>
        <w:tc>
          <w:tcPr>
            <w:tcW w:type="dxa" w:w="3500"/>
            <w:tcMar>
              <w:top w:type="dxa" w:w="60"/>
              <w:left w:type="dxa" w:w="100"/>
              <w:bottom w:type="dxa" w:w="60"/>
              <w:right w:type="dxa" w:w="100"/>
            </w:tcMar>
          </w:tcPr>
          <w:p>
            <w:pPr>
              <w:spacing w:after="0" w:line="250"/>
            </w:pPr>
            <w:r>
              <w:rPr>
                <w:b/>
                <w:bCs/>
                <w:sz w:val="20"/>
                <w:szCs w:val="20"/>
              </w:rPr>
              <w:t xml:space="preserve">Share authenticates with the account holder's own credentials</w:t>
            </w:r>
            <w:r>
              <w:rPr>
                <w:b w:val="false"/>
                <w:bCs w:val="false"/>
                <w:sz w:val="20"/>
                <w:szCs w:val="20"/>
              </w:rPr>
              <w:t xml:space="preserve">, not a follower's. Both prior revisions instructed the opposite.</w:t>
            </w:r>
          </w:p>
        </w:tc>
        <w:tc>
          <w:tcPr>
            <w:tcW w:type="dxa" w:w="4100"/>
            <w:tcMar>
              <w:top w:type="dxa" w:w="60"/>
              <w:left w:type="dxa" w:w="100"/>
              <w:bottom w:type="dxa" w:w="60"/>
              <w:right w:type="dxa" w:w="100"/>
            </w:tcMar>
          </w:tcPr>
          <w:p>
            <w:pPr>
              <w:spacing w:after="0" w:line="250"/>
            </w:pPr>
            <w:r>
              <w:rPr>
                <w:b w:val="false"/>
                <w:bCs w:val="false"/>
                <w:sz w:val="20"/>
                <w:szCs w:val="20"/>
              </w:rPr>
              <w:t xml:space="preserve">Corrected. A follower must merely exist for Share to be enabled; you never log in as one.</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v1.2's six invented sensor-lifecycle states were guesswork.</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Replaced with the sensor's own </w:t>
            </w:r>
            <w:r>
              <w:rPr>
                <w:rFonts w:ascii="Consolas" w:cs="Consolas" w:eastAsia="Consolas" w:hAnsi="Consolas"/>
                <w:b w:val="false"/>
                <w:bCs w:val="false"/>
                <w:sz w:val="19"/>
                <w:szCs w:val="19"/>
              </w:rPr>
              <w:t xml:space="preserve">algorithmState</w:t>
            </w:r>
            <w:r>
              <w:rPr>
                <w:b w:val="false"/>
                <w:bCs w:val="false"/>
                <w:sz w:val="20"/>
                <w:szCs w:val="20"/>
              </w:rPr>
              <w:t xml:space="preserve"> — 26 states including distinct failure modes — grouped into seven display states.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Share endpoints, applicationId constants, and the integer-to-string </w:t>
            </w:r>
            <w:r>
              <w:rPr>
                <w:rFonts w:ascii="Consolas" w:cs="Consolas" w:eastAsia="Consolas" w:hAnsi="Consolas"/>
                <w:b w:val="false"/>
                <w:bCs w:val="false"/>
                <w:sz w:val="19"/>
                <w:szCs w:val="19"/>
              </w:rPr>
              <w:t xml:space="preserve">Trend</w:t>
            </w:r>
            <w:r>
              <w:rPr>
                <w:b w:val="false"/>
                <w:bCs w:val="false"/>
                <w:sz w:val="20"/>
                <w:szCs w:val="20"/>
              </w:rPr>
              <w:t xml:space="preserve"> change were specified from memory.</w:t>
            </w:r>
          </w:p>
        </w:tc>
        <w:tc>
          <w:tcPr>
            <w:tcW w:type="dxa" w:w="4100"/>
            <w:tcMar>
              <w:top w:type="dxa" w:w="60"/>
              <w:left w:type="dxa" w:w="100"/>
              <w:bottom w:type="dxa" w:w="60"/>
              <w:right w:type="dxa" w:w="100"/>
            </w:tcMar>
          </w:tcPr>
          <w:p>
            <w:pPr>
              <w:spacing w:after="0" w:line="250"/>
            </w:pPr>
            <w:r>
              <w:rPr>
                <w:b w:val="false"/>
                <w:bCs w:val="false"/>
                <w:sz w:val="20"/>
                <w:szCs w:val="20"/>
              </w:rPr>
              <w:t xml:space="preserve">Verified against pydexcom source. Two-step auth flow, per-region applicationId values, and string trend decoding all confirmed and documented.</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background wake mechanism was wrong in both revisions — BGAppRefreshTask is a heuristic, HealthKit delivery is punctual but stale.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CoreBluetooth state preservation and restoration. The sensor's own 5-minute transmission drives the cadence.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Signing tier was never treated as a scope constraint.</w:t>
            </w:r>
          </w:p>
        </w:tc>
        <w:tc>
          <w:tcPr>
            <w:tcW w:type="dxa" w:w="4100"/>
            <w:tcMar>
              <w:top w:type="dxa" w:w="60"/>
              <w:left w:type="dxa" w:w="100"/>
              <w:bottom w:type="dxa" w:w="60"/>
              <w:right w:type="dxa" w:w="100"/>
            </w:tcMar>
          </w:tcPr>
          <w:p>
            <w:pPr>
              <w:spacing w:after="0" w:line="250"/>
            </w:pPr>
            <w:r>
              <w:rPr>
                <w:b w:val="false"/>
                <w:bCs w:val="false"/>
                <w:sz w:val="20"/>
                <w:szCs w:val="20"/>
              </w:rPr>
              <w:t xml:space="preserve">New §6.1. Free personal team covers Phases 0–8 including all of v1; only glanceable surfaces need the paid membership, deferred to Phase 9.</w:t>
            </w:r>
          </w:p>
        </w:tc>
        <w:tc>
          <w:tcPr>
            <w:tcW w:type="dxa" w:w="1760"/>
            <w:tcMar>
              <w:top w:type="dxa" w:w="60"/>
              <w:left w:type="dxa" w:w="100"/>
              <w:bottom w:type="dxa" w:w="60"/>
              <w:right w:type="dxa" w:w="100"/>
            </w:tcMar>
          </w:tcPr>
          <w:p>
            <w:pPr>
              <w:spacing w:after="0" w:line="250"/>
            </w:pPr>
            <w:r>
              <w:rPr>
                <w:b w:val="false"/>
                <w:bCs w:val="false"/>
                <w:sz w:val="20"/>
                <w:szCs w:val="20"/>
              </w:rPr>
              <w:t xml:space="preserve">§6.1,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Staleness thresholds (12/30 min) were sized for cloud latency that no longer exists.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Tightened to 7/20 minutes, since a BLE gap is a real gap rather than pipeline delay.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§1.3, §3.1.3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sensor broadcasts its own forward </w:t>
            </w:r>
            <w:r>
              <w:rPr>
                <w:rFonts w:ascii="Consolas" w:cs="Consolas" w:eastAsia="Consolas" w:hAnsi="Consolas"/>
                <w:b w:val="false"/>
                <w:bCs w:val="false"/>
                <w:sz w:val="19"/>
                <w:szCs w:val="19"/>
              </w:rPr>
              <w:t xml:space="preserve">predicted</w:t>
            </w:r>
            <w:r>
              <w:rPr>
                <w:b w:val="false"/>
                <w:bCs w:val="false"/>
                <w:sz w:val="20"/>
                <w:szCs w:val="20"/>
              </w:rPr>
              <w:t xml:space="preserve"> value — a free benchmark that went unnoticed.</w:t>
            </w:r>
          </w:p>
        </w:tc>
        <w:tc>
          <w:tcPr>
            <w:tcW w:type="dxa" w:w="4100"/>
            <w:tcMar>
              <w:top w:type="dxa" w:w="60"/>
              <w:left w:type="dxa" w:w="100"/>
              <w:bottom w:type="dxa" w:w="60"/>
              <w:right w:type="dxa" w:w="100"/>
            </w:tcMar>
          </w:tcPr>
          <w:p>
            <w:pPr>
              <w:spacing w:after="0" w:line="250"/>
            </w:pPr>
            <w:r>
              <w:rPr>
                <w:b w:val="false"/>
                <w:bCs w:val="false"/>
                <w:sz w:val="20"/>
                <w:szCs w:val="20"/>
              </w:rPr>
              <w:t xml:space="preserve">Captured and stored from v1, used in Phase 8 to test whether the homegrown forecaster earns its place.</w:t>
            </w:r>
          </w:p>
        </w:tc>
        <w:tc>
          <w:tcPr>
            <w:tcW w:type="dxa" w:w="1760"/>
            <w:tcMar>
              <w:top w:type="dxa" w:w="60"/>
              <w:left w:type="dxa" w:w="100"/>
              <w:bottom w:type="dxa" w:w="60"/>
              <w:right w:type="dxa" w:w="100"/>
            </w:tcMar>
          </w:tcPr>
          <w:p>
            <w:pPr>
              <w:spacing w:after="0" w:line="250"/>
            </w:pPr>
            <w:r>
              <w:rPr>
                <w:b w:val="false"/>
                <w:bCs w:val="false"/>
                <w:sz w:val="20"/>
                <w:szCs w:val="20"/>
              </w:rPr>
              <w:t xml:space="preserve">§4.2.2, §4.4, §9</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Confirmed unchanged:</w:t>
            </w:r>
            <w:r>
              <w:rPr>
                <w:b w:val="false"/>
                <w:bCs w:val="false"/>
                <w:sz w:val="20"/>
                <w:szCs w:val="20"/>
              </w:rPr>
              <w:t xml:space="preserve"> the trend rate thresholds (±1/±2/±3 mg/dL/min) and the 40–400 mg/dL sentinel bounds specified in v1.2.</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Both independently verified against G7SensorKit. No change required.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§4.2.7</w:t>
            </w:r>
          </w:p>
        </w:tc>
      </w:tr>
    </w:tbl>
    <w:p>
      <w:pPr>
        <w:pStyle w:val="Heading2"/>
        <w:spacing w:after="140" w:before="280"/>
      </w:pPr>
      <w:r>
        <w:rPr>
          <w:b w:val="false"/>
          <w:bCs w:val="false"/>
        </w:rPr>
        <w:t xml:space="preserve">B.8 v1.4 Findings — Phase 1 Build Results</w:t>
      </w:r>
    </w:p>
    <w:p>
      <w:pPr>
        <w:spacing w:after="120" w:line="276"/>
      </w:pPr>
      <w:r>
        <w:rPr>
          <w:b w:val="false"/>
          <w:bCs w:val="false"/>
        </w:rPr>
        <w:t xml:space="preserve">Findings from building and running the app on real hardware. Unlike B.1–B.7, which came from review, these were produced by the device answering questions no amount of reading could settle.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bCs/>
                <w:sz w:val="20"/>
                <w:szCs w:val="20"/>
              </w:rPr>
              <w:t xml:space="preserve">Direct BLE does not work.</w:t>
            </w:r>
            <w:r>
              <w:rPr>
                <w:b w:val="false"/>
                <w:bCs w:val="false"/>
                <w:sz w:val="20"/>
                <w:szCs w:val="20"/>
              </w:rPr>
              <w:t xml:space="preserve"> The client connected reliably, enumerated the CGM service, and subscribed to all four notifiable characteristics with every subscription confirmed by CoreBluetooth — then received zero bytes across repeated 10.2-second windows. Signal (−87 dBm), channel availability, subscription success, and characteristic routing were each excluded as causes.</w:t>
            </w:r>
          </w:p>
        </w:tc>
        <w:tc>
          <w:tcPr>
            <w:tcW w:type="dxa" w:w="4100"/>
            <w:tcMar>
              <w:top w:type="dxa" w:w="60"/>
              <w:left w:type="dxa" w:w="100"/>
              <w:bottom w:type="dxa" w:w="60"/>
              <w:right w:type="dxa" w:w="100"/>
            </w:tcMar>
          </w:tcPr>
          <w:p>
            <w:pPr>
              <w:spacing w:after="0" w:line="250"/>
            </w:pPr>
            <w:r>
              <w:rPr>
                <w:b w:val="false"/>
                <w:bCs w:val="false"/>
                <w:sz w:val="20"/>
                <w:szCs w:val="20"/>
              </w:rPr>
              <w:t xml:space="preserve">Share promoted to sole live source. BLE documented as tested-and-rejected, with the evidence and the conditions that would justify revisiting it.</w:t>
            </w:r>
          </w:p>
        </w:tc>
        <w:tc>
          <w:tcPr>
            <w:tcW w:type="dxa" w:w="1760"/>
            <w:tcMar>
              <w:top w:type="dxa" w:w="60"/>
              <w:left w:type="dxa" w:w="100"/>
              <w:bottom w:type="dxa" w:w="60"/>
              <w:right w:type="dxa" w:w="100"/>
            </w:tcMar>
          </w:tcPr>
          <w:p>
            <w:pPr>
              <w:spacing w:after="0" w:line="250"/>
            </w:pPr>
            <w:r>
              <w:rPr>
                <w:b w:val="false"/>
                <w:bCs w:val="false"/>
                <w:sz w:val="20"/>
                <w:szCs w:val="20"/>
              </w:rPr>
              <w:t xml:space="preserve">§1, §3.1.1, §4.1, §4.2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G7 permits one collecting application per sensor, and that must remain the official Dexcom app — it owns pairing and the FDA-cleared alarms.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Recorded as a hard constraint rather than a limitation to engineer around.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§1.3, §3.1.1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sensor exposed an undocumented characteristic (</w:t>
            </w:r>
            <w:r>
              <w:rPr>
                <w:rFonts w:ascii="Consolas" w:cs="Consolas" w:eastAsia="Consolas" w:hAnsi="Consolas"/>
                <w:b w:val="false"/>
                <w:bCs w:val="false"/>
                <w:sz w:val="19"/>
                <w:szCs w:val="19"/>
              </w:rPr>
              <w:t xml:space="preserve">F8083538</w:t>
            </w:r>
            <w:r>
              <w:rPr>
                <w:b w:val="false"/>
                <w:bCs w:val="false"/>
                <w:sz w:val="20"/>
                <w:szCs w:val="20"/>
              </w:rPr>
              <w:t xml:space="preserve">) and lacked one G7SensorKit expects (</w:t>
            </w:r>
            <w:r>
              <w:rPr>
                <w:rFonts w:ascii="Consolas" w:cs="Consolas" w:eastAsia="Consolas" w:hAnsi="Consolas"/>
                <w:b w:val="false"/>
                <w:bCs w:val="false"/>
                <w:sz w:val="19"/>
                <w:szCs w:val="19"/>
              </w:rPr>
              <w:t xml:space="preserve">F8083533</w:t>
            </w:r>
            <w:r>
              <w:rPr>
                <w:b w:val="false"/>
                <w:bCs w:val="false"/>
                <w:sz w:val="20"/>
                <w:szCs w:val="20"/>
              </w:rPr>
              <w:t xml:space="preserve">), suggesting firmware beyond what the community implementation targets.</w:t>
            </w:r>
          </w:p>
        </w:tc>
        <w:tc>
          <w:tcPr>
            <w:tcW w:type="dxa" w:w="4100"/>
            <w:tcMar>
              <w:top w:type="dxa" w:w="60"/>
              <w:left w:type="dxa" w:w="100"/>
              <w:bottom w:type="dxa" w:w="60"/>
              <w:right w:type="dxa" w:w="100"/>
            </w:tcMar>
          </w:tcPr>
          <w:p>
            <w:pPr>
              <w:spacing w:after="0" w:line="250"/>
            </w:pPr>
            <w:r>
              <w:rPr>
                <w:b w:val="false"/>
                <w:bCs w:val="false"/>
                <w:sz w:val="20"/>
                <w:szCs w:val="20"/>
              </w:rPr>
              <w:t xml:space="preserve">Noted as the specific evidence that would need to change before revisiting BLE.</w:t>
            </w:r>
          </w:p>
        </w:tc>
        <w:tc>
          <w:tcPr>
            <w:tcW w:type="dxa" w:w="1760"/>
            <w:tcMar>
              <w:top w:type="dxa" w:w="60"/>
              <w:left w:type="dxa" w:w="100"/>
              <w:bottom w:type="dxa" w:w="60"/>
              <w:right w:type="dxa" w:w="100"/>
            </w:tcMar>
          </w:tcPr>
          <w:p>
            <w:pPr>
              <w:spacing w:after="0" w:line="250"/>
            </w:pPr>
            <w:r>
              <w:rPr>
                <w:b w:val="false"/>
                <w:bCs w:val="false"/>
                <w:sz w:val="20"/>
                <w:szCs w:val="20"/>
              </w:rPr>
              <w:t xml:space="preserve">§3.1.1</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No reliable background wake mechanism now exists.</w:t>
            </w:r>
            <w:r>
              <w:rPr>
                <w:b w:val="false"/>
                <w:bCs w:val="false"/>
                <w:sz w:val="20"/>
                <w:szCs w:val="20"/>
              </w:rPr>
              <w:t xml:space="preserve"> All three candidate designs across v1.1–v1.3 are dead.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Stated plainly rather than engineered around: freshness is a foreground property. Reinforces why alarms stay with the official app.</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§4.2.1</w:t>
            </w:r>
          </w:p>
        </w:tc>
      </w:tr>
      <w:tr>
        <w:tc>
          <w:tcPr>
            <w:tcW w:type="dxa" w:w="3500"/>
            <w:tcMar>
              <w:top w:type="dxa" w:w="60"/>
              <w:left w:type="dxa" w:w="100"/>
              <w:bottom w:type="dxa" w:w="60"/>
              <w:right w:type="dxa" w:w="100"/>
            </w:tcMar>
          </w:tcPr>
          <w:p>
            <w:pPr>
              <w:spacing w:after="0" w:line="250"/>
            </w:pPr>
            <w:r>
              <w:rPr>
                <w:b/>
                <w:bCs/>
                <w:sz w:val="20"/>
                <w:szCs w:val="20"/>
              </w:rPr>
              <w:t xml:space="preserve">mmol/L conversion disagreed with the official app.</w:t>
            </w:r>
            <w:r>
              <w:rPr>
                <w:b w:val="false"/>
                <w:bCs w:val="false"/>
                <w:sz w:val="20"/>
                <w:szCs w:val="20"/>
              </w:rPr>
              <w:t xml:space="preserve"> 100 mg/dL displayed as 5.6 against Dexcom's 5.5, because the precise molar mass (18.01559) differs from Dexcom's divisor (18.0182) at boundary values.</w:t>
            </w:r>
          </w:p>
        </w:tc>
        <w:tc>
          <w:tcPr>
            <w:tcW w:type="dxa" w:w="4100"/>
            <w:tcMar>
              <w:top w:type="dxa" w:w="60"/>
              <w:left w:type="dxa" w:w="100"/>
              <w:bottom w:type="dxa" w:w="60"/>
              <w:right w:type="dxa" w:w="100"/>
            </w:tcMar>
          </w:tcPr>
          <w:p>
            <w:pPr>
              <w:spacing w:after="0" w:line="250"/>
            </w:pPr>
            <w:r>
              <w:rPr>
                <w:b w:val="false"/>
                <w:bCs w:val="false"/>
                <w:sz w:val="20"/>
                <w:szCs w:val="20"/>
              </w:rPr>
              <w:t xml:space="preserve">Matched Dexcom's constant. Seven boundary values pinned by test.</w:t>
            </w:r>
          </w:p>
        </w:tc>
        <w:tc>
          <w:tcPr>
            <w:tcW w:type="dxa" w:w="1760"/>
            <w:tcMar>
              <w:top w:type="dxa" w:w="60"/>
              <w:left w:type="dxa" w:w="100"/>
              <w:bottom w:type="dxa" w:w="60"/>
              <w:right w:type="dxa" w:w="100"/>
            </w:tcMar>
          </w:tcPr>
          <w:p>
            <w:pPr>
              <w:spacing w:after="0" w:line="250"/>
            </w:pPr>
            <w:r>
              <w:rPr>
                <w:b w:val="false"/>
                <w:bCs w:val="false"/>
                <w:sz w:val="20"/>
                <w:szCs w:val="20"/>
              </w:rPr>
              <w:t xml:space="preserve">§3.1.6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Units were hardcoded to mg/dL, unusable for an mmol/L user.</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GlucoseUnit type, region-derived default, toggle on the reading screen, canonical mg/dL storage with display-time conversion only.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§3.1.6</w:t>
            </w:r>
          </w:p>
        </w:tc>
      </w:tr>
      <w:tr>
        <w:tc>
          <w:tcPr>
            <w:tcW w:type="dxa" w:w="3500"/>
            <w:tcMar>
              <w:top w:type="dxa" w:w="60"/>
              <w:left w:type="dxa" w:w="100"/>
              <w:bottom w:type="dxa" w:w="60"/>
              <w:right w:type="dxa" w:w="100"/>
            </w:tcMar>
          </w:tcPr>
          <w:p>
            <w:pPr>
              <w:spacing w:after="0" w:line="250"/>
            </w:pPr>
            <w:r>
              <w:rPr>
                <w:b/>
                <w:bCs/>
                <w:sz w:val="20"/>
                <w:szCs w:val="20"/>
              </w:rPr>
              <w:t xml:space="preserve">An expired signing certificate presents as “Unable to Verify App”</w:t>
            </w:r>
            <w:r>
              <w:rPr>
                <w:b w:val="false"/>
                <w:bCs w:val="false"/>
                <w:sz w:val="20"/>
                <w:szCs w:val="20"/>
              </w:rPr>
              <w:t xml:space="preserve"> — indistinguishable from a network failure, and unfixable by trusting or reinstalling. </w:t>
            </w:r>
            <w:r>
              <w:rPr>
                <w:rFonts w:ascii="Consolas" w:cs="Consolas" w:eastAsia="Consolas" w:hAnsi="Consolas"/>
                <w:b w:val="false"/>
                <w:bCs w:val="false"/>
                <w:sz w:val="19"/>
                <w:szCs w:val="19"/>
              </w:rPr>
              <w:t xml:space="preserve">security find-identity</w:t>
            </w:r>
            <w:r>
              <w:rPr>
                <w:b w:val="false"/>
                <w:bCs w:val="false"/>
                <w:sz w:val="20"/>
                <w:szCs w:val="20"/>
              </w:rPr>
              <w:t xml:space="preserve"> reports expired certificates as valid and </w:t>
            </w:r>
            <w:r>
              <w:rPr>
                <w:rFonts w:ascii="Consolas" w:cs="Consolas" w:eastAsia="Consolas" w:hAnsi="Consolas"/>
                <w:b w:val="false"/>
                <w:bCs w:val="false"/>
                <w:sz w:val="19"/>
                <w:szCs w:val="19"/>
              </w:rPr>
              <w:t xml:space="preserve">codesign</w:t>
            </w:r>
            <w:r>
              <w:rPr>
                <w:b w:val="false"/>
                <w:bCs w:val="false"/>
                <w:sz w:val="20"/>
                <w:szCs w:val="20"/>
              </w:rPr>
              <w:t xml:space="preserve"> signs with them.</w:t>
            </w:r>
          </w:p>
        </w:tc>
        <w:tc>
          <w:tcPr>
            <w:tcW w:type="dxa" w:w="4100"/>
            <w:tcMar>
              <w:top w:type="dxa" w:w="60"/>
              <w:left w:type="dxa" w:w="100"/>
              <w:bottom w:type="dxa" w:w="60"/>
              <w:right w:type="dxa" w:w="100"/>
            </w:tcMar>
          </w:tcPr>
          <w:p>
            <w:pPr>
              <w:spacing w:after="0" w:line="250"/>
            </w:pPr>
            <w:r>
              <w:rPr>
                <w:b w:val="false"/>
                <w:bCs w:val="false"/>
                <w:sz w:val="20"/>
                <w:szCs w:val="20"/>
              </w:rPr>
              <w:t xml:space="preserve">Diagnostic recorded in §6.1: check </w:t>
            </w:r>
            <w:r>
              <w:rPr>
                <w:rFonts w:ascii="Consolas" w:cs="Consolas" w:eastAsia="Consolas" w:hAnsi="Consolas"/>
                <w:b w:val="false"/>
                <w:bCs w:val="false"/>
                <w:sz w:val="19"/>
                <w:szCs w:val="19"/>
              </w:rPr>
              <w:t xml:space="preserve">notAfter</w:t>
            </w:r>
            <w:r>
              <w:rPr>
                <w:b w:val="false"/>
                <w:bCs w:val="false"/>
                <w:sz w:val="20"/>
                <w:szCs w:val="20"/>
              </w:rPr>
              <w:t xml:space="preserve"> directly. Also: a replacement certificate sharing a Common Name collides with the device's stale trust record.</w:t>
            </w:r>
          </w:p>
        </w:tc>
        <w:tc>
          <w:tcPr>
            <w:tcW w:type="dxa" w:w="1760"/>
            <w:tcMar>
              <w:top w:type="dxa" w:w="60"/>
              <w:left w:type="dxa" w:w="100"/>
              <w:bottom w:type="dxa" w:w="60"/>
              <w:right w:type="dxa" w:w="100"/>
            </w:tcMar>
          </w:tcPr>
          <w:p>
            <w:pPr>
              <w:spacing w:after="0" w:line="250"/>
            </w:pPr>
            <w:r>
              <w:rPr>
                <w:b w:val="false"/>
                <w:bCs w:val="false"/>
                <w:sz w:val="20"/>
                <w:szCs w:val="20"/>
              </w:rPr>
              <w:t xml:space="preserve">§6.1</w:t>
            </w:r>
          </w:p>
        </w:tc>
      </w:tr>
      <w:tr>
        <w:tc>
          <w:tcPr>
            <w:tcW w:type="dxa" w:w="3500"/>
            <w:shd w:fill="F5F8FC" w:color="auto" w:val="clear"/>
            <w:tcMar>
              <w:top w:type="dxa" w:w="60"/>
              <w:left w:type="dxa" w:w="100"/>
              <w:bottom w:type="dxa" w:w="60"/>
              <w:right w:type="dxa" w:w="100"/>
            </w:tcMar>
          </w:tcPr>
          <w:p>
            <w:pPr>
              <w:spacing w:after="0" w:line="250"/>
            </w:pPr>
            <w:r>
              <w:rPr>
                <w:rFonts w:ascii="Consolas" w:cs="Consolas" w:eastAsia="Consolas" w:hAnsi="Consolas"/>
                <w:b w:val="false"/>
                <w:bCs w:val="false"/>
                <w:sz w:val="19"/>
                <w:szCs w:val="19"/>
              </w:rPr>
              <w:t xml:space="preserve">INFOPLIST_KEY_UIBackgroundModes</w:t>
            </w:r>
            <w:r>
              <w:rPr>
                <w:b w:val="false"/>
                <w:bCs w:val="false"/>
                <w:sz w:val="20"/>
                <w:szCs w:val="20"/>
              </w:rPr>
              <w:t xml:space="preserve"> silently does nothing — array-valued Info.plist keys cannot be set that way, so background modes were absent from the built app.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A real partial Info.plist, verified by inspecting the built bundle rather than trusting the build setting.</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Xcode 26 defaults new projects to MainActor isolation, which pure value types must opt out of to be usable from framework callbacks.</w:t>
            </w:r>
          </w:p>
        </w:tc>
        <w:tc>
          <w:tcPr>
            <w:tcW w:type="dxa" w:w="4100"/>
            <w:tcMar>
              <w:top w:type="dxa" w:w="60"/>
              <w:left w:type="dxa" w:w="100"/>
              <w:bottom w:type="dxa" w:w="60"/>
              <w:right w:type="dxa" w:w="100"/>
            </w:tcMar>
          </w:tcPr>
          <w:p>
            <w:pPr>
              <w:spacing w:after="0" w:line="250"/>
            </w:pPr>
            <w:r>
              <w:rPr>
                <w:b w:val="false"/>
                <w:bCs w:val="false"/>
                <w:sz w:val="20"/>
                <w:szCs w:val="20"/>
              </w:rPr>
              <w:t xml:space="preserve">Protocol and model types marked </w:t>
            </w:r>
            <w:r>
              <w:rPr>
                <w:rFonts w:ascii="Consolas" w:cs="Consolas" w:eastAsia="Consolas" w:hAnsi="Consolas"/>
                <w:b w:val="false"/>
                <w:bCs w:val="false"/>
                <w:sz w:val="19"/>
                <w:szCs w:val="19"/>
              </w:rPr>
              <w:t xml:space="preserve">nonisolated</w:t>
            </w:r>
            <w:r>
              <w:rPr>
                <w:b w:val="false"/>
                <w:bCs w:val="false"/>
                <w:sz w:val="20"/>
                <w:szCs w:val="20"/>
              </w:rPr>
              <w:t xml:space="preserve">.</w:t>
            </w:r>
          </w:p>
        </w:tc>
        <w:tc>
          <w:tcPr>
            <w:tcW w:type="dxa" w:w="1760"/>
            <w:tcMar>
              <w:top w:type="dxa" w:w="60"/>
              <w:left w:type="dxa" w:w="100"/>
              <w:bottom w:type="dxa" w:w="60"/>
              <w:right w:type="dxa" w:w="100"/>
            </w:tcMar>
          </w:tcPr>
          <w:p>
            <w:pPr>
              <w:spacing w:after="0" w:line="250"/>
            </w:pPr>
            <w:r>
              <w:rPr>
                <w:b w:val="false"/>
                <w:bCs w:val="false"/>
                <w:sz w:val="20"/>
                <w:szCs w:val="20"/>
              </w:rPr>
              <w:t xml:space="preserve">§4.1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staleness model depended on </w:t>
            </w:r>
            <w:r>
              <w:rPr>
                <w:rFonts w:ascii="Consolas" w:cs="Consolas" w:eastAsia="Consolas" w:hAnsi="Consolas"/>
                <w:b w:val="false"/>
                <w:bCs w:val="false"/>
                <w:sz w:val="19"/>
                <w:szCs w:val="19"/>
              </w:rPr>
              <w:t xml:space="preserve">algorithmState</w:t>
            </w:r>
            <w:r>
              <w:rPr>
                <w:b w:val="false"/>
                <w:bCs w:val="false"/>
                <w:sz w:val="20"/>
                <w:szCs w:val="20"/>
              </w:rPr>
              <w:t xml:space="preserve">, which Share does not provide.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§3.1.3 rewritten around data timing, with the loss of fidelity stated explicitly rather than papered over.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w:t>
            </w:r>
          </w:p>
        </w:tc>
      </w:tr>
      <w:tr>
        <w:tc>
          <w:tcPr>
            <w:tcW w:type="dxa" w:w="3500"/>
            <w:tcMar>
              <w:top w:type="dxa" w:w="60"/>
              <w:left w:type="dxa" w:w="100"/>
              <w:bottom w:type="dxa" w:w="60"/>
              <w:right w:type="dxa" w:w="100"/>
            </w:tcMar>
          </w:tcPr>
          <w:p>
            <w:pPr>
              <w:spacing w:after="0" w:line="250"/>
            </w:pPr>
            <w:r>
              <w:rPr>
                <w:b/>
                <w:bCs/>
                <w:sz w:val="20"/>
                <w:szCs w:val="20"/>
              </w:rPr>
              <w:t xml:space="preserve">Confirmed correct from earlier revisions:</w:t>
            </w:r>
            <w:r>
              <w:rPr>
                <w:b w:val="false"/>
                <w:bCs w:val="false"/>
                <w:sz w:val="20"/>
                <w:szCs w:val="20"/>
              </w:rPr>
              <w:t xml:space="preserve"> the trend rate thresholds, the 40–400 rail sentinels, the Share two-step auth flow, the per-region applicationId constants, the string-vs-integer Trend change, and the Microsoft date format.</w:t>
            </w:r>
          </w:p>
        </w:tc>
        <w:tc>
          <w:tcPr>
            <w:tcW w:type="dxa" w:w="4100"/>
            <w:tcMar>
              <w:top w:type="dxa" w:w="60"/>
              <w:left w:type="dxa" w:w="100"/>
              <w:bottom w:type="dxa" w:w="60"/>
              <w:right w:type="dxa" w:w="100"/>
            </w:tcMar>
          </w:tcPr>
          <w:p>
            <w:pPr>
              <w:spacing w:after="0" w:line="250"/>
            </w:pPr>
            <w:r>
              <w:rPr>
                <w:b w:val="false"/>
                <w:bCs w:val="false"/>
                <w:sz w:val="20"/>
                <w:szCs w:val="20"/>
              </w:rPr>
              <w:t xml:space="preserve">All verified against live responses or G7SensorKit source. No change required.</w:t>
            </w:r>
          </w:p>
        </w:tc>
        <w:tc>
          <w:tcPr>
            <w:tcW w:type="dxa" w:w="1760"/>
            <w:tcMar>
              <w:top w:type="dxa" w:w="60"/>
              <w:left w:type="dxa" w:w="100"/>
              <w:bottom w:type="dxa" w:w="60"/>
              <w:right w:type="dxa" w:w="100"/>
            </w:tcMar>
          </w:tcPr>
          <w:p>
            <w:pPr>
              <w:spacing w:after="0" w:line="250"/>
            </w:pPr>
            <w:r>
              <w:rPr>
                <w:b w:val="false"/>
                <w:bCs w:val="false"/>
                <w:sz w:val="20"/>
                <w:szCs w:val="20"/>
              </w:rPr>
              <w:t xml:space="preserve">§4.2.3</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pPr>
    <w:r>
      <w:rPr>
        <w:color w:val="595959"/>
        <w:sz w:val="18"/>
        <w:szCs w:val="18"/>
      </w:rPr>
      <w:t xml:space="preserve">GlucoNoir PRD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74B5"/>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120" w:before="220"/>
    </w:pPr>
    <w:rPr>
      <w:rFonts w:ascii="Calibri" w:cs="Calibri" w:eastAsia="Calibri" w:hAnsi="Calibri"/>
      <w:b/>
      <w:bC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GlucoNoir PRD v1.4</dc:title>
  <dc:creator>GlucoNoir Project</dc:creator>
  <dc:description>Product Requirements Document for GlucoNoir, a dark-mode Dexcom G7 companion app for iOS.</dc:description>
  <cp:lastModifiedBy>Un-named</cp:lastModifiedBy>
  <cp:revision>1</cp:revision>
  <dcterms:created xsi:type="dcterms:W3CDTF">2026-09-08T05:12:59.278Z</dcterms:created>
  <dcterms:modified xsi:type="dcterms:W3CDTF">2026-09-08T05:12:59.281Z</dcterms:modified>
</cp:coreProperties>
</file>

<file path=docProps/custom.xml><?xml version="1.0" encoding="utf-8"?>
<Properties xmlns="http://schemas.openxmlformats.org/officeDocument/2006/custom-properties" xmlns:vt="http://schemas.openxmlformats.org/officeDocument/2006/docPropsVTypes"/>
</file>