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D78"/>
          <w:sz w:val="56"/>
          <w:szCs w:val="56"/>
        </w:rPr>
        <w:t xml:space="preserve">GlucoNoir</w:t>
      </w:r>
    </w:p>
    <w:p>
      <w:pPr>
        <w:spacing w:after="60"/>
      </w:pPr>
      <w:r>
        <w:rPr>
          <w:color w:val="2E74B5"/>
          <w:sz w:val="28"/>
          <w:szCs w:val="28"/>
        </w:rPr>
        <w:t xml:space="preserve">A Dark-Mode Dexcom G7 Companion App for iOS</w:t>
      </w:r>
    </w:p>
    <w:p>
      <w:pPr>
        <w:pBdr>
          <w:bottom w:val="single" w:color="9CC2E5" w:sz="8" w:space="8"/>
        </w:pBdr>
        <w:spacing w:after="240"/>
      </w:pPr>
      <w:r>
        <w:rPr>
          <w:color w:val="595959"/>
          <w:sz w:val="22"/>
          <w:szCs w:val="22"/>
        </w:rPr>
        <w:t xml:space="preserve">Product Requirements Document  |  v1.5  |  September 2026</w:t>
      </w:r>
    </w:p>
    <w:p>
      <w:pPr>
        <w:pStyle w:val="Heading1"/>
        <w:spacing w:after="160" w:before="360"/>
      </w:pPr>
      <w:r>
        <w:rPr>
          <w:b w:val="false"/>
          <w:bCs w:val="false"/>
        </w:rPr>
        <w:t xml:space="preserve">1. Executive Summary</w:t>
      </w:r>
    </w:p>
    <w:p>
      <w:pPr>
        <w:spacing w:after="120" w:line="276"/>
      </w:pPr>
      <w:r>
        <w:rPr>
          <w:b w:val="false"/>
          <w:bCs w:val="false"/>
        </w:rPr>
        <w:t xml:space="preserve">GlucoNoir is a personal-use iOS application that displays Dexcom G7 glucose data in a thoughtfully designed dark-mode interface. It reads from the Dexcom Share API — roughly one to two minutes behind the sensor — with Apple HealthKit supplying historical backfill. It is built for a single user with Type 1 Diabetes (T1D) who wants a less visually fatiguing alternative to the official Dexcom G7 app, plus richer logging and short-horizon glucose prediction features the stock app does not offer.</w:t>
      </w:r>
    </w:p>
    <w:p>
      <w:pPr>
        <w:spacing w:after="120" w:line="276"/>
      </w:pPr>
      <w:r>
        <w:rPr>
          <w:b w:val="false"/>
          <w:bCs w:val="false"/>
        </w:rPr>
        <w:t xml:space="preserve">This document defines scope, features, technical architecture, safety boundaries, and a phased build roadmap. It is intentionally written so any developer (including the author) can pick it up and execute without re-deriving decisions.</w:t>
      </w:r>
    </w:p>
    <w:p>
      <w:pPr>
        <w:spacing w:after="100" w:before="180"/>
      </w:pPr>
      <w:r>
        <w:rPr>
          <w:b/>
          <w:bCs/>
          <w:color w:val="1F4D78"/>
        </w:rPr>
        <w:t xml:space="preserve">Change log v1.5</w:t>
      </w:r>
    </w:p>
    <w:p>
      <w:pPr>
        <w:spacing w:after="120" w:line="276"/>
      </w:pPr>
      <w:r>
        <w:rPr>
          <w:b w:val="false"/>
          <w:bCs w:val="false"/>
        </w:rPr>
        <w:t xml:space="preserve">v1.5 records a build pass rather than an architecture change. The data-source design settled in v1.4 has held; what follows is what was built on it, and the decisions that only surfaced once real code met real data.</w:t>
      </w:r>
    </w:p>
    <w:p>
      <w:pPr>
        <w:pStyle w:val="ListParagraph"/>
        <w:numPr>
          <w:ilvl w:val="0"/>
          <w:numId w:val="2"/>
        </w:numPr>
        <w:spacing w:after="80" w:line="276"/>
      </w:pPr>
      <w:r>
        <w:rPr>
          <w:b/>
          <w:bCs/>
        </w:rPr>
        <w:t xml:space="preserve">Persistence shipped.</w:t>
      </w:r>
      <w:r>
        <w:rPr>
          <w:b w:val="false"/>
          <w:bCs w:val="false"/>
        </w:rPr>
        <w:t xml:space="preserve"> Versioned SwiftData schema, a </w:t>
      </w:r>
      <w:r>
        <w:rPr>
          <w:rFonts w:ascii="Consolas" w:cs="Consolas" w:eastAsia="Consolas" w:hAnsi="Consolas"/>
          <w:b w:val="false"/>
          <w:bCs w:val="false"/>
          <w:sz w:val="19"/>
          <w:szCs w:val="19"/>
        </w:rPr>
        <w:t xml:space="preserve">@ModelActor</w:t>
      </w:r>
      <w:r>
        <w:rPr>
          <w:b w:val="false"/>
          <w:bCs w:val="false"/>
        </w:rPr>
        <w:t xml:space="preserve"> store, and upsert semantics. History now survives relaunch and self-heals: the fetch window sizes itself to the gap since the newest stored reading, so reopening the app after hours away backfills rather than leaving a hole (§4.3).</w:t>
      </w:r>
    </w:p>
    <w:p>
      <w:pPr>
        <w:pStyle w:val="ListParagraph"/>
        <w:numPr>
          <w:ilvl w:val="0"/>
          <w:numId w:val="2"/>
        </w:numPr>
        <w:spacing w:after="80" w:line="276"/>
      </w:pPr>
      <w:r>
        <w:rPr>
          <w:b/>
          <w:bCs/>
        </w:rPr>
        <w:t xml:space="preserve">Chart shipped.</w:t>
      </w:r>
      <w:r>
        <w:rPr>
          <w:b w:val="false"/>
          <w:bCs w:val="false"/>
        </w:rPr>
        <w:t xml:space="preserve"> Swift Charts with a target-range band, seven windows from 3h to 30d, and gap-aware line breaking. Reads from the store rather than memory, so it draws on a cold launch before the first poll returns and with no network at all (§3.1.4).</w:t>
      </w:r>
    </w:p>
    <w:p>
      <w:pPr>
        <w:pStyle w:val="ListParagraph"/>
        <w:numPr>
          <w:ilvl w:val="0"/>
          <w:numId w:val="2"/>
        </w:numPr>
        <w:spacing w:after="80" w:line="276"/>
      </w:pPr>
      <w:r>
        <w:rPr>
          <w:b/>
          <w:bCs/>
        </w:rPr>
        <w:t xml:space="preserve">Theme system and Bedside Mode shipped.</w:t>
      </w:r>
      <w:r>
        <w:rPr>
          <w:b w:val="false"/>
          <w:bCs w:val="false"/>
        </w:rPr>
        <w:t xml:space="preserve"> Four themes plus a red-shifted nighttime palette, schedule-driven with a manual override. This closes the loop on §1.1: it is the problem the project exists to solve, and it is now solved (§5).</w:t>
      </w:r>
    </w:p>
    <w:p>
      <w:pPr>
        <w:pStyle w:val="ListParagraph"/>
        <w:numPr>
          <w:ilvl w:val="0"/>
          <w:numId w:val="2"/>
        </w:numPr>
        <w:spacing w:after="80" w:line="276"/>
      </w:pPr>
      <w:r>
        <w:rPr>
          <w:b/>
          <w:bCs/>
        </w:rPr>
        <w:t xml:space="preserve">Statistics shipped.</w:t>
      </w:r>
      <w:r>
        <w:rPr>
          <w:b w:val="false"/>
          <w:bCs w:val="false"/>
        </w:rPr>
        <w:t xml:space="preserve"> Five-band time-in-range, coefficient of variation, and GMI gated to 14 days at 70% coverage, exactly as §3.1.5 specified (§3.1.5).</w:t>
      </w:r>
    </w:p>
    <w:p>
      <w:pPr>
        <w:pStyle w:val="ListParagraph"/>
        <w:numPr>
          <w:ilvl w:val="0"/>
          <w:numId w:val="2"/>
        </w:numPr>
        <w:spacing w:after="80" w:line="276"/>
      </w:pPr>
      <w:r>
        <w:rPr>
          <w:b/>
          <w:bCs/>
        </w:rPr>
        <w:t xml:space="preserve">Deduplication key changed from </w:t>
      </w:r>
      <w:r>
        <w:rPr>
          <w:rFonts w:ascii="Consolas" w:cs="Consolas" w:eastAsia="Consolas" w:hAnsi="Consolas"/>
          <w:b/>
          <w:bCs/>
          <w:sz w:val="19"/>
          <w:szCs w:val="19"/>
        </w:rPr>
        <w:t xml:space="preserve">Date</w:t>
      </w:r>
      <w:r>
        <w:rPr>
          <w:b/>
          <w:bCs/>
        </w:rPr>
        <w:t xml:space="preserve"> to whole-second </w:t>
      </w:r>
      <w:r>
        <w:rPr>
          <w:rFonts w:ascii="Consolas" w:cs="Consolas" w:eastAsia="Consolas" w:hAnsi="Consolas"/>
          <w:b/>
          <w:bCs/>
          <w:sz w:val="19"/>
          <w:szCs w:val="19"/>
        </w:rPr>
        <w:t xml:space="preserve">Int</w:t>
      </w:r>
      <w:r>
        <w:rPr>
          <w:b/>
          <w:bCs/>
        </w:rPr>
        <w:t xml:space="preserve">.</w:t>
      </w:r>
      <w:r>
        <w:rPr>
          <w:b w:val="false"/>
          <w:bCs w:val="false"/>
        </w:rPr>
        <w:t xml:space="preserve"> Date equality is floating point and Share reports millisecond precision, so matching on </w:t>
      </w:r>
      <w:r>
        <w:rPr>
          <w:rFonts w:ascii="Consolas" w:cs="Consolas" w:eastAsia="Consolas" w:hAnsi="Consolas"/>
          <w:b w:val="false"/>
          <w:bCs w:val="false"/>
          <w:sz w:val="19"/>
          <w:szCs w:val="19"/>
        </w:rPr>
        <w:t xml:space="preserve">Date</w:t>
      </w:r>
      <w:r>
        <w:rPr>
          <w:b w:val="false"/>
          <w:bCs w:val="false"/>
        </w:rPr>
        <w:t xml:space="preserve"> would have admitted near-miss duplicates — silently corrupting every average, time-in-range figure, and chart drawn from the store (§4.3).</w:t>
      </w:r>
    </w:p>
    <w:p>
      <w:pPr>
        <w:pStyle w:val="ListParagraph"/>
        <w:numPr>
          <w:ilvl w:val="0"/>
          <w:numId w:val="2"/>
        </w:numPr>
        <w:spacing w:after="80" w:line="276"/>
      </w:pPr>
      <w:r>
        <w:rPr>
          <w:b/>
          <w:bCs/>
        </w:rPr>
        <w:t xml:space="preserve">Downsampling preserves extremes, not means.</w:t>
      </w:r>
      <w:r>
        <w:rPr>
          <w:b w:val="false"/>
          <w:bCs w:val="false"/>
        </w:rPr>
        <w:t xml:space="preserve"> Bucket averaging is the obvious implementation and it makes long-window glucose charts lie: a twenty-minute hypo inside a two-hour bucket disappears entirely. Each bucket now contributes its minimum and maximum (§4.5).</w:t>
      </w:r>
    </w:p>
    <w:p>
      <w:pPr>
        <w:pStyle w:val="ListParagraph"/>
        <w:numPr>
          <w:ilvl w:val="0"/>
          <w:numId w:val="2"/>
        </w:numPr>
        <w:spacing w:after="80" w:line="276"/>
      </w:pPr>
      <w:r>
        <w:rPr>
          <w:b/>
          <w:bCs/>
        </w:rPr>
        <w:t xml:space="preserve">Glycemic band classification extracted from the view layer.</w:t>
      </w:r>
      <w:r>
        <w:rPr>
          <w:b w:val="false"/>
          <w:bCs w:val="false"/>
        </w:rPr>
        <w:t xml:space="preserve"> It was written inside a SwiftUI colour extension — domain logic entangled with presentation, and untestable without importing SwiftUI. The same classification drives chart colouring and five-band statistics, and two copies would eventually disagree (§3.1.5).</w:t>
      </w:r>
    </w:p>
    <w:p>
      <w:pPr>
        <w:pStyle w:val="ListParagraph"/>
        <w:numPr>
          <w:ilvl w:val="0"/>
          <w:numId w:val="2"/>
        </w:numPr>
        <w:spacing w:after="80" w:line="276"/>
      </w:pPr>
      <w:r>
        <w:rPr>
          <w:b/>
          <w:bCs/>
        </w:rPr>
        <w:t xml:space="preserve">Background refresh reconfirmed as absent</w:t>
      </w:r>
      <w:r>
        <w:rPr>
          <w:b w:val="false"/>
          <w:bCs w:val="false"/>
        </w:rPr>
        <w:t xml:space="preserve">, in response to a direct question about whether the app collects data continuously. It does not, it cannot, and §4.2.1 now states the consequence for the user rather than only the technical cause.</w:t>
      </w:r>
    </w:p>
    <w:p>
      <w:pPr>
        <w:pBdr>
          <w:left w:val="single" w:color="BFD3E6" w:sz="12" w:space="8"/>
        </w:pBdr>
        <w:spacing w:after="160" w:line="260"/>
        <w:ind w:left="180"/>
      </w:pPr>
      <w:r>
        <w:rPr>
          <w:b w:val="false"/>
          <w:bCs w:val="false"/>
          <w:i/>
          <w:iCs/>
          <w:color w:val="595959"/>
          <w:sz w:val="20"/>
          <w:szCs w:val="20"/>
        </w:rPr>
        <w:t xml:space="preserve">Change logs for v1.2 through v1.4 are preserved in Appendix B, which records every finding across all review and build passes.</w:t>
      </w:r>
    </w:p>
    <w:p>
      <w:pPr>
        <w:pStyle w:val="Heading2"/>
        <w:spacing w:after="140" w:before="280"/>
      </w:pPr>
      <w:r>
        <w:rPr>
          <w:b w:val="false"/>
          <w:bCs w:val="false"/>
        </w:rPr>
        <w:t xml:space="preserve">1.1 Problem Statement</w:t>
      </w:r>
    </w:p>
    <w:p>
      <w:pPr>
        <w:pStyle w:val="ListParagraph"/>
        <w:numPr>
          <w:ilvl w:val="0"/>
          <w:numId w:val="2"/>
        </w:numPr>
        <w:spacing w:after="80" w:line="276"/>
      </w:pPr>
      <w:r>
        <w:rPr>
          <w:b w:val="false"/>
          <w:bCs w:val="false"/>
        </w:rPr>
        <w:t xml:space="preserve">The official Dexcom G7 app uses a bright white interface that causes eye strain in low-light conditions and at night, when glucose checks are most frequent.</w:t>
      </w:r>
    </w:p>
    <w:p>
      <w:pPr>
        <w:pStyle w:val="ListParagraph"/>
        <w:numPr>
          <w:ilvl w:val="0"/>
          <w:numId w:val="2"/>
        </w:numPr>
        <w:spacing w:after="80" w:line="276"/>
      </w:pPr>
      <w:r>
        <w:rPr>
          <w:b w:val="false"/>
          <w:bCs w:val="false"/>
        </w:rPr>
        <w:t xml:space="preserve">It does not offer integrated meal, insulin, or exercise logging in a single timeline view.</w:t>
      </w:r>
    </w:p>
    <w:p>
      <w:pPr>
        <w:pStyle w:val="ListParagraph"/>
        <w:numPr>
          <w:ilvl w:val="0"/>
          <w:numId w:val="2"/>
        </w:numPr>
        <w:spacing w:after="80" w:line="276"/>
      </w:pPr>
      <w:r>
        <w:rPr>
          <w:b w:val="false"/>
          <w:bCs w:val="false"/>
        </w:rPr>
        <w:t xml:space="preserve">It does not surface short-term glucose trajectory predictions beyond the standard trend arrow.</w:t>
      </w:r>
    </w:p>
    <w:p>
      <w:pPr>
        <w:pStyle w:val="ListParagraph"/>
        <w:numPr>
          <w:ilvl w:val="0"/>
          <w:numId w:val="2"/>
        </w:numPr>
        <w:spacing w:after="80" w:line="276"/>
      </w:pPr>
      <w:r>
        <w:rPr>
          <w:b w:val="false"/>
          <w:bCs w:val="false"/>
        </w:rPr>
        <w:t xml:space="preserve">It does not adapt to system appearance (light/dark mode toggle).</w:t>
      </w:r>
    </w:p>
    <w:p>
      <w:pPr>
        <w:pStyle w:val="ListParagraph"/>
        <w:numPr>
          <w:ilvl w:val="0"/>
          <w:numId w:val="2"/>
        </w:numPr>
        <w:spacing w:after="80" w:line="276"/>
      </w:pPr>
      <w:r>
        <w:rPr>
          <w:b w:val="false"/>
          <w:bCs w:val="false"/>
        </w:rPr>
        <w:t xml:space="preserve">It does not surface historical response to a repeated meal, which is the single most actionable pattern available from combined CGM and log data.</w:t>
      </w:r>
    </w:p>
    <w:p>
      <w:pPr>
        <w:pStyle w:val="Heading2"/>
        <w:spacing w:after="140" w:before="280"/>
      </w:pPr>
      <w:r>
        <w:rPr>
          <w:b w:val="false"/>
          <w:bCs w:val="false"/>
        </w:rPr>
        <w:t xml:space="preserve">1.2 Goals &amp; Non-Goals</w:t>
      </w:r>
    </w:p>
    <w:p>
      <w:pPr>
        <w:pStyle w:val="Heading3"/>
        <w:spacing w:after="120" w:before="220"/>
      </w:pPr>
      <w:r>
        <w:rPr>
          <w:b w:val="false"/>
          <w:bCs w:val="false"/>
        </w:rPr>
        <w:t xml:space="preserve">Goals</w:t>
      </w:r>
    </w:p>
    <w:p>
      <w:pPr>
        <w:pStyle w:val="ListParagraph"/>
        <w:numPr>
          <w:ilvl w:val="0"/>
          <w:numId w:val="2"/>
        </w:numPr>
        <w:spacing w:after="80" w:line="276"/>
      </w:pPr>
      <w:r>
        <w:rPr>
          <w:b/>
          <w:bCs/>
        </w:rPr>
        <w:t xml:space="preserve">Primary:</w:t>
      </w:r>
      <w:r>
        <w:rPr>
          <w:b w:val="false"/>
          <w:bCs w:val="false"/>
        </w:rPr>
        <w:t xml:space="preserve"> Build a personal iOS app that displays current and historical Dexcom G7 readings in a true OLED-friendly dark interface that respects iOS system appearance settings.</w:t>
      </w:r>
    </w:p>
    <w:p>
      <w:pPr>
        <w:pStyle w:val="ListParagraph"/>
        <w:numPr>
          <w:ilvl w:val="0"/>
          <w:numId w:val="2"/>
        </w:numPr>
        <w:spacing w:after="80" w:line="276"/>
      </w:pPr>
      <w:r>
        <w:rPr>
          <w:b/>
          <w:bCs/>
        </w:rPr>
        <w:t xml:space="preserve">Secondary:</w:t>
      </w:r>
      <w:r>
        <w:rPr>
          <w:b w:val="false"/>
          <w:bCs w:val="false"/>
        </w:rPr>
        <w:t xml:space="preserve"> Add a unified event log (meals, insulin doses, exercise) overlaid on the glucose timeline.</w:t>
      </w:r>
    </w:p>
    <w:p>
      <w:pPr>
        <w:pStyle w:val="ListParagraph"/>
        <w:numPr>
          <w:ilvl w:val="0"/>
          <w:numId w:val="2"/>
        </w:numPr>
        <w:spacing w:after="80" w:line="276"/>
      </w:pPr>
      <w:r>
        <w:rPr>
          <w:b/>
          <w:bCs/>
        </w:rPr>
        <w:t xml:space="preserve">Tertiary:</w:t>
      </w:r>
      <w:r>
        <w:rPr>
          <w:b w:val="false"/>
          <w:bCs w:val="false"/>
        </w:rPr>
        <w:t xml:space="preserve"> Provide a 15 to 30 minute glucose trajectory forecast using transparent statistical methods (damped linear regression, bi-exponential IOB, linear carb absorption).</w:t>
      </w:r>
    </w:p>
    <w:p>
      <w:pPr>
        <w:pStyle w:val="ListParagraph"/>
        <w:numPr>
          <w:ilvl w:val="0"/>
          <w:numId w:val="2"/>
        </w:numPr>
        <w:spacing w:after="80" w:line="276"/>
      </w:pPr>
      <w:r>
        <w:rPr>
          <w:b/>
          <w:bCs/>
        </w:rPr>
        <w:t xml:space="preserve">Fourth:</w:t>
      </w:r>
      <w:r>
        <w:rPr>
          <w:b w:val="false"/>
          <w:bCs w:val="false"/>
        </w:rPr>
        <w:t xml:space="preserve"> Reduce the number of glances that require opening an app at all, via Live Activity, Lock Screen, and Watch surfaces.</w:t>
      </w:r>
    </w:p>
    <w:p>
      <w:pPr>
        <w:pStyle w:val="Heading3"/>
        <w:spacing w:after="120" w:before="220"/>
      </w:pPr>
      <w:r>
        <w:rPr>
          <w:b w:val="false"/>
          <w:bCs w:val="false"/>
        </w:rPr>
        <w:t xml:space="preserve">Non-Goals</w:t>
      </w:r>
    </w:p>
    <w:p>
      <w:pPr>
        <w:pStyle w:val="ListParagraph"/>
        <w:numPr>
          <w:ilvl w:val="0"/>
          <w:numId w:val="2"/>
        </w:numPr>
        <w:spacing w:after="80" w:line="276"/>
      </w:pPr>
      <w:r>
        <w:rPr>
          <w:b w:val="false"/>
          <w:bCs w:val="false"/>
        </w:rPr>
        <w:t xml:space="preserve">This app is </w:t>
      </w:r>
      <w:r>
        <w:rPr>
          <w:b/>
          <w:bCs/>
        </w:rPr>
        <w:t xml:space="preserve">not a medical device</w:t>
      </w:r>
      <w:r>
        <w:rPr>
          <w:b w:val="false"/>
          <w:bCs w:val="false"/>
        </w:rPr>
        <w:t xml:space="preserve"> and will not be submitted to the App Store as one. See §1.4 for the precise boundary.</w:t>
      </w:r>
    </w:p>
    <w:p>
      <w:pPr>
        <w:pStyle w:val="ListParagraph"/>
        <w:numPr>
          <w:ilvl w:val="0"/>
          <w:numId w:val="2"/>
        </w:numPr>
        <w:spacing w:after="80" w:line="276"/>
      </w:pPr>
      <w:r>
        <w:rPr>
          <w:b w:val="false"/>
          <w:bCs w:val="false"/>
        </w:rPr>
        <w:t xml:space="preserve">It will </w:t>
      </w:r>
      <w:r>
        <w:rPr>
          <w:b/>
          <w:bCs/>
        </w:rPr>
        <w:t xml:space="preserve">not</w:t>
      </w:r>
      <w:r>
        <w:rPr>
          <w:b w:val="false"/>
          <w:bCs w:val="false"/>
        </w:rPr>
        <w:t xml:space="preserve"> replace the official Dexcom G7 app for low-glucose or high-glucose alarms. Those remain on the stock app, which is FDA-cleared for that purpose.</w:t>
      </w:r>
    </w:p>
    <w:p>
      <w:pPr>
        <w:pStyle w:val="ListParagraph"/>
        <w:numPr>
          <w:ilvl w:val="0"/>
          <w:numId w:val="2"/>
        </w:numPr>
        <w:spacing w:after="80" w:line="276"/>
      </w:pPr>
      <w:r>
        <w:rPr>
          <w:b w:val="false"/>
          <w:bCs w:val="false"/>
        </w:rPr>
        <w:t xml:space="preserve">It will </w:t>
      </w:r>
      <w:r>
        <w:rPr>
          <w:b/>
          <w:bCs/>
        </w:rPr>
        <w:t xml:space="preserve">not</w:t>
      </w:r>
      <w:r>
        <w:rPr>
          <w:b w:val="false"/>
          <w:bCs w:val="false"/>
        </w:rPr>
        <w:t xml:space="preserve"> implement any alarm or push notification tied to a glucose threshold. See §1.3 for why this is a hard line rather than a deferral.</w:t>
      </w:r>
    </w:p>
    <w:p>
      <w:pPr>
        <w:pStyle w:val="ListParagraph"/>
        <w:numPr>
          <w:ilvl w:val="0"/>
          <w:numId w:val="2"/>
        </w:numPr>
        <w:spacing w:after="80" w:line="276"/>
      </w:pPr>
      <w:r>
        <w:rPr>
          <w:b w:val="false"/>
          <w:bCs w:val="false"/>
        </w:rPr>
        <w:t xml:space="preserve">It will </w:t>
      </w:r>
      <w:r>
        <w:rPr>
          <w:b/>
          <w:bCs/>
        </w:rPr>
        <w:t xml:space="preserve">not</w:t>
      </w:r>
      <w:r>
        <w:rPr>
          <w:b w:val="false"/>
          <w:bCs w:val="false"/>
        </w:rPr>
        <w:t xml:space="preserve"> calculate insulin doses or recommend medical action. This explicitly includes the tempting adjacent feature of a rescue-carb calculator (“how many grams to get from 62 to 100”): once ISF and ICR exist in the data model that computation is two lines of code, and it is out of scope permanently, not until v3.</w:t>
      </w:r>
    </w:p>
    <w:p>
      <w:pPr>
        <w:pStyle w:val="ListParagraph"/>
        <w:numPr>
          <w:ilvl w:val="0"/>
          <w:numId w:val="2"/>
        </w:numPr>
        <w:spacing w:after="80" w:line="276"/>
      </w:pPr>
      <w:r>
        <w:rPr>
          <w:b w:val="false"/>
          <w:bCs w:val="false"/>
        </w:rPr>
        <w:t xml:space="preserve">It will </w:t>
      </w:r>
      <w:r>
        <w:rPr>
          <w:b/>
          <w:bCs/>
        </w:rPr>
        <w:t xml:space="preserve">not</w:t>
      </w:r>
      <w:r>
        <w:rPr>
          <w:b w:val="false"/>
          <w:bCs w:val="false"/>
        </w:rPr>
        <w:t xml:space="preserve"> support multiple users or family/follower features.</w:t>
      </w:r>
    </w:p>
    <w:p>
      <w:pPr>
        <w:pStyle w:val="ListParagraph"/>
        <w:numPr>
          <w:ilvl w:val="0"/>
          <w:numId w:val="2"/>
        </w:numPr>
        <w:spacing w:after="80" w:line="276"/>
      </w:pPr>
      <w:r>
        <w:rPr>
          <w:b w:val="false"/>
          <w:bCs w:val="false"/>
        </w:rPr>
        <w:t xml:space="preserve">It will </w:t>
      </w:r>
      <w:r>
        <w:rPr>
          <w:b/>
          <w:bCs/>
        </w:rPr>
        <w:t xml:space="preserve">not</w:t>
      </w:r>
      <w:r>
        <w:rPr>
          <w:b w:val="false"/>
          <w:bCs w:val="false"/>
        </w:rPr>
        <w:t xml:space="preserve"> integrate with, command, or read state from a closed-loop system (Loop, AAPS, iAPS, or a commercial pump). The app is strictly observational.</w:t>
      </w:r>
    </w:p>
    <w:p>
      <w:pPr>
        <w:pBdr>
          <w:left w:val="single" w:color="BFD3E6" w:sz="12" w:space="8"/>
        </w:pBdr>
        <w:spacing w:after="160" w:line="260"/>
        <w:ind w:left="180"/>
      </w:pPr>
      <w:r>
        <w:rPr>
          <w:b w:val="false"/>
          <w:bCs w:val="false"/>
          <w:i/>
          <w:iCs/>
          <w:color w:val="595959"/>
          <w:sz w:val="20"/>
          <w:szCs w:val="20"/>
        </w:rPr>
        <w:t xml:space="preserve">Changed in v1.2: the rescue-carb exclusion and the permanent alarm exclusion are new. Both are boundaries that v1.1 left implicit and that become easy to cross once the prediction engine exists.</w:t>
      </w:r>
    </w:p>
    <w:p>
      <w:pPr>
        <w:pStyle w:val="Heading2"/>
        <w:spacing w:after="140" w:before="280"/>
      </w:pPr>
      <w:r>
        <w:rPr>
          <w:b w:val="false"/>
          <w:bCs w:val="false"/>
        </w:rPr>
        <w:t xml:space="preserve">1.3 Critical Safety Boundary</w:t>
      </w:r>
    </w:p>
    <w:p>
      <w:pPr>
        <w:spacing w:after="120" w:line="276"/>
      </w:pPr>
      <w:r>
        <w:rPr>
          <w:b w:val="false"/>
          <w:bCs w:val="false"/>
        </w:rPr>
        <w:t xml:space="preserve">GlucoNoir displays glucose data but </w:t>
      </w:r>
      <w:r>
        <w:rPr>
          <w:b/>
          <w:bCs/>
        </w:rPr>
        <w:t xml:space="preserve">does not alarm on it</w:t>
      </w:r>
      <w:r>
        <w:rPr>
          <w:b w:val="false"/>
          <w:bCs w:val="false"/>
        </w:rPr>
        <w:t xml:space="preserve">. The official Dexcom G7 app remains the sole source of low-glucose and high-glucose alerts, and it stays installed and running — GlucoNoir depends on it absolutely, for sensor pairing, for Share uploads, and for alarms.</w:t>
      </w:r>
    </w:p>
    <w:p>
      <w:pPr>
        <w:spacing w:after="100" w:before="180"/>
      </w:pPr>
      <w:r>
        <w:rPr>
          <w:b/>
          <w:bCs/>
          <w:color w:val="1F4D78"/>
        </w:rPr>
        <w:t xml:space="preserve">Freshness, and its dependencies</w:t>
      </w:r>
    </w:p>
    <w:p>
      <w:pPr>
        <w:spacing w:after="120" w:line="276"/>
      </w:pPr>
      <w:r>
        <w:rPr>
          <w:b w:val="false"/>
          <w:bCs w:val="false"/>
        </w:rPr>
        <w:t xml:space="preserve">v1.3 anticipated second-level freshness over Bluetooth with no network dependency. That is not available (§4.2.1), and the honest position is weaker:</w:t>
      </w:r>
    </w:p>
    <w:p>
      <w:pPr>
        <w:pStyle w:val="ListParagraph"/>
        <w:numPr>
          <w:ilvl w:val="0"/>
          <w:numId w:val="2"/>
        </w:numPr>
        <w:spacing w:after="80" w:line="276"/>
      </w:pPr>
      <w:r>
        <w:rPr>
          <w:b/>
          <w:bCs/>
        </w:rPr>
        <w:t xml:space="preserve">Dexcom Share</w:t>
      </w:r>
      <w:r>
        <w:rPr>
          <w:b w:val="false"/>
          <w:bCs w:val="false"/>
        </w:rPr>
        <w:t xml:space="preserve"> delivers a reading roughly 1 to 2 minutes after the sensor produces it. Because the sensor itself only measures every 5 minutes, a displayed value is typically 1 to 7 minutes old. Opening the app triggers an immediate poll, so a glance always fetches rather than showing a cached value.</w:t>
      </w:r>
    </w:p>
    <w:p>
      <w:pPr>
        <w:pStyle w:val="ListParagraph"/>
        <w:numPr>
          <w:ilvl w:val="0"/>
          <w:numId w:val="2"/>
        </w:numPr>
        <w:spacing w:after="80" w:line="276"/>
      </w:pPr>
      <w:r>
        <w:rPr>
          <w:b/>
          <w:bCs/>
        </w:rPr>
        <w:t xml:space="preserve">Apple HealthKit</w:t>
      </w:r>
      <w:r>
        <w:rPr>
          <w:b w:val="false"/>
          <w:bCs w:val="false"/>
        </w:rPr>
        <w:t xml:space="preserve"> carries a documented three-hour delay and is never the source of a displayed current value.</w:t>
      </w:r>
    </w:p>
    <w:p>
      <w:pPr>
        <w:spacing w:after="100" w:before="180"/>
      </w:pPr>
      <w:r>
        <w:rPr>
          <w:b/>
          <w:bCs/>
          <w:color w:val="1F4D78"/>
        </w:rPr>
        <w:t xml:space="preserve">The dependency chain, stated plainly</w:t>
      </w:r>
    </w:p>
    <w:p>
      <w:pPr>
        <w:spacing w:after="120" w:line="276"/>
      </w:pPr>
      <w:r>
        <w:rPr>
          <w:b w:val="false"/>
          <w:bCs w:val="false"/>
        </w:rPr>
        <w:t xml:space="preserve">A reading reaches GlucoNoir only if </w:t>
      </w:r>
      <w:r>
        <w:rPr>
          <w:b/>
          <w:bCs/>
        </w:rPr>
        <w:t xml:space="preserve">all</w:t>
      </w:r>
      <w:r>
        <w:rPr>
          <w:b w:val="false"/>
          <w:bCs w:val="false"/>
        </w:rPr>
        <w:t xml:space="preserve"> of the following hold: the sensor is transmitting; the official Dexcom app is running and uploading; Dexcom's cloud is reachable; and this phone has working internet. Any one failing means no fresh data.</w:t>
      </w:r>
    </w:p>
    <w:p>
      <w:pPr>
        <w:spacing w:after="120" w:line="276"/>
      </w:pPr>
      <w:r>
        <w:rPr>
          <w:b w:val="false"/>
          <w:bCs w:val="false"/>
        </w:rPr>
        <w:t xml:space="preserve">This is a meaningfully longer chain than the direct-Bluetooth design assumed, and it fails in ordinary circumstances — patchy wifi, a captive portal, a cloud outage. The app must therefore make staleness impossible to miss (§3.1.3), and the user must not develop the habit of treating GlucoNoir as authoritative overnight. The official app has none of these dependencies for its alarms, because it reads the sensor directly. That asymmetry is the reason alarms stay there permanently.</w:t>
      </w:r>
    </w:p>
    <w:p>
      <w:pPr>
        <w:spacing w:after="100" w:before="180"/>
      </w:pPr>
      <w:r>
        <w:rPr>
          <w:b/>
          <w:bCs/>
          <w:color w:val="1F4D78"/>
        </w:rPr>
        <w:t xml:space="preserve">Why alarms are excluded permanently, not deferred</w:t>
      </w:r>
    </w:p>
    <w:p>
      <w:pPr>
        <w:spacing w:after="120" w:line="276"/>
      </w:pPr>
      <w:r>
        <w:rPr>
          <w:b w:val="false"/>
          <w:bCs w:val="false"/>
        </w:rPr>
        <w:t xml:space="preserve">v1.1 described alarms as “supplemental only” but never specified an alarm feature, leaving a governed behaviour that did not exist. The correct resolution is exclusion, for a concrete technical reason:</w:t>
      </w:r>
    </w:p>
    <w:p>
      <w:pPr>
        <w:spacing w:after="120" w:line="276"/>
      </w:pPr>
      <w:r>
        <w:rPr>
          <w:b w:val="false"/>
          <w:bCs w:val="false"/>
        </w:rPr>
        <w:t xml:space="preserve">Breaking through Do Not Disturb, Focus modes, and the ringer switch requires Apple's </w:t>
      </w:r>
      <w:r>
        <w:rPr>
          <w:b/>
          <w:bCs/>
        </w:rPr>
        <w:t xml:space="preserve">Critical Alerts</w:t>
      </w:r>
      <w:r>
        <w:rPr>
          <w:b w:val="false"/>
          <w:bCs w:val="false"/>
        </w:rPr>
        <w:t xml:space="preserve"> entitlement (</w:t>
      </w:r>
      <w:r>
        <w:rPr>
          <w:rFonts w:ascii="Consolas" w:cs="Consolas" w:eastAsia="Consolas" w:hAnsi="Consolas"/>
          <w:b w:val="false"/>
          <w:bCs w:val="false"/>
          <w:sz w:val="19"/>
          <w:szCs w:val="19"/>
        </w:rPr>
        <w:t xml:space="preserve">com.apple.developer.usernotifications.critical</w:t>
      </w:r>
      <w:r>
        <w:rPr>
          <w:b w:val="false"/>
          <w:bCs w:val="false"/>
        </w:rPr>
        <w:t xml:space="preserve">). Apple grants it to a narrow set of cleared medical applications and will not grant it here. Without it, every notification GlucoNoir could send is silently suppressed exactly when it would matter most — overnight. A nighttime alert that fires 80% of the time is more dangerous than no alert at all, because the user begins to rely on it. GlucoNoir therefore ships no glucose-threshold notifications of any kind.</w:t>
      </w:r>
    </w:p>
    <w:p>
      <w:pPr>
        <w:spacing w:after="120" w:line="276"/>
      </w:pPr>
      <w:r>
        <w:rPr>
          <w:b w:val="false"/>
          <w:bCs w:val="false"/>
        </w:rPr>
        <w:t xml:space="preserve">The forecast still surfaces impending lows, but only on surfaces the user is already looking at: the in-app hero area, the Live Activity, and the Watch complication (§3.2.3). This is information the user pulls, never a signal the app pushes.</w:t>
      </w:r>
    </w:p>
    <w:p>
      <w:pPr>
        <w:spacing w:after="100" w:before="180"/>
      </w:pPr>
      <w:r>
        <w:rPr>
          <w:b/>
          <w:bCs/>
          <w:color w:val="1F4D78"/>
        </w:rPr>
        <w:t xml:space="preserve">Staleness enforcement</w:t>
      </w:r>
    </w:p>
    <w:p>
      <w:pPr>
        <w:spacing w:after="120" w:line="276"/>
      </w:pPr>
      <w:r>
        <w:rPr>
          <w:b w:val="false"/>
          <w:bCs w:val="false"/>
        </w:rPr>
        <w:t xml:space="preserve">The UI surfaces data age prominently. Thresholds are set to survive normal signal-loss behaviour without crying wolf: a single missed G7 reading is routine, so a 10-minute warning threshold would fire many times a day and train the user to ignore it.</w:t>
      </w:r>
    </w:p>
    <w:p>
      <w:pPr>
        <w:pStyle w:val="ListParagraph"/>
        <w:numPr>
          <w:ilvl w:val="0"/>
          <w:numId w:val="2"/>
        </w:numPr>
        <w:spacing w:after="80" w:line="276"/>
      </w:pPr>
      <w:r>
        <w:rPr>
          <w:b/>
          <w:bCs/>
        </w:rPr>
        <w:t xml:space="preserve">Fresh:</w:t>
      </w:r>
      <w:r>
        <w:rPr>
          <w:b w:val="false"/>
          <w:bCs w:val="false"/>
        </w:rPr>
        <w:t xml:space="preserve"> newest reading under 12 minutes old. Normal display.</w:t>
      </w:r>
    </w:p>
    <w:p>
      <w:pPr>
        <w:pStyle w:val="ListParagraph"/>
        <w:numPr>
          <w:ilvl w:val="0"/>
          <w:numId w:val="2"/>
        </w:numPr>
        <w:spacing w:after="80" w:line="276"/>
      </w:pPr>
      <w:r>
        <w:rPr>
          <w:b/>
          <w:bCs/>
        </w:rPr>
        <w:t xml:space="preserve">Stale (amber):</w:t>
      </w:r>
      <w:r>
        <w:rPr>
          <w:b w:val="false"/>
          <w:bCs w:val="false"/>
        </w:rPr>
        <w:t xml:space="preserve"> 12 to 30 minutes. Freshness label turns amber; the hero number desaturates.</w:t>
      </w:r>
    </w:p>
    <w:p>
      <w:pPr>
        <w:pStyle w:val="ListParagraph"/>
        <w:numPr>
          <w:ilvl w:val="0"/>
          <w:numId w:val="2"/>
        </w:numPr>
        <w:spacing w:after="80" w:line="276"/>
      </w:pPr>
      <w:r>
        <w:rPr>
          <w:b/>
          <w:bCs/>
        </w:rPr>
        <w:t xml:space="preserve">Critically stale (red):</w:t>
      </w:r>
      <w:r>
        <w:rPr>
          <w:b w:val="false"/>
          <w:bCs w:val="false"/>
        </w:rPr>
        <w:t xml:space="preserve"> over 30 minutes. Hero number is replaced by the last value in a muted treatment with an explicit “open the Dexcom app” prompt. The trend arrow and the forecast are both hidden, because both are meaningless on stale data.</w:t>
      </w:r>
    </w:p>
    <w:p>
      <w:pPr>
        <w:pBdr>
          <w:left w:val="single" w:color="BFD3E6" w:sz="12" w:space="8"/>
        </w:pBdr>
        <w:spacing w:after="160" w:line="260"/>
        <w:ind w:left="180"/>
      </w:pPr>
      <w:r>
        <w:rPr>
          <w:b w:val="false"/>
          <w:bCs w:val="false"/>
          <w:i/>
          <w:iCs/>
          <w:color w:val="595959"/>
          <w:sz w:val="20"/>
          <w:szCs w:val="20"/>
        </w:rPr>
        <w:t xml:space="preserve">Changed in v1.2: thresholds moved from 10/20 minutes to 12/30. Hiding the forecast and arrow in the critically-stale state is new — v1.1 would have continued extrapolating from an old reading.</w:t>
      </w:r>
    </w:p>
    <w:p>
      <w:pPr>
        <w:spacing w:after="120" w:line="276"/>
      </w:pPr>
      <w:r>
        <w:rPr>
          <w:b w:val="false"/>
          <w:bCs w:val="false"/>
        </w:rPr>
        <w:t xml:space="preserve">An always-visible disclaimer appears on the Settings screen, and the critically-stale state repeats it inline.</w:t>
      </w:r>
    </w:p>
    <w:p>
      <w:pPr>
        <w:pStyle w:val="Heading2"/>
        <w:spacing w:after="140" w:before="280"/>
      </w:pPr>
      <w:r>
        <w:rPr>
          <w:b w:val="false"/>
          <w:bCs w:val="false"/>
        </w:rPr>
        <w:t xml:space="preserve">1.4 Regulatory &amp; Distribution Boundary</w:t>
      </w:r>
    </w:p>
    <w:p>
      <w:pPr>
        <w:pBdr>
          <w:left w:val="single" w:color="BFD3E6" w:sz="12" w:space="8"/>
        </w:pBdr>
        <w:spacing w:after="160" w:line="260"/>
        <w:ind w:left="180"/>
      </w:pPr>
      <w:r>
        <w:rPr>
          <w:b w:val="false"/>
          <w:bCs w:val="false"/>
          <w:i/>
          <w:iCs/>
          <w:color w:val="595959"/>
          <w:sz w:val="20"/>
          <w:szCs w:val="20"/>
        </w:rPr>
        <w:t xml:space="preserve">New in v1.2.</w:t>
      </w:r>
    </w:p>
    <w:p>
      <w:pPr>
        <w:spacing w:after="120" w:line="276"/>
      </w:pPr>
      <w:r>
        <w:rPr>
          <w:b w:val="false"/>
          <w:bCs w:val="false"/>
        </w:rPr>
        <w:t xml:space="preserve">v1.1 asserted that the app is not a medical device. That is correct as long as the boundary is understood to be </w:t>
      </w:r>
      <w:r>
        <w:rPr>
          <w:b/>
          <w:bCs/>
        </w:rPr>
        <w:t xml:space="preserve">distribution</w:t>
      </w:r>
      <w:r>
        <w:rPr>
          <w:b w:val="false"/>
          <w:bCs w:val="false"/>
        </w:rPr>
        <w:t xml:space="preserve">, not intent.</w:t>
      </w:r>
    </w:p>
    <w:p>
      <w:pPr>
        <w:pStyle w:val="ListParagraph"/>
        <w:numPr>
          <w:ilvl w:val="0"/>
          <w:numId w:val="2"/>
        </w:numPr>
        <w:spacing w:after="80" w:line="276"/>
      </w:pPr>
      <w:r>
        <w:rPr>
          <w:b/>
          <w:bCs/>
        </w:rPr>
        <w:t xml:space="preserve">Personal use.</w:t>
      </w:r>
      <w:r>
        <w:rPr>
          <w:b w:val="false"/>
          <w:bCs w:val="false"/>
        </w:rPr>
        <w:t xml:space="preserve"> An application built by an individual, signed with their own account, and installed only on their own devices is not a regulated medical device and not subject to FDA premarket requirements. This is the intended and permanent operating mode for GlucoNoir.</w:t>
      </w:r>
    </w:p>
    <w:p>
      <w:pPr>
        <w:pStyle w:val="ListParagraph"/>
        <w:numPr>
          <w:ilvl w:val="0"/>
          <w:numId w:val="2"/>
        </w:numPr>
        <w:spacing w:after="80" w:line="276"/>
      </w:pPr>
      <w:r>
        <w:rPr>
          <w:b/>
          <w:bCs/>
        </w:rPr>
        <w:t xml:space="preserve">The line.</w:t>
      </w:r>
      <w:r>
        <w:rPr>
          <w:b w:val="false"/>
          <w:bCs w:val="false"/>
        </w:rPr>
        <w:t xml:space="preserve"> Distributing the app to even one other person changes the analysis. Displaying CGM data for someone else is secondary display of CGM output, a category the FDA does regulate (Dexcom's own Follow app is separately cleared). App Review Guideline 1.4.1 additionally covers apps that could cause physical harm through inaccurate data.</w:t>
      </w:r>
    </w:p>
    <w:p>
      <w:pPr>
        <w:pStyle w:val="ListParagraph"/>
        <w:numPr>
          <w:ilvl w:val="0"/>
          <w:numId w:val="2"/>
        </w:numPr>
        <w:spacing w:after="80" w:line="276"/>
      </w:pPr>
      <w:r>
        <w:rPr>
          <w:b/>
          <w:bCs/>
        </w:rPr>
        <w:t xml:space="preserve">Terms of service.</w:t>
      </w:r>
      <w:r>
        <w:rPr>
          <w:b w:val="false"/>
          <w:bCs w:val="false"/>
        </w:rPr>
        <w:t xml:space="preserve"> Changed in v1.3. v1 uses no Dexcom API — the app reads the sensor's own Bluetooth broadcasts and Apple Health, so the Share terms-of-service question does not arise unless the optional §4.2.4 fallback is built. Reading a device you own over BLE occupies a different and considerably more comfortable position than authenticating against an undocumented server API. The same distribution line still applies.</w:t>
      </w:r>
    </w:p>
    <w:p>
      <w:pPr>
        <w:pStyle w:val="ListParagraph"/>
        <w:numPr>
          <w:ilvl w:val="0"/>
          <w:numId w:val="2"/>
        </w:numPr>
        <w:spacing w:after="80" w:line="276"/>
      </w:pPr>
      <w:r>
        <w:rPr>
          <w:b/>
          <w:bCs/>
        </w:rPr>
        <w:t xml:space="preserve">Practical consequence.</w:t>
      </w:r>
      <w:r>
        <w:rPr>
          <w:b w:val="false"/>
          <w:bCs w:val="false"/>
        </w:rPr>
        <w:t xml:space="preserve"> GlucoNoir is installed via personal-team signing or a personal TestFlight build with no external testers. No public TestFlight link, no App Store submission, no sharing of the build.</w:t>
      </w:r>
    </w:p>
    <w:p>
      <w:pPr>
        <w:spacing w:after="100" w:before="180"/>
      </w:pPr>
      <w:r>
        <w:rPr>
          <w:b/>
          <w:bCs/>
          <w:color w:val="1F4D78"/>
        </w:rPr>
        <w:t xml:space="preserve">Why not the official Dexcom Developer API?</w:t>
      </w:r>
    </w:p>
    <w:p>
      <w:pPr>
        <w:spacing w:after="120" w:line="276"/>
      </w:pPr>
      <w:r>
        <w:rPr>
          <w:b w:val="false"/>
          <w:bCs w:val="false"/>
        </w:rPr>
        <w:t xml:space="preserve">This is the first question any future reader will ask. The official Dexcom Developer API (developer.dexcom.com) is documented, supported, and sanctioned — and unusable here, because its data is delivered on a multi-hour delay by design. It is built for retrospective analytics, not live display. The unofficial Share endpoints are the only sanctioned-adjacent path to sub-10-minute data, which is precisely why the Nightscout and xDrip communities settled on them. This is a deliberate, informed trade, not an oversight.</w:t>
      </w:r>
    </w:p>
    <w:p>
      <w:pPr>
        <w:pStyle w:val="Heading1"/>
        <w:spacing w:after="160" w:before="360"/>
      </w:pPr>
      <w:r>
        <w:rPr>
          <w:b w:val="false"/>
          <w:bCs w:val="false"/>
        </w:rPr>
        <w:t xml:space="preserve">2. User &amp; Use Cases</w:t>
      </w:r>
    </w:p>
    <w:p>
      <w:pPr>
        <w:pStyle w:val="Heading2"/>
        <w:spacing w:after="140" w:before="280"/>
      </w:pPr>
      <w:r>
        <w:rPr>
          <w:b w:val="false"/>
          <w:bCs w:val="false"/>
        </w:rPr>
        <w:t xml:space="preserve">2.1 Target User</w:t>
      </w:r>
    </w:p>
    <w:p>
      <w:pPr>
        <w:spacing w:after="120" w:line="276"/>
      </w:pPr>
      <w:r>
        <w:rPr>
          <w:b w:val="false"/>
          <w:bCs w:val="false"/>
        </w:rPr>
        <w:t xml:space="preserve">A single primary user: an adult with Type 1 Diabetes who wears a Dexcom G7, manages insulin manually (MDI or pump, not a closed-loop system this app integrates with), and is comfortable with iOS. Technical sophistication is high enough to build and side-load an app from Xcode, and to re-sign it weekly under free provisioning (§6.1).</w:t>
      </w:r>
    </w:p>
    <w:p>
      <w:pPr>
        <w:spacing w:after="120" w:line="276"/>
      </w:pPr>
      <w:r>
        <w:rPr>
          <w:b w:val="false"/>
          <w:bCs w:val="false"/>
        </w:rPr>
        <w:t xml:space="preserve">The user keeps the official Dexcom G7 app installed and running. This is not optional: it owns sensor pairing, and it owns the alarms (§1.3, §3.1.1).</w:t>
      </w:r>
    </w:p>
    <w:p>
      <w:pPr>
        <w:spacing w:after="120" w:line="276"/>
      </w:pPr>
      <w:r>
        <w:rPr>
          <w:b/>
          <w:bCs/>
        </w:rPr>
        <w:t xml:space="preserve">This user runs Dexcom Direct to Watch and owns no receiver</w:t>
      </w:r>
      <w:r>
        <w:rPr>
          <w:b w:val="false"/>
          <w:bCs w:val="false"/>
        </w:rPr>
        <w:t xml:space="preserve">, which is what makes the third Bluetooth channel available to GlucoNoir (§3.1.1).</w:t>
      </w:r>
    </w:p>
    <w:p>
      <w:pPr>
        <w:pBdr>
          <w:left w:val="single" w:color="BFD3E6" w:sz="12" w:space="8"/>
        </w:pBdr>
        <w:spacing w:after="160" w:line="260"/>
        <w:ind w:left="180"/>
      </w:pPr>
      <w:r>
        <w:rPr>
          <w:b w:val="false"/>
          <w:bCs w:val="false"/>
          <w:i/>
          <w:iCs/>
          <w:color w:val="595959"/>
          <w:sz w:val="20"/>
          <w:szCs w:val="20"/>
        </w:rPr>
        <w:t xml:space="preserve">Changed in v1.3: v1.1 defined the target user as someone maintaining a Share follower account, which v1.2 corrected to optional. With BLE primary, Share is not part of v1 at all, so the requirement is gone entirely. The real requirements are now the official app and a spare Bluetooth channel.</w:t>
      </w:r>
    </w:p>
    <w:p>
      <w:pPr>
        <w:pStyle w:val="Heading2"/>
        <w:spacing w:after="140" w:before="280"/>
      </w:pPr>
      <w:r>
        <w:rPr>
          <w:b w:val="false"/>
          <w:bCs w:val="false"/>
        </w:rPr>
        <w:t xml:space="preserve">2.2 Primary Use Cases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2600"/>
        <w:gridCol w:w="1700"/>
        <w:gridCol w:w="5060"/>
      </w:tblGrid>
      <w:tr>
        <w:trPr>
          <w:tblHeader/>
        </w:trPr>
        <w:tc>
          <w:tcPr>
            <w:tcW w:type="dxa" w:w="2600"/>
            <w:shd w:fill="DEEAF6" w:color="auto" w:val="clear"/>
            <w:tcMar>
              <w:top w:type="dxa" w:w="60"/>
              <w:left w:type="dxa" w:w="100"/>
              <w:bottom w:type="dxa" w:w="60"/>
              <w:right w:type="dxa" w:w="100"/>
            </w:tcMar>
          </w:tcPr>
          <w:p>
            <w:pPr>
              <w:spacing w:after="0" w:line="250"/>
            </w:pPr>
            <w:r>
              <w:rPr>
                <w:b/>
                <w:bCs/>
                <w:sz w:val="20"/>
                <w:szCs w:val="20"/>
              </w:rPr>
              <w:t xml:space="preserve">Use Case</w:t>
            </w:r>
          </w:p>
        </w:tc>
        <w:tc>
          <w:tcPr>
            <w:tcW w:type="dxa" w:w="1700"/>
            <w:shd w:fill="DEEAF6" w:color="auto" w:val="clear"/>
            <w:tcMar>
              <w:top w:type="dxa" w:w="60"/>
              <w:left w:type="dxa" w:w="100"/>
              <w:bottom w:type="dxa" w:w="60"/>
              <w:right w:type="dxa" w:w="100"/>
            </w:tcMar>
          </w:tcPr>
          <w:p>
            <w:pPr>
              <w:spacing w:after="0" w:line="250"/>
            </w:pPr>
            <w:r>
              <w:rPr>
                <w:b/>
                <w:bCs/>
                <w:sz w:val="20"/>
                <w:szCs w:val="20"/>
              </w:rPr>
              <w:t xml:space="preserve">Frequency</w:t>
            </w:r>
          </w:p>
        </w:tc>
        <w:tc>
          <w:tcPr>
            <w:tcW w:type="dxa" w:w="5060"/>
            <w:shd w:fill="DEEAF6" w:color="auto" w:val="clear"/>
            <w:tcMar>
              <w:top w:type="dxa" w:w="60"/>
              <w:left w:type="dxa" w:w="100"/>
              <w:bottom w:type="dxa" w:w="60"/>
              <w:right w:type="dxa" w:w="100"/>
            </w:tcMar>
          </w:tcPr>
          <w:p>
            <w:pPr>
              <w:spacing w:after="0" w:line="250"/>
            </w:pPr>
            <w:r>
              <w:rPr>
                <w:b/>
                <w:bCs/>
                <w:sz w:val="20"/>
                <w:szCs w:val="20"/>
              </w:rPr>
              <w:t xml:space="preserve">Example</w:t>
            </w:r>
          </w:p>
        </w:tc>
      </w:tr>
      <w:tr>
        <w:tc>
          <w:tcPr>
            <w:tcW w:type="dxa" w:w="2600"/>
            <w:tcMar>
              <w:top w:type="dxa" w:w="60"/>
              <w:left w:type="dxa" w:w="100"/>
              <w:bottom w:type="dxa" w:w="60"/>
              <w:right w:type="dxa" w:w="100"/>
            </w:tcMar>
          </w:tcPr>
          <w:p>
            <w:pPr>
              <w:spacing w:after="0" w:line="250"/>
            </w:pPr>
            <w:r>
              <w:rPr>
                <w:b w:val="false"/>
                <w:bCs w:val="false"/>
                <w:sz w:val="20"/>
                <w:szCs w:val="20"/>
              </w:rPr>
              <w:t xml:space="preserve">Glance at current glucose without opening an app</w:t>
            </w:r>
          </w:p>
        </w:tc>
        <w:tc>
          <w:tcPr>
            <w:tcW w:type="dxa" w:w="1700"/>
            <w:tcMar>
              <w:top w:type="dxa" w:w="60"/>
              <w:left w:type="dxa" w:w="100"/>
              <w:bottom w:type="dxa" w:w="60"/>
              <w:right w:type="dxa" w:w="100"/>
            </w:tcMar>
          </w:tcPr>
          <w:p>
            <w:pPr>
              <w:spacing w:after="0" w:line="250"/>
            </w:pPr>
            <w:r>
              <w:rPr>
                <w:b w:val="false"/>
                <w:bCs w:val="false"/>
                <w:sz w:val="20"/>
                <w:szCs w:val="20"/>
              </w:rPr>
              <w:t xml:space="preserve">20 to 50 times per day</w:t>
            </w:r>
          </w:p>
        </w:tc>
        <w:tc>
          <w:tcPr>
            <w:tcW w:type="dxa" w:w="5060"/>
            <w:tcMar>
              <w:top w:type="dxa" w:w="60"/>
              <w:left w:type="dxa" w:w="100"/>
              <w:bottom w:type="dxa" w:w="60"/>
              <w:right w:type="dxa" w:w="100"/>
            </w:tcMar>
          </w:tcPr>
          <w:p>
            <w:pPr>
              <w:spacing w:after="0" w:line="250"/>
            </w:pPr>
            <w:r>
              <w:rPr>
                <w:b w:val="false"/>
                <w:bCs w:val="false"/>
                <w:sz w:val="20"/>
                <w:szCs w:val="20"/>
              </w:rPr>
              <w:t xml:space="preserve">Lock Screen, Dynamic Island, or wrist. The dominant case; §3.2.4 exists to serve it.</w:t>
            </w:r>
          </w:p>
        </w:tc>
      </w:tr>
      <w:tr>
        <w:tc>
          <w:tcPr>
            <w:tcW w:type="dxa" w:w="2600"/>
            <w:shd w:fill="F5F8FC" w:color="auto" w:val="clear"/>
            <w:tcMar>
              <w:top w:type="dxa" w:w="60"/>
              <w:left w:type="dxa" w:w="100"/>
              <w:bottom w:type="dxa" w:w="60"/>
              <w:right w:type="dxa" w:w="100"/>
            </w:tcMar>
          </w:tcPr>
          <w:p>
            <w:pPr>
              <w:spacing w:after="0" w:line="250"/>
            </w:pPr>
            <w:r>
              <w:rPr>
                <w:b w:val="false"/>
                <w:bCs w:val="false"/>
                <w:sz w:val="20"/>
                <w:szCs w:val="20"/>
              </w:rPr>
              <w:t xml:space="preserve">Open the app for a considered look</w:t>
            </w:r>
          </w:p>
        </w:tc>
        <w:tc>
          <w:tcPr>
            <w:tcW w:type="dxa" w:w="1700"/>
            <w:shd w:fill="F5F8FC" w:color="auto" w:val="clear"/>
            <w:tcMar>
              <w:top w:type="dxa" w:w="60"/>
              <w:left w:type="dxa" w:w="100"/>
              <w:bottom w:type="dxa" w:w="60"/>
              <w:right w:type="dxa" w:w="100"/>
            </w:tcMar>
          </w:tcPr>
          <w:p>
            <w:pPr>
              <w:spacing w:after="0" w:line="250"/>
            </w:pPr>
            <w:r>
              <w:rPr>
                <w:b w:val="false"/>
                <w:bCs w:val="false"/>
                <w:sz w:val="20"/>
                <w:szCs w:val="20"/>
              </w:rPr>
              <w:t xml:space="preserve">5 to 10 times per day</w:t>
            </w:r>
          </w:p>
        </w:tc>
        <w:tc>
          <w:tcPr>
            <w:tcW w:type="dxa" w:w="5060"/>
            <w:shd w:fill="F5F8FC" w:color="auto" w:val="clear"/>
            <w:tcMar>
              <w:top w:type="dxa" w:w="60"/>
              <w:left w:type="dxa" w:w="100"/>
              <w:bottom w:type="dxa" w:w="60"/>
              <w:right w:type="dxa" w:w="100"/>
            </w:tcMar>
          </w:tcPr>
          <w:p>
            <w:pPr>
              <w:spacing w:after="0" w:line="250"/>
            </w:pPr>
            <w:r>
              <w:rPr>
                <w:b w:val="false"/>
                <w:bCs w:val="false"/>
                <w:sz w:val="20"/>
                <w:szCs w:val="20"/>
              </w:rPr>
              <w:t xml:space="preserve">Wake up, open phone, see number and 3h curve without retina shock.</w:t>
            </w:r>
          </w:p>
        </w:tc>
      </w:tr>
      <w:tr>
        <w:tc>
          <w:tcPr>
            <w:tcW w:type="dxa" w:w="2600"/>
            <w:tcMar>
              <w:top w:type="dxa" w:w="60"/>
              <w:left w:type="dxa" w:w="100"/>
              <w:bottom w:type="dxa" w:w="60"/>
              <w:right w:type="dxa" w:w="100"/>
            </w:tcMar>
          </w:tcPr>
          <w:p>
            <w:pPr>
              <w:spacing w:after="0" w:line="250"/>
            </w:pPr>
            <w:r>
              <w:rPr>
                <w:b w:val="false"/>
                <w:bCs w:val="false"/>
                <w:sz w:val="20"/>
                <w:szCs w:val="20"/>
              </w:rPr>
              <w:t xml:space="preserve">Check trajectory before activity</w:t>
            </w:r>
          </w:p>
        </w:tc>
        <w:tc>
          <w:tcPr>
            <w:tcW w:type="dxa" w:w="1700"/>
            <w:tcMar>
              <w:top w:type="dxa" w:w="60"/>
              <w:left w:type="dxa" w:w="100"/>
              <w:bottom w:type="dxa" w:w="60"/>
              <w:right w:type="dxa" w:w="100"/>
            </w:tcMar>
          </w:tcPr>
          <w:p>
            <w:pPr>
              <w:spacing w:after="0" w:line="250"/>
            </w:pPr>
            <w:r>
              <w:rPr>
                <w:b w:val="false"/>
                <w:bCs w:val="false"/>
                <w:sz w:val="20"/>
                <w:szCs w:val="20"/>
              </w:rPr>
              <w:t xml:space="preserve">3 to 8 times per day</w:t>
            </w:r>
          </w:p>
        </w:tc>
        <w:tc>
          <w:tcPr>
            <w:tcW w:type="dxa" w:w="5060"/>
            <w:tcMar>
              <w:top w:type="dxa" w:w="60"/>
              <w:left w:type="dxa" w:w="100"/>
              <w:bottom w:type="dxa" w:w="60"/>
              <w:right w:type="dxa" w:w="100"/>
            </w:tcMar>
          </w:tcPr>
          <w:p>
            <w:pPr>
              <w:spacing w:after="0" w:line="250"/>
            </w:pPr>
            <w:r>
              <w:rPr>
                <w:b w:val="false"/>
                <w:bCs w:val="false"/>
                <w:sz w:val="20"/>
                <w:szCs w:val="20"/>
              </w:rPr>
              <w:t xml:space="preserve">Before meals, exercise, driving, sleeping.</w:t>
            </w:r>
          </w:p>
        </w:tc>
      </w:tr>
      <w:tr>
        <w:tc>
          <w:tcPr>
            <w:tcW w:type="dxa" w:w="2600"/>
            <w:shd w:fill="F5F8FC" w:color="auto" w:val="clear"/>
            <w:tcMar>
              <w:top w:type="dxa" w:w="60"/>
              <w:left w:type="dxa" w:w="100"/>
              <w:bottom w:type="dxa" w:w="60"/>
              <w:right w:type="dxa" w:w="100"/>
            </w:tcMar>
          </w:tcPr>
          <w:p>
            <w:pPr>
              <w:spacing w:after="0" w:line="250"/>
            </w:pPr>
            <w:r>
              <w:rPr>
                <w:b w:val="false"/>
                <w:bCs w:val="false"/>
                <w:sz w:val="20"/>
                <w:szCs w:val="20"/>
              </w:rPr>
              <w:t xml:space="preserve">Log a meal with carb estimate</w:t>
            </w:r>
          </w:p>
        </w:tc>
        <w:tc>
          <w:tcPr>
            <w:tcW w:type="dxa" w:w="1700"/>
            <w:shd w:fill="F5F8FC" w:color="auto" w:val="clear"/>
            <w:tcMar>
              <w:top w:type="dxa" w:w="60"/>
              <w:left w:type="dxa" w:w="100"/>
              <w:bottom w:type="dxa" w:w="60"/>
              <w:right w:type="dxa" w:w="100"/>
            </w:tcMar>
          </w:tcPr>
          <w:p>
            <w:pPr>
              <w:spacing w:after="0" w:line="250"/>
            </w:pPr>
            <w:r>
              <w:rPr>
                <w:b w:val="false"/>
                <w:bCs w:val="false"/>
                <w:sz w:val="20"/>
                <w:szCs w:val="20"/>
              </w:rPr>
              <w:t xml:space="preserve">3 to 5 times per day</w:t>
            </w:r>
          </w:p>
        </w:tc>
        <w:tc>
          <w:tcPr>
            <w:tcW w:type="dxa" w:w="5060"/>
            <w:shd w:fill="F5F8FC" w:color="auto" w:val="clear"/>
            <w:tcMar>
              <w:top w:type="dxa" w:w="60"/>
              <w:left w:type="dxa" w:w="100"/>
              <w:bottom w:type="dxa" w:w="60"/>
              <w:right w:type="dxa" w:w="100"/>
            </w:tcMar>
          </w:tcPr>
          <w:p>
            <w:pPr>
              <w:spacing w:after="0" w:line="250"/>
            </w:pPr>
            <w:r>
              <w:rPr>
                <w:b w:val="false"/>
                <w:bCs w:val="false"/>
                <w:sz w:val="20"/>
                <w:szCs w:val="20"/>
              </w:rPr>
              <w:t xml:space="preserve">Snap photo, enter carbs, mark insulin dose.</w:t>
            </w:r>
          </w:p>
        </w:tc>
      </w:tr>
      <w:tr>
        <w:tc>
          <w:tcPr>
            <w:tcW w:type="dxa" w:w="2600"/>
            <w:tcMar>
              <w:top w:type="dxa" w:w="60"/>
              <w:left w:type="dxa" w:w="100"/>
              <w:bottom w:type="dxa" w:w="60"/>
              <w:right w:type="dxa" w:w="100"/>
            </w:tcMar>
          </w:tcPr>
          <w:p>
            <w:pPr>
              <w:spacing w:after="0" w:line="250"/>
            </w:pPr>
            <w:r>
              <w:rPr>
                <w:b w:val="false"/>
                <w:bCs w:val="false"/>
                <w:sz w:val="20"/>
                <w:szCs w:val="20"/>
              </w:rPr>
              <w:t xml:space="preserve">Log an insulin dose</w:t>
            </w:r>
          </w:p>
        </w:tc>
        <w:tc>
          <w:tcPr>
            <w:tcW w:type="dxa" w:w="1700"/>
            <w:tcMar>
              <w:top w:type="dxa" w:w="60"/>
              <w:left w:type="dxa" w:w="100"/>
              <w:bottom w:type="dxa" w:w="60"/>
              <w:right w:type="dxa" w:w="100"/>
            </w:tcMar>
          </w:tcPr>
          <w:p>
            <w:pPr>
              <w:spacing w:after="0" w:line="250"/>
            </w:pPr>
            <w:r>
              <w:rPr>
                <w:b w:val="false"/>
                <w:bCs w:val="false"/>
                <w:sz w:val="20"/>
                <w:szCs w:val="20"/>
              </w:rPr>
              <w:t xml:space="preserve">4 to 8 times per day</w:t>
            </w:r>
          </w:p>
        </w:tc>
        <w:tc>
          <w:tcPr>
            <w:tcW w:type="dxa" w:w="5060"/>
            <w:tcMar>
              <w:top w:type="dxa" w:w="60"/>
              <w:left w:type="dxa" w:w="100"/>
              <w:bottom w:type="dxa" w:w="60"/>
              <w:right w:type="dxa" w:w="100"/>
            </w:tcMar>
          </w:tcPr>
          <w:p>
            <w:pPr>
              <w:spacing w:after="0" w:line="250"/>
            </w:pPr>
            <w:r>
              <w:rPr>
                <w:b w:val="false"/>
                <w:bCs w:val="false"/>
                <w:sz w:val="20"/>
                <w:szCs w:val="20"/>
              </w:rPr>
              <w:t xml:space="preserve">Bolus or correction, tied to a timestamp.</w:t>
            </w:r>
          </w:p>
        </w:tc>
      </w:tr>
      <w:tr>
        <w:tc>
          <w:tcPr>
            <w:tcW w:type="dxa" w:w="2600"/>
            <w:shd w:fill="F5F8FC" w:color="auto" w:val="clear"/>
            <w:tcMar>
              <w:top w:type="dxa" w:w="60"/>
              <w:left w:type="dxa" w:w="100"/>
              <w:bottom w:type="dxa" w:w="60"/>
              <w:right w:type="dxa" w:w="100"/>
            </w:tcMar>
          </w:tcPr>
          <w:p>
            <w:pPr>
              <w:spacing w:after="0" w:line="250"/>
            </w:pPr>
            <w:r>
              <w:rPr>
                <w:b w:val="false"/>
                <w:bCs w:val="false"/>
                <w:sz w:val="20"/>
                <w:szCs w:val="20"/>
              </w:rPr>
              <w:t xml:space="preserve">Log exercise</w:t>
            </w:r>
          </w:p>
        </w:tc>
        <w:tc>
          <w:tcPr>
            <w:tcW w:type="dxa" w:w="1700"/>
            <w:shd w:fill="F5F8FC" w:color="auto" w:val="clear"/>
            <w:tcMar>
              <w:top w:type="dxa" w:w="60"/>
              <w:left w:type="dxa" w:w="100"/>
              <w:bottom w:type="dxa" w:w="60"/>
              <w:right w:type="dxa" w:w="100"/>
            </w:tcMar>
          </w:tcPr>
          <w:p>
            <w:pPr>
              <w:spacing w:after="0" w:line="250"/>
            </w:pPr>
            <w:r>
              <w:rPr>
                <w:b w:val="false"/>
                <w:bCs w:val="false"/>
                <w:sz w:val="20"/>
                <w:szCs w:val="20"/>
              </w:rPr>
              <w:t xml:space="preserve">0 to 2 times per day</w:t>
            </w:r>
          </w:p>
        </w:tc>
        <w:tc>
          <w:tcPr>
            <w:tcW w:type="dxa" w:w="5060"/>
            <w:shd w:fill="F5F8FC" w:color="auto" w:val="clear"/>
            <w:tcMar>
              <w:top w:type="dxa" w:w="60"/>
              <w:left w:type="dxa" w:w="100"/>
              <w:bottom w:type="dxa" w:w="60"/>
              <w:right w:type="dxa" w:w="100"/>
            </w:tcMar>
          </w:tcPr>
          <w:p>
            <w:pPr>
              <w:spacing w:after="0" w:line="250"/>
            </w:pPr>
            <w:r>
              <w:rPr>
                <w:b w:val="false"/>
                <w:bCs w:val="false"/>
                <w:sz w:val="20"/>
                <w:szCs w:val="20"/>
              </w:rPr>
              <w:t xml:space="preserve">Type, duration, intensity. Auto-suggested from HealthKit workouts.</w:t>
            </w:r>
          </w:p>
        </w:tc>
      </w:tr>
      <w:tr>
        <w:tc>
          <w:tcPr>
            <w:tcW w:type="dxa" w:w="2600"/>
            <w:tcMar>
              <w:top w:type="dxa" w:w="60"/>
              <w:left w:type="dxa" w:w="100"/>
              <w:bottom w:type="dxa" w:w="60"/>
              <w:right w:type="dxa" w:w="100"/>
            </w:tcMar>
          </w:tcPr>
          <w:p>
            <w:pPr>
              <w:spacing w:after="0" w:line="250"/>
            </w:pPr>
            <w:r>
              <w:rPr>
                <w:b w:val="false"/>
                <w:bCs w:val="false"/>
                <w:sz w:val="20"/>
                <w:szCs w:val="20"/>
              </w:rPr>
              <w:t xml:space="preserve">Review last 24h pattern</w:t>
            </w:r>
          </w:p>
        </w:tc>
        <w:tc>
          <w:tcPr>
            <w:tcW w:type="dxa" w:w="1700"/>
            <w:tcMar>
              <w:top w:type="dxa" w:w="60"/>
              <w:left w:type="dxa" w:w="100"/>
              <w:bottom w:type="dxa" w:w="60"/>
              <w:right w:type="dxa" w:w="100"/>
            </w:tcMar>
          </w:tcPr>
          <w:p>
            <w:pPr>
              <w:spacing w:after="0" w:line="250"/>
            </w:pPr>
            <w:r>
              <w:rPr>
                <w:b w:val="false"/>
                <w:bCs w:val="false"/>
                <w:sz w:val="20"/>
                <w:szCs w:val="20"/>
              </w:rPr>
              <w:t xml:space="preserve">1 to 2 times per day</w:t>
            </w:r>
          </w:p>
        </w:tc>
        <w:tc>
          <w:tcPr>
            <w:tcW w:type="dxa" w:w="5060"/>
            <w:tcMar>
              <w:top w:type="dxa" w:w="60"/>
              <w:left w:type="dxa" w:w="100"/>
              <w:bottom w:type="dxa" w:w="60"/>
              <w:right w:type="dxa" w:w="100"/>
            </w:tcMar>
          </w:tcPr>
          <w:p>
            <w:pPr>
              <w:spacing w:after="0" w:line="250"/>
            </w:pPr>
            <w:r>
              <w:rPr>
                <w:b w:val="false"/>
                <w:bCs w:val="false"/>
                <w:sz w:val="20"/>
                <w:szCs w:val="20"/>
              </w:rPr>
              <w:t xml:space="preserve">Identify spikes, post-meal curves, overnight trends.</w:t>
            </w:r>
          </w:p>
        </w:tc>
      </w:tr>
      <w:tr>
        <w:tc>
          <w:tcPr>
            <w:tcW w:type="dxa" w:w="2600"/>
            <w:shd w:fill="F5F8FC" w:color="auto" w:val="clear"/>
            <w:tcMar>
              <w:top w:type="dxa" w:w="60"/>
              <w:left w:type="dxa" w:w="100"/>
              <w:bottom w:type="dxa" w:w="60"/>
              <w:right w:type="dxa" w:w="100"/>
            </w:tcMar>
          </w:tcPr>
          <w:p>
            <w:pPr>
              <w:spacing w:after="0" w:line="250"/>
            </w:pPr>
            <w:r>
              <w:rPr>
                <w:b w:val="false"/>
                <w:bCs w:val="false"/>
                <w:sz w:val="20"/>
                <w:szCs w:val="20"/>
              </w:rPr>
              <w:t xml:space="preserve">Check a repeated meal's history</w:t>
            </w:r>
          </w:p>
        </w:tc>
        <w:tc>
          <w:tcPr>
            <w:tcW w:type="dxa" w:w="1700"/>
            <w:shd w:fill="F5F8FC" w:color="auto" w:val="clear"/>
            <w:tcMar>
              <w:top w:type="dxa" w:w="60"/>
              <w:left w:type="dxa" w:w="100"/>
              <w:bottom w:type="dxa" w:w="60"/>
              <w:right w:type="dxa" w:w="100"/>
            </w:tcMar>
          </w:tcPr>
          <w:p>
            <w:pPr>
              <w:spacing w:after="0" w:line="250"/>
            </w:pPr>
            <w:r>
              <w:rPr>
                <w:b w:val="false"/>
                <w:bCs w:val="false"/>
                <w:sz w:val="20"/>
                <w:szCs w:val="20"/>
              </w:rPr>
              <w:t xml:space="preserve">1 to 3 times per day</w:t>
            </w:r>
          </w:p>
        </w:tc>
        <w:tc>
          <w:tcPr>
            <w:tcW w:type="dxa" w:w="5060"/>
            <w:shd w:fill="F5F8FC" w:color="auto" w:val="clear"/>
            <w:tcMar>
              <w:top w:type="dxa" w:w="60"/>
              <w:left w:type="dxa" w:w="100"/>
              <w:bottom w:type="dxa" w:w="60"/>
              <w:right w:type="dxa" w:w="100"/>
            </w:tcMar>
          </w:tcPr>
          <w:p>
            <w:pPr>
              <w:spacing w:after="0" w:line="250"/>
            </w:pPr>
            <w:r>
              <w:rPr>
                <w:b w:val="false"/>
                <w:bCs w:val="false"/>
                <w:sz w:val="20"/>
                <w:szCs w:val="20"/>
              </w:rPr>
              <w:t xml:space="preserve">“What did this do to me last four times?” before dosing.</w:t>
            </w:r>
          </w:p>
        </w:tc>
      </w:tr>
      <w:tr>
        <w:tc>
          <w:tcPr>
            <w:tcW w:type="dxa" w:w="2600"/>
            <w:tcMar>
              <w:top w:type="dxa" w:w="60"/>
              <w:left w:type="dxa" w:w="100"/>
              <w:bottom w:type="dxa" w:w="60"/>
              <w:right w:type="dxa" w:w="100"/>
            </w:tcMar>
          </w:tcPr>
          <w:p>
            <w:pPr>
              <w:spacing w:after="0" w:line="250"/>
            </w:pPr>
            <w:r>
              <w:rPr>
                <w:b w:val="false"/>
                <w:bCs w:val="false"/>
                <w:sz w:val="20"/>
                <w:szCs w:val="20"/>
              </w:rPr>
              <w:t xml:space="preserve">Review last 14 or 30 days</w:t>
            </w:r>
          </w:p>
        </w:tc>
        <w:tc>
          <w:tcPr>
            <w:tcW w:type="dxa" w:w="1700"/>
            <w:tcMar>
              <w:top w:type="dxa" w:w="60"/>
              <w:left w:type="dxa" w:w="100"/>
              <w:bottom w:type="dxa" w:w="60"/>
              <w:right w:type="dxa" w:w="100"/>
            </w:tcMar>
          </w:tcPr>
          <w:p>
            <w:pPr>
              <w:spacing w:after="0" w:line="250"/>
            </w:pPr>
            <w:r>
              <w:rPr>
                <w:b w:val="false"/>
                <w:bCs w:val="false"/>
                <w:sz w:val="20"/>
                <w:szCs w:val="20"/>
              </w:rPr>
              <w:t xml:space="preserve">1 to 2 times per week</w:t>
            </w:r>
          </w:p>
        </w:tc>
        <w:tc>
          <w:tcPr>
            <w:tcW w:type="dxa" w:w="5060"/>
            <w:tcMar>
              <w:top w:type="dxa" w:w="60"/>
              <w:left w:type="dxa" w:w="100"/>
              <w:bottom w:type="dxa" w:w="60"/>
              <w:right w:type="dxa" w:w="100"/>
            </w:tcMar>
          </w:tcPr>
          <w:p>
            <w:pPr>
              <w:spacing w:after="0" w:line="250"/>
            </w:pPr>
            <w:r>
              <w:rPr>
                <w:b w:val="false"/>
                <w:bCs w:val="false"/>
                <w:sz w:val="20"/>
                <w:szCs w:val="20"/>
              </w:rPr>
              <w:t xml:space="preserve">Time-in-range, average, GMI, CV for self-review.</w:t>
            </w:r>
          </w:p>
        </w:tc>
      </w:tr>
      <w:tr>
        <w:tc>
          <w:tcPr>
            <w:tcW w:type="dxa" w:w="2600"/>
            <w:shd w:fill="F5F8FC" w:color="auto" w:val="clear"/>
            <w:tcMar>
              <w:top w:type="dxa" w:w="60"/>
              <w:left w:type="dxa" w:w="100"/>
              <w:bottom w:type="dxa" w:w="60"/>
              <w:right w:type="dxa" w:w="100"/>
            </w:tcMar>
          </w:tcPr>
          <w:p>
            <w:pPr>
              <w:spacing w:after="0" w:line="250"/>
            </w:pPr>
            <w:r>
              <w:rPr>
                <w:b w:val="false"/>
                <w:bCs w:val="false"/>
                <w:sz w:val="20"/>
                <w:szCs w:val="20"/>
              </w:rPr>
              <w:t xml:space="preserve">Export for endo visit</w:t>
            </w:r>
          </w:p>
        </w:tc>
        <w:tc>
          <w:tcPr>
            <w:tcW w:type="dxa" w:w="1700"/>
            <w:shd w:fill="F5F8FC" w:color="auto" w:val="clear"/>
            <w:tcMar>
              <w:top w:type="dxa" w:w="60"/>
              <w:left w:type="dxa" w:w="100"/>
              <w:bottom w:type="dxa" w:w="60"/>
              <w:right w:type="dxa" w:w="100"/>
            </w:tcMar>
          </w:tcPr>
          <w:p>
            <w:pPr>
              <w:spacing w:after="0" w:line="250"/>
            </w:pPr>
            <w:r>
              <w:rPr>
                <w:b w:val="false"/>
                <w:bCs w:val="false"/>
                <w:sz w:val="20"/>
                <w:szCs w:val="20"/>
              </w:rPr>
              <w:t xml:space="preserve">Every 3 months</w:t>
            </w:r>
          </w:p>
        </w:tc>
        <w:tc>
          <w:tcPr>
            <w:tcW w:type="dxa" w:w="5060"/>
            <w:shd w:fill="F5F8FC" w:color="auto" w:val="clear"/>
            <w:tcMar>
              <w:top w:type="dxa" w:w="60"/>
              <w:left w:type="dxa" w:w="100"/>
              <w:bottom w:type="dxa" w:w="60"/>
              <w:right w:type="dxa" w:w="100"/>
            </w:tcMar>
          </w:tcPr>
          <w:p>
            <w:pPr>
              <w:spacing w:after="0" w:line="250"/>
            </w:pPr>
            <w:r>
              <w:rPr>
                <w:b w:val="false"/>
                <w:bCs w:val="false"/>
                <w:sz w:val="20"/>
                <w:szCs w:val="20"/>
              </w:rPr>
              <w:t xml:space="preserve">PDF formatted as an AGP-style report, plus flagged patterns.</w:t>
            </w:r>
          </w:p>
        </w:tc>
      </w:tr>
    </w:tbl>
    <w:p>
      <w:pPr>
        <w:pBdr>
          <w:left w:val="single" w:color="BFD3E6" w:sz="12" w:space="8"/>
        </w:pBdr>
        <w:spacing w:after="160" w:line="260"/>
        <w:ind w:left="180"/>
      </w:pPr>
      <w:r>
        <w:rPr>
          <w:b w:val="false"/>
          <w:bCs w:val="false"/>
          <w:i/>
          <w:iCs/>
          <w:color w:val="595959"/>
          <w:sz w:val="20"/>
          <w:szCs w:val="20"/>
        </w:rPr>
        <w:t xml:space="preserve">Changed in v1.2: the top row is new. v1.1 counted 20–50 daily app opens; in practice a glanceable surface absorbs most of those, and the roadmap should reflect where the volume actually is.</w:t>
      </w:r>
    </w:p>
    <w:p>
      <w:pPr>
        <w:pStyle w:val="Heading1"/>
        <w:spacing w:after="160" w:before="360"/>
      </w:pPr>
      <w:r>
        <w:rPr>
          <w:b w:val="false"/>
          <w:bCs w:val="false"/>
        </w:rPr>
        <w:t xml:space="preserve">3. Feature Specification</w:t>
      </w:r>
    </w:p>
    <w:p>
      <w:pPr>
        <w:spacing w:after="120" w:line="276"/>
      </w:pPr>
      <w:r>
        <w:rPr>
          <w:b w:val="false"/>
          <w:bCs w:val="false"/>
        </w:rPr>
        <w:t xml:space="preserve">Features are grouped by release phase. v1 is the minimum useful product. v2 adds the differentiating logging, prediction, and glanceable features. v3 is polish and stretch.</w:t>
      </w:r>
    </w:p>
    <w:p>
      <w:pPr>
        <w:pStyle w:val="Heading2"/>
        <w:spacing w:after="140" w:before="280"/>
      </w:pPr>
      <w:r>
        <w:rPr>
          <w:b w:val="false"/>
          <w:bCs w:val="false"/>
        </w:rPr>
        <w:t xml:space="preserve">3.1 v1 — Minimum Viable App</w:t>
      </w:r>
    </w:p>
    <w:p>
      <w:pPr>
        <w:pStyle w:val="Heading3"/>
        <w:spacing w:after="120" w:before="220"/>
      </w:pPr>
      <w:r>
        <w:rPr>
          <w:b w:val="false"/>
          <w:bCs w:val="false"/>
        </w:rPr>
        <w:t xml:space="preserve">3.1.1 Data Source Integration</w:t>
      </w:r>
    </w:p>
    <w:p>
      <w:pPr>
        <w:spacing w:after="120" w:line="276"/>
      </w:pPr>
      <w:r>
        <w:rPr>
          <w:b w:val="false"/>
          <w:bCs w:val="false"/>
        </w:rPr>
        <w:t xml:space="preserve">Two sources. Only the first is live.</w:t>
      </w:r>
    </w:p>
    <w:p>
      <w:pPr>
        <w:spacing w:after="100" w:before="180"/>
      </w:pPr>
      <w:r>
        <w:rPr>
          <w:b/>
          <w:bCs/>
          <w:color w:val="1F4D78"/>
        </w:rPr>
        <w:t xml:space="preserve">Source A — Dexcom Share (primary, live)</w:t>
      </w:r>
    </w:p>
    <w:p>
      <w:pPr>
        <w:pStyle w:val="ListParagraph"/>
        <w:numPr>
          <w:ilvl w:val="0"/>
          <w:numId w:val="2"/>
        </w:numPr>
        <w:spacing w:after="80" w:line="276"/>
      </w:pPr>
      <w:r>
        <w:rPr>
          <w:b/>
          <w:bCs/>
        </w:rPr>
        <w:t xml:space="preserve">Role:</w:t>
      </w:r>
      <w:r>
        <w:rPr>
          <w:b w:val="false"/>
          <w:bCs w:val="false"/>
        </w:rPr>
        <w:t xml:space="preserve"> the live source. Polls Dexcom's cloud for readings the official app has uploaded.</w:t>
      </w:r>
    </w:p>
    <w:p>
      <w:pPr>
        <w:pStyle w:val="ListParagraph"/>
        <w:numPr>
          <w:ilvl w:val="0"/>
          <w:numId w:val="2"/>
        </w:numPr>
        <w:spacing w:after="80" w:line="276"/>
      </w:pPr>
      <w:r>
        <w:rPr>
          <w:b/>
          <w:bCs/>
        </w:rPr>
        <w:t xml:space="preserve">Credentials:</w:t>
      </w:r>
      <w:r>
        <w:rPr>
          <w:b w:val="false"/>
          <w:bCs w:val="false"/>
        </w:rPr>
        <w:t xml:space="preserve"> the </w:t>
      </w:r>
      <w:r>
        <w:rPr>
          <w:b/>
          <w:bCs/>
        </w:rPr>
        <w:t xml:space="preserve">account holder's own</w:t>
      </w:r>
      <w:r>
        <w:rPr>
          <w:b w:val="false"/>
          <w:bCs w:val="false"/>
        </w:rPr>
        <w:t xml:space="preserve"> Dexcom username and password — never a follower's. A follower must merely *exist* for Dexcom to enable the Share service. Stored in the iOS Keychain (§6.2) and nowhere else.</w:t>
      </w:r>
    </w:p>
    <w:p>
      <w:pPr>
        <w:pStyle w:val="ListParagraph"/>
        <w:numPr>
          <w:ilvl w:val="0"/>
          <w:numId w:val="2"/>
        </w:numPr>
        <w:spacing w:after="80" w:line="276"/>
      </w:pPr>
      <w:r>
        <w:rPr>
          <w:b/>
          <w:bCs/>
        </w:rPr>
        <w:t xml:space="preserve">Region:</w:t>
      </w:r>
      <w:r>
        <w:rPr>
          <w:b w:val="false"/>
          <w:bCs w:val="false"/>
        </w:rPr>
        <w:t xml:space="preserve"> US (</w:t>
      </w:r>
      <w:r>
        <w:rPr>
          <w:rFonts w:ascii="Consolas" w:cs="Consolas" w:eastAsia="Consolas" w:hAnsi="Consolas"/>
          <w:b w:val="false"/>
          <w:bCs w:val="false"/>
          <w:sz w:val="19"/>
          <w:szCs w:val="19"/>
        </w:rPr>
        <w:t xml:space="preserve">share2.dexcom.com</w:t>
      </w:r>
      <w:r>
        <w:rPr>
          <w:b w:val="false"/>
          <w:bCs w:val="false"/>
        </w:rPr>
        <w:t xml:space="preserve">), Outside US (</w:t>
      </w:r>
      <w:r>
        <w:rPr>
          <w:rFonts w:ascii="Consolas" w:cs="Consolas" w:eastAsia="Consolas" w:hAnsi="Consolas"/>
          <w:b w:val="false"/>
          <w:bCs w:val="false"/>
          <w:sz w:val="19"/>
          <w:szCs w:val="19"/>
        </w:rPr>
        <w:t xml:space="preserve">shareous1.dexcom.com</w:t>
      </w:r>
      <w:r>
        <w:rPr>
          <w:b w:val="false"/>
          <w:bCs w:val="false"/>
        </w:rPr>
        <w:t xml:space="preserve">), or Japan (</w:t>
      </w:r>
      <w:r>
        <w:rPr>
          <w:rFonts w:ascii="Consolas" w:cs="Consolas" w:eastAsia="Consolas" w:hAnsi="Consolas"/>
          <w:b w:val="false"/>
          <w:bCs w:val="false"/>
          <w:sz w:val="19"/>
          <w:szCs w:val="19"/>
        </w:rPr>
        <w:t xml:space="preserve">share.dexcom.jp</w:t>
      </w:r>
      <w:r>
        <w:rPr>
          <w:b w:val="false"/>
          <w:bCs w:val="false"/>
        </w:rPr>
        <w:t xml:space="preserve">), each with its own </w:t>
      </w:r>
      <w:r>
        <w:rPr>
          <w:rFonts w:ascii="Consolas" w:cs="Consolas" w:eastAsia="Consolas" w:hAnsi="Consolas"/>
          <w:b w:val="false"/>
          <w:bCs w:val="false"/>
          <w:sz w:val="19"/>
          <w:szCs w:val="19"/>
        </w:rPr>
        <w:t xml:space="preserve">applicationId</w:t>
      </w:r>
      <w:r>
        <w:rPr>
          <w:b w:val="false"/>
          <w:bCs w:val="false"/>
        </w:rPr>
        <w:t xml:space="preserve"> constant (§4.2.3).</w:t>
      </w:r>
    </w:p>
    <w:p>
      <w:pPr>
        <w:pStyle w:val="ListParagraph"/>
        <w:numPr>
          <w:ilvl w:val="0"/>
          <w:numId w:val="2"/>
        </w:numPr>
        <w:spacing w:after="80" w:line="276"/>
      </w:pPr>
      <w:r>
        <w:rPr>
          <w:b/>
          <w:bCs/>
        </w:rPr>
        <w:t xml:space="preserve">Polling cadence:</w:t>
      </w:r>
      <w:r>
        <w:rPr>
          <w:b w:val="false"/>
          <w:bCs w:val="false"/>
        </w:rPr>
        <w:t xml:space="preserve"> anchored to the sensor's own 5-minute rhythm rather than a blind interval. After a reading timestamped T, the next poll is scheduled for T + 5min + 25s. An immediate poll also fires whenever the app becomes active, so opening the app always fetches rather than showing a cached value.</w:t>
      </w:r>
    </w:p>
    <w:p>
      <w:pPr>
        <w:pStyle w:val="ListParagraph"/>
        <w:numPr>
          <w:ilvl w:val="0"/>
          <w:numId w:val="2"/>
        </w:numPr>
        <w:spacing w:after="80" w:line="276"/>
      </w:pPr>
      <w:r>
        <w:rPr>
          <w:b/>
          <w:bCs/>
        </w:rPr>
        <w:t xml:space="preserve">Failure handling:</w:t>
      </w:r>
      <w:r>
        <w:rPr>
          <w:b w:val="false"/>
          <w:bCs w:val="false"/>
        </w:rPr>
        <w:t xml:space="preserve"> authentication failures are </w:t>
      </w:r>
      <w:r>
        <w:rPr>
          <w:b/>
          <w:bCs/>
        </w:rPr>
        <w:t xml:space="preserve">terminal</w:t>
      </w:r>
      <w:r>
        <w:rPr>
          <w:b w:val="false"/>
          <w:bCs w:val="false"/>
        </w:rPr>
        <w:t xml:space="preserve"> — polling stops and the user is prompted. Only session expiry, network errors, and 5xx responses are retried, with 30s/60s/120s/300s backoff. Retrying a rejected password is what locks the Dexcom account, and that account is the official app's too (§4.2.3).</w:t>
      </w:r>
    </w:p>
    <w:p>
      <w:pPr>
        <w:spacing w:after="100" w:before="180"/>
      </w:pPr>
      <w:r>
        <w:rPr>
          <w:b/>
          <w:bCs/>
          <w:color w:val="1F4D78"/>
        </w:rPr>
        <w:t xml:space="preserve">Source B — Apple HealthKit (historical backfill only)</w:t>
      </w:r>
    </w:p>
    <w:p>
      <w:pPr>
        <w:pStyle w:val="ListParagraph"/>
        <w:numPr>
          <w:ilvl w:val="0"/>
          <w:numId w:val="2"/>
        </w:numPr>
        <w:spacing w:after="80" w:line="276"/>
      </w:pPr>
      <w:r>
        <w:rPr>
          <w:b/>
          <w:bCs/>
        </w:rPr>
        <w:t xml:space="preserve">Dexcom writes to Apple Health on a documented three-hour delay.</w:t>
      </w:r>
      <w:r>
        <w:rPr>
          <w:b w:val="false"/>
          <w:bCs w:val="false"/>
        </w:rPr>
        <w:t xml:space="preserve"> Never used for a displayed current value, and structurally barred from being selected as one.</w:t>
      </w:r>
    </w:p>
    <w:p>
      <w:pPr>
        <w:pStyle w:val="ListParagraph"/>
        <w:numPr>
          <w:ilvl w:val="0"/>
          <w:numId w:val="2"/>
        </w:numPr>
        <w:spacing w:after="80" w:line="276"/>
      </w:pPr>
      <w:r>
        <w:rPr>
          <w:b/>
          <w:bCs/>
        </w:rPr>
        <w:t xml:space="preserve">Role:</w:t>
      </w:r>
      <w:r>
        <w:rPr>
          <w:b w:val="false"/>
          <w:bCs w:val="false"/>
        </w:rPr>
        <w:t xml:space="preserve"> populate the historical store with up to 90 days on first launch, plus a daily top-up, so the app is immediately useful rather than accumulating history from zero.</w:t>
      </w:r>
    </w:p>
    <w:p>
      <w:pPr>
        <w:pStyle w:val="ListParagraph"/>
        <w:numPr>
          <w:ilvl w:val="0"/>
          <w:numId w:val="2"/>
        </w:numPr>
        <w:spacing w:after="80" w:line="276"/>
      </w:pPr>
      <w:r>
        <w:rPr>
          <w:b/>
          <w:bCs/>
        </w:rPr>
        <w:t xml:space="preserve">Optional context reads</w:t>
      </w:r>
      <w:r>
        <w:rPr>
          <w:b w:val="false"/>
          <w:bCs w:val="false"/>
        </w:rPr>
        <w:t xml:space="preserve">, all degrading gracefully if denied: </w:t>
      </w:r>
      <w:r>
        <w:rPr>
          <w:rFonts w:ascii="Consolas" w:cs="Consolas" w:eastAsia="Consolas" w:hAnsi="Consolas"/>
          <w:b w:val="false"/>
          <w:bCs w:val="false"/>
          <w:sz w:val="19"/>
          <w:szCs w:val="19"/>
        </w:rPr>
        <w:t xml:space="preserve">sleepAnalysis</w:t>
      </w:r>
      <w:r>
        <w:rPr>
          <w:b w:val="false"/>
          <w:bCs w:val="false"/>
        </w:rPr>
        <w:t xml:space="preserve"> to segment overnight statistics; </w:t>
      </w:r>
      <w:r>
        <w:rPr>
          <w:rFonts w:ascii="Consolas" w:cs="Consolas" w:eastAsia="Consolas" w:hAnsi="Consolas"/>
          <w:b w:val="false"/>
          <w:bCs w:val="false"/>
          <w:sz w:val="19"/>
          <w:szCs w:val="19"/>
        </w:rPr>
        <w:t xml:space="preserve">workoutType</w:t>
      </w:r>
      <w:r>
        <w:rPr>
          <w:b w:val="false"/>
          <w:bCs w:val="false"/>
        </w:rPr>
        <w:t xml:space="preserve"> and </w:t>
      </w:r>
      <w:r>
        <w:rPr>
          <w:rFonts w:ascii="Consolas" w:cs="Consolas" w:eastAsia="Consolas" w:hAnsi="Consolas"/>
          <w:b w:val="false"/>
          <w:bCs w:val="false"/>
          <w:sz w:val="19"/>
          <w:szCs w:val="19"/>
        </w:rPr>
        <w:t xml:space="preserve">stepCount</w:t>
      </w:r>
      <w:r>
        <w:rPr>
          <w:b w:val="false"/>
          <w:bCs w:val="false"/>
        </w:rPr>
        <w:t xml:space="preserve"> to auto-suggest exercise entries; </w:t>
      </w:r>
      <w:r>
        <w:rPr>
          <w:rFonts w:ascii="Consolas" w:cs="Consolas" w:eastAsia="Consolas" w:hAnsi="Consolas"/>
          <w:b w:val="false"/>
          <w:bCs w:val="false"/>
          <w:sz w:val="19"/>
          <w:szCs w:val="19"/>
        </w:rPr>
        <w:t xml:space="preserve">dietaryCarbohydrates</w:t>
      </w:r>
      <w:r>
        <w:rPr>
          <w:b w:val="false"/>
          <w:bCs w:val="false"/>
        </w:rPr>
        <w:t xml:space="preserve"> and </w:t>
      </w:r>
      <w:r>
        <w:rPr>
          <w:rFonts w:ascii="Consolas" w:cs="Consolas" w:eastAsia="Consolas" w:hAnsi="Consolas"/>
          <w:b w:val="false"/>
          <w:bCs w:val="false"/>
          <w:sz w:val="19"/>
          <w:szCs w:val="19"/>
        </w:rPr>
        <w:t xml:space="preserve">insulinDelivery</w:t>
      </w:r>
      <w:r>
        <w:rPr>
          <w:b w:val="false"/>
          <w:bCs w:val="false"/>
        </w:rPr>
        <w:t xml:space="preserve"> to import events logged elsewhere.</w:t>
      </w:r>
    </w:p>
    <w:p>
      <w:pPr>
        <w:spacing w:after="100" w:before="180"/>
      </w:pPr>
      <w:r>
        <w:rPr>
          <w:b/>
          <w:bCs/>
          <w:color w:val="1F4D78"/>
        </w:rPr>
        <w:t xml:space="preserve">Ruled out — Direct Bluetooth</w:t>
      </w:r>
    </w:p>
    <w:p>
      <w:pPr>
        <w:pBdr>
          <w:left w:val="single" w:color="BFD3E6" w:sz="12" w:space="8"/>
        </w:pBdr>
        <w:spacing w:after="160" w:line="260"/>
        <w:ind w:left="180"/>
      </w:pPr>
      <w:r>
        <w:rPr>
          <w:b w:val="false"/>
          <w:bCs w:val="false"/>
          <w:i/>
          <w:iCs/>
          <w:color w:val="595959"/>
          <w:sz w:val="20"/>
          <w:szCs w:val="20"/>
        </w:rPr>
        <w:t xml:space="preserve">Tested and rejected in v1.4. Retained here so the decision is not revisited without new evidence.</w:t>
      </w:r>
    </w:p>
    <w:p>
      <w:pPr>
        <w:spacing w:after="120" w:line="276"/>
      </w:pPr>
      <w:r>
        <w:rPr>
          <w:b w:val="false"/>
          <w:bCs w:val="false"/>
        </w:rPr>
        <w:t xml:space="preserve">Reading the G7 directly over BLE was v1.3's primary architecture. It was implemented and tested against the real sensor. It does not work while the official Dexcom app is installed, and the official app cannot be removed.</w:t>
      </w:r>
    </w:p>
    <w:p>
      <w:pPr>
        <w:pStyle w:val="ListParagraph"/>
        <w:numPr>
          <w:ilvl w:val="0"/>
          <w:numId w:val="2"/>
        </w:numPr>
        <w:spacing w:after="80" w:line="276"/>
      </w:pPr>
      <w:r>
        <w:rPr>
          <w:b/>
          <w:bCs/>
        </w:rPr>
        <w:t xml:space="preserve">What was observed:</w:t>
      </w:r>
      <w:r>
        <w:rPr>
          <w:b w:val="false"/>
          <w:bCs w:val="false"/>
        </w:rPr>
        <w:t xml:space="preserve"> the client discovered the sensor, connected reliably every 5 minutes, enumerated the CGM service, and subscribed to all four notifiable characteristics with every subscription confirmed by CoreBluetooth. Across repeated connection windows it received </w:t>
      </w:r>
      <w:r>
        <w:rPr>
          <w:b/>
          <w:bCs/>
        </w:rPr>
        <w:t xml:space="preserve">zero bytes on any characteristic</w:t>
      </w:r>
      <w:r>
        <w:rPr>
          <w:b w:val="false"/>
          <w:bCs w:val="false"/>
        </w:rPr>
        <w:t xml:space="preserve">. Each session lasted almost exactly 10.2 seconds before the sensor disconnected.</w:t>
      </w:r>
    </w:p>
    <w:p>
      <w:pPr>
        <w:pStyle w:val="ListParagraph"/>
        <w:numPr>
          <w:ilvl w:val="0"/>
          <w:numId w:val="2"/>
        </w:numPr>
        <w:spacing w:after="80" w:line="276"/>
      </w:pPr>
      <w:r>
        <w:rPr>
          <w:b/>
          <w:bCs/>
        </w:rPr>
        <w:t xml:space="preserve">What was excluded:</w:t>
      </w:r>
      <w:r>
        <w:rPr>
          <w:b w:val="false"/>
          <w:bCs w:val="false"/>
        </w:rPr>
        <w:t xml:space="preserve"> signal strength (−87 dBm, healthy); Bluetooth channel exhaustion (freeing the watch channel changed nothing); subscription failure (confirmed active by the system); and wrong-characteristic routing (all were monitored, and the sensor's characteristic set was logged).</w:t>
      </w:r>
    </w:p>
    <w:p>
      <w:pPr>
        <w:pStyle w:val="ListParagraph"/>
        <w:numPr>
          <w:ilvl w:val="0"/>
          <w:numId w:val="2"/>
        </w:numPr>
        <w:spacing w:after="80" w:line="276"/>
      </w:pPr>
      <w:r>
        <w:rPr>
          <w:b/>
          <w:bCs/>
        </w:rPr>
        <w:t xml:space="preserve">Conclusion:</w:t>
      </w:r>
      <w:r>
        <w:rPr>
          <w:b w:val="false"/>
          <w:bCs w:val="false"/>
        </w:rPr>
        <w:t xml:space="preserve"> the G7 permits one collecting application per sensor. That application is the official Dexcom app, which cannot be displaced because it owns pairing and the alarms.</w:t>
      </w:r>
    </w:p>
    <w:p>
      <w:pPr>
        <w:pStyle w:val="ListParagraph"/>
        <w:numPr>
          <w:ilvl w:val="0"/>
          <w:numId w:val="2"/>
        </w:numPr>
        <w:spacing w:after="80" w:line="276"/>
      </w:pPr>
      <w:r>
        <w:rPr>
          <w:b/>
          <w:bCs/>
        </w:rPr>
        <w:t xml:space="preserve">What would change this:</w:t>
      </w:r>
      <w:r>
        <w:rPr>
          <w:b w:val="false"/>
          <w:bCs w:val="false"/>
        </w:rPr>
        <w:t xml:space="preserve"> a sensor firmware revision, or a G7SensorKit update demonstrating coexistence on current firmware. The sensor tested exposed an undocumented characteristic (</w:t>
      </w:r>
      <w:r>
        <w:rPr>
          <w:rFonts w:ascii="Consolas" w:cs="Consolas" w:eastAsia="Consolas" w:hAnsi="Consolas"/>
          <w:b w:val="false"/>
          <w:bCs w:val="false"/>
          <w:sz w:val="19"/>
          <w:szCs w:val="19"/>
        </w:rPr>
        <w:t xml:space="preserve">F8083538</w:t>
      </w:r>
      <w:r>
        <w:rPr>
          <w:b w:val="false"/>
          <w:bCs w:val="false"/>
        </w:rPr>
        <w:t xml:space="preserve">) and lacked one G7SensorKit expects (</w:t>
      </w:r>
      <w:r>
        <w:rPr>
          <w:rFonts w:ascii="Consolas" w:cs="Consolas" w:eastAsia="Consolas" w:hAnsi="Consolas"/>
          <w:b w:val="false"/>
          <w:bCs w:val="false"/>
          <w:sz w:val="19"/>
          <w:szCs w:val="19"/>
        </w:rPr>
        <w:t xml:space="preserve">F8083533</w:t>
      </w:r>
      <w:r>
        <w:rPr>
          <w:b w:val="false"/>
          <w:bCs w:val="false"/>
        </w:rPr>
        <w:t xml:space="preserve">), suggesting its firmware has moved beyond what the community implementation targets.</w:t>
      </w:r>
    </w:p>
    <w:p>
      <w:pPr>
        <w:spacing w:after="100" w:before="180"/>
      </w:pPr>
      <w:r>
        <w:rPr>
          <w:b/>
          <w:bCs/>
          <w:color w:val="1F4D78"/>
        </w:rPr>
        <w:t xml:space="preserve">Source coordinator</w:t>
      </w:r>
    </w:p>
    <w:p>
      <w:pPr>
        <w:pStyle w:val="ListParagraph"/>
        <w:numPr>
          <w:ilvl w:val="0"/>
          <w:numId w:val="2"/>
        </w:numPr>
        <w:spacing w:after="80" w:line="276"/>
      </w:pPr>
      <w:r>
        <w:rPr>
          <w:b w:val="false"/>
          <w:bCs w:val="false"/>
        </w:rPr>
        <w:t xml:space="preserve">A single coordinator receives readings from active sources and emits a unified stream.</w:t>
      </w:r>
    </w:p>
    <w:p>
      <w:pPr>
        <w:pStyle w:val="ListParagraph"/>
        <w:numPr>
          <w:ilvl w:val="0"/>
          <w:numId w:val="2"/>
        </w:numPr>
        <w:spacing w:after="80" w:line="276"/>
      </w:pPr>
      <w:r>
        <w:rPr>
          <w:b/>
          <w:bCs/>
        </w:rPr>
        <w:t xml:space="preserve">Deduplication and persistence</w:t>
      </w:r>
      <w:r>
        <w:rPr>
          <w:b w:val="false"/>
          <w:bCs w:val="false"/>
        </w:rPr>
        <w:t xml:space="preserve"> are keyed on sensor sample time, upserted rather than inserted, because HealthKit backfill routinely re-delivers readings Share already captured.</w:t>
      </w:r>
    </w:p>
    <w:p>
      <w:pPr>
        <w:pStyle w:val="ListParagraph"/>
        <w:numPr>
          <w:ilvl w:val="0"/>
          <w:numId w:val="2"/>
        </w:numPr>
        <w:spacing w:after="80" w:line="276"/>
      </w:pPr>
      <w:r>
        <w:rPr>
          <w:b/>
          <w:bCs/>
        </w:rPr>
        <w:t xml:space="preserve">Live-source rule:</w:t>
      </w:r>
      <w:r>
        <w:rPr>
          <w:b w:val="false"/>
          <w:bCs w:val="false"/>
        </w:rPr>
        <w:t xml:space="preserve"> only Share may supply the displayed current value. HealthKit readings are historical by definition and excluded from that selection regardless of timestamp.</w:t>
      </w:r>
    </w:p>
    <w:p>
      <w:pPr>
        <w:pStyle w:val="ListParagraph"/>
        <w:numPr>
          <w:ilvl w:val="0"/>
          <w:numId w:val="2"/>
        </w:numPr>
        <w:spacing w:after="80" w:line="276"/>
      </w:pPr>
      <w:r>
        <w:rPr>
          <w:b/>
          <w:bCs/>
        </w:rPr>
        <w:t xml:space="preserve">Units:</w:t>
      </w:r>
      <w:r>
        <w:rPr>
          <w:b w:val="false"/>
          <w:bCs w:val="false"/>
        </w:rPr>
        <w:t xml:space="preserve"> stored canonically as integer mg/dL; conversion happens at display time only, so switching units is lossless (§3.1.6).</w:t>
      </w:r>
    </w:p>
    <w:p>
      <w:pPr>
        <w:pStyle w:val="Heading3"/>
        <w:spacing w:after="120" w:before="220"/>
      </w:pPr>
      <w:r>
        <w:rPr>
          <w:b w:val="false"/>
          <w:bCs w:val="false"/>
        </w:rPr>
        <w:t xml:space="preserve">3.1.2 Current Reading Screen</w:t>
      </w:r>
    </w:p>
    <w:p>
      <w:pPr>
        <w:pStyle w:val="ListParagraph"/>
        <w:numPr>
          <w:ilvl w:val="0"/>
          <w:numId w:val="2"/>
        </w:numPr>
        <w:spacing w:after="80" w:line="276"/>
      </w:pPr>
      <w:r>
        <w:rPr>
          <w:b/>
          <w:bCs/>
        </w:rPr>
        <w:t xml:space="preserve">Hero number:</w:t>
      </w:r>
      <w:r>
        <w:rPr>
          <w:b w:val="false"/>
          <w:bCs w:val="false"/>
        </w:rPr>
        <w:t xml:space="preserve"> large, high-contrast glucose value, colour-coded by range (in-range, low, high, urgent).</w:t>
      </w:r>
    </w:p>
    <w:p>
      <w:pPr>
        <w:pStyle w:val="ListParagraph"/>
        <w:numPr>
          <w:ilvl w:val="0"/>
          <w:numId w:val="2"/>
        </w:numPr>
        <w:spacing w:after="80" w:line="276"/>
      </w:pPr>
      <w:r>
        <w:rPr>
          <w:b/>
          <w:bCs/>
        </w:rPr>
        <w:t xml:space="preserve">Out-of-range values:</w:t>
      </w:r>
      <w:r>
        <w:rPr>
          <w:b w:val="false"/>
          <w:bCs w:val="false"/>
        </w:rPr>
        <w:t xml:space="preserve"> the G7 reports only 40–400 mg/dL, confirmed against G7SensorKit's </w:t>
      </w:r>
      <w:r>
        <w:rPr>
          <w:rFonts w:ascii="Consolas" w:cs="Consolas" w:eastAsia="Consolas" w:hAnsi="Consolas"/>
          <w:b w:val="false"/>
          <w:bCs w:val="false"/>
          <w:sz w:val="19"/>
          <w:szCs w:val="19"/>
        </w:rPr>
        <w:t xml:space="preserve">GlucoseLimits</w:t>
      </w:r>
      <w:r>
        <w:rPr>
          <w:b w:val="false"/>
          <w:bCs w:val="false"/>
        </w:rPr>
        <w:t xml:space="preserve">. Values at the rails render as </w:t>
      </w:r>
      <w:r>
        <w:rPr>
          <w:b/>
          <w:bCs/>
        </w:rPr>
        <w:t xml:space="preserve">LOW</w:t>
      </w:r>
      <w:r>
        <w:rPr>
          <w:b w:val="false"/>
          <w:bCs w:val="false"/>
        </w:rPr>
        <w:t xml:space="preserve"> and </w:t>
      </w:r>
      <w:r>
        <w:rPr>
          <w:b/>
          <w:bCs/>
        </w:rPr>
        <w:t xml:space="preserve">HIGH</w:t>
      </w:r>
      <w:r>
        <w:rPr>
          <w:b w:val="false"/>
          <w:bCs w:val="false"/>
        </w:rPr>
        <w:t xml:space="preserve">, never as the numbers 40 and 400, which would present an unknown value as a measured one.</w:t>
      </w:r>
    </w:p>
    <w:p>
      <w:pPr>
        <w:pStyle w:val="ListParagraph"/>
        <w:numPr>
          <w:ilvl w:val="0"/>
          <w:numId w:val="2"/>
        </w:numPr>
        <w:spacing w:after="80" w:line="276"/>
      </w:pPr>
      <w:r>
        <w:rPr>
          <w:b/>
          <w:bCs/>
        </w:rPr>
        <w:t xml:space="preserve">Trend arrow:</w:t>
      </w:r>
      <w:r>
        <w:rPr>
          <w:b w:val="false"/>
          <w:bCs w:val="false"/>
        </w:rPr>
        <w:t xml:space="preserve"> taken directly from the sensor's reported rate of change (§4.2.7). When the sensor reports no trend, no arrow is drawn — a flat arrow is not the same statement as “unknown”.</w:t>
      </w:r>
    </w:p>
    <w:p>
      <w:pPr>
        <w:pStyle w:val="ListParagraph"/>
        <w:numPr>
          <w:ilvl w:val="0"/>
          <w:numId w:val="2"/>
        </w:numPr>
        <w:spacing w:after="80" w:line="276"/>
      </w:pPr>
      <w:r>
        <w:rPr>
          <w:b/>
          <w:bCs/>
        </w:rPr>
        <w:t xml:space="preserve">Freshness:</w:t>
      </w:r>
      <w:r>
        <w:rPr>
          <w:b w:val="false"/>
          <w:bCs w:val="false"/>
        </w:rPr>
        <w:t xml:space="preserve"> rendered from the reading's measured </w:t>
      </w:r>
      <w:r>
        <w:rPr>
          <w:rFonts w:ascii="Consolas" w:cs="Consolas" w:eastAsia="Consolas" w:hAnsi="Consolas"/>
          <w:b w:val="false"/>
          <w:bCs w:val="false"/>
          <w:sz w:val="19"/>
          <w:szCs w:val="19"/>
        </w:rPr>
        <w:t xml:space="preserve">age</w:t>
      </w:r>
      <w:r>
        <w:rPr>
          <w:b w:val="false"/>
          <w:bCs w:val="false"/>
        </w:rPr>
        <w:t xml:space="preserve">, not from arrival time. Amber at &gt;7 min, red at &gt;20 min (§3.1.3).</w:t>
      </w:r>
    </w:p>
    <w:p>
      <w:pPr>
        <w:pStyle w:val="ListParagraph"/>
        <w:numPr>
          <w:ilvl w:val="0"/>
          <w:numId w:val="2"/>
        </w:numPr>
        <w:spacing w:after="80" w:line="276"/>
      </w:pPr>
      <w:r>
        <w:rPr>
          <w:b/>
          <w:bCs/>
        </w:rPr>
        <w:t xml:space="preserve">Connection state:</w:t>
      </w:r>
      <w:r>
        <w:rPr>
          <w:b w:val="false"/>
          <w:bCs w:val="false"/>
        </w:rPr>
        <w:t xml:space="preserve"> a small, low-contrast indicator for the BLE link — connected, reconnecting, or unavailable. Deliberately quiet: reconnection is routine and must not read as an emergency.</w:t>
      </w:r>
    </w:p>
    <w:p>
      <w:pPr>
        <w:pStyle w:val="ListParagraph"/>
        <w:numPr>
          <w:ilvl w:val="0"/>
          <w:numId w:val="2"/>
        </w:numPr>
        <w:spacing w:after="80" w:line="276"/>
      </w:pPr>
      <w:r>
        <w:rPr>
          <w:b/>
          <w:bCs/>
        </w:rPr>
        <w:t xml:space="preserve">Sensor state banner:</w:t>
      </w:r>
      <w:r>
        <w:rPr>
          <w:b w:val="false"/>
          <w:bCs w:val="false"/>
        </w:rPr>
        <w:t xml:space="preserve"> surfaces warmup, temporary issue, failure, and session end as distinct states (§3.1.3), so a routine 30-minute warmup does not present as a broken app.</w:t>
      </w:r>
    </w:p>
    <w:p>
      <w:pPr>
        <w:pStyle w:val="ListParagraph"/>
        <w:numPr>
          <w:ilvl w:val="0"/>
          <w:numId w:val="2"/>
        </w:numPr>
        <w:spacing w:after="80" w:line="276"/>
      </w:pPr>
      <w:r>
        <w:rPr>
          <w:b/>
          <w:bCs/>
        </w:rPr>
        <w:t xml:space="preserve">Delta:</w:t>
      </w:r>
      <w:r>
        <w:rPr>
          <w:b w:val="false"/>
          <w:bCs w:val="false"/>
        </w:rPr>
        <w:t xml:space="preserve"> change from the previous reading and from 15 minutes ago. Suppressed when the intervening data has gaps.</w:t>
      </w:r>
    </w:p>
    <w:p>
      <w:pPr>
        <w:pStyle w:val="ListParagraph"/>
        <w:numPr>
          <w:ilvl w:val="0"/>
          <w:numId w:val="2"/>
        </w:numPr>
        <w:spacing w:after="80" w:line="276"/>
      </w:pPr>
      <w:r>
        <w:rPr>
          <w:b/>
          <w:bCs/>
        </w:rPr>
        <w:t xml:space="preserve">3h chart:</w:t>
      </w:r>
      <w:r>
        <w:rPr>
          <w:b w:val="false"/>
          <w:bCs w:val="false"/>
        </w:rPr>
        <w:t xml:space="preserve"> compact line chart of the last 3 hours with the target range band.</w:t>
      </w:r>
    </w:p>
    <w:p>
      <w:pPr>
        <w:pStyle w:val="Heading3"/>
        <w:spacing w:after="120" w:before="220"/>
      </w:pPr>
      <w:r>
        <w:rPr>
          <w:b w:val="false"/>
          <w:bCs w:val="false"/>
        </w:rPr>
        <w:t xml:space="preserve">3.1.3 Data States &amp; Staleness</w:t>
      </w:r>
    </w:p>
    <w:p>
      <w:pPr>
        <w:pBdr>
          <w:left w:val="single" w:color="BFD3E6" w:sz="12" w:space="8"/>
        </w:pBdr>
        <w:spacing w:after="160" w:line="260"/>
        <w:ind w:left="180"/>
      </w:pPr>
      <w:r>
        <w:rPr>
          <w:b w:val="false"/>
          <w:bCs w:val="false"/>
          <w:i/>
          <w:iCs/>
          <w:color w:val="595959"/>
          <w:sz w:val="20"/>
          <w:szCs w:val="20"/>
        </w:rPr>
        <w:t xml:space="preserve">Rewritten in v1.4. v1.3 modelled sensor lifecycle on the </w:t>
      </w:r>
      <w:r>
        <w:rPr>
          <w:rFonts w:ascii="Consolas" w:cs="Consolas" w:eastAsia="Consolas" w:hAnsi="Consolas"/>
          <w:b w:val="false"/>
          <w:bCs w:val="false"/>
          <w:i/>
          <w:iCs/>
          <w:color w:val="595959"/>
          <w:sz w:val="19"/>
          <w:szCs w:val="19"/>
        </w:rPr>
        <w:t xml:space="preserve">algorithmState</w:t>
      </w:r>
      <w:r>
        <w:rPr>
          <w:b w:val="false"/>
          <w:bCs w:val="false"/>
          <w:i/>
          <w:iCs/>
          <w:color w:val="595959"/>
          <w:sz w:val="20"/>
          <w:szCs w:val="20"/>
        </w:rPr>
        <w:t xml:space="preserve"> byte the sensor broadcasts over BLE. Share exposes no such field, so these states must be inferred from data timing instead — a genuine loss of fidelity compared with the Bluetooth design.</w:t>
      </w:r>
    </w:p>
    <w:p>
      <w:pPr>
        <w:spacing w:after="120" w:line="276"/>
      </w:pPr>
      <w:r>
        <w:rPr>
          <w:b w:val="false"/>
          <w:bCs w:val="false"/>
        </w:rPr>
        <w:t xml:space="preserve">Share returns only a value, a trend, and a timestamp. Warmup, sensor failure, and session end are therefore indistinguishable from one another and from ordinary signal loss: all present as an absence of new readings. The app must not guess between them.</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1800"/>
        <w:gridCol w:w="3200"/>
        <w:gridCol w:w="4360"/>
      </w:tblGrid>
      <w:tr>
        <w:trPr>
          <w:tblHeader/>
        </w:trPr>
        <w:tc>
          <w:tcPr>
            <w:tcW w:type="dxa" w:w="1800"/>
            <w:shd w:fill="DEEAF6" w:color="auto" w:val="clear"/>
            <w:tcMar>
              <w:top w:type="dxa" w:w="60"/>
              <w:left w:type="dxa" w:w="100"/>
              <w:bottom w:type="dxa" w:w="60"/>
              <w:right w:type="dxa" w:w="100"/>
            </w:tcMar>
          </w:tcPr>
          <w:p>
            <w:pPr>
              <w:spacing w:after="0" w:line="250"/>
            </w:pPr>
            <w:r>
              <w:rPr>
                <w:b/>
                <w:bCs/>
                <w:sz w:val="20"/>
                <w:szCs w:val="20"/>
              </w:rPr>
              <w:t xml:space="preserve">State</w:t>
            </w:r>
          </w:p>
        </w:tc>
        <w:tc>
          <w:tcPr>
            <w:tcW w:type="dxa" w:w="3200"/>
            <w:shd w:fill="DEEAF6" w:color="auto" w:val="clear"/>
            <w:tcMar>
              <w:top w:type="dxa" w:w="60"/>
              <w:left w:type="dxa" w:w="100"/>
              <w:bottom w:type="dxa" w:w="60"/>
              <w:right w:type="dxa" w:w="100"/>
            </w:tcMar>
          </w:tcPr>
          <w:p>
            <w:pPr>
              <w:spacing w:after="0" w:line="250"/>
            </w:pPr>
            <w:r>
              <w:rPr>
                <w:b/>
                <w:bCs/>
                <w:sz w:val="20"/>
                <w:szCs w:val="20"/>
              </w:rPr>
              <w:t xml:space="preserve">Condition</w:t>
            </w:r>
          </w:p>
        </w:tc>
        <w:tc>
          <w:tcPr>
            <w:tcW w:type="dxa" w:w="4360"/>
            <w:shd w:fill="DEEAF6" w:color="auto" w:val="clear"/>
            <w:tcMar>
              <w:top w:type="dxa" w:w="60"/>
              <w:left w:type="dxa" w:w="100"/>
              <w:bottom w:type="dxa" w:w="60"/>
              <w:right w:type="dxa" w:w="100"/>
            </w:tcMar>
          </w:tcPr>
          <w:p>
            <w:pPr>
              <w:spacing w:after="0" w:line="250"/>
            </w:pPr>
            <w:r>
              <w:rPr>
                <w:b/>
                <w:bCs/>
                <w:sz w:val="20"/>
                <w:szCs w:val="20"/>
              </w:rPr>
              <w:t xml:space="preserve">Treatment</w:t>
            </w:r>
          </w:p>
        </w:tc>
      </w:tr>
      <w:tr>
        <w:tc>
          <w:tcPr>
            <w:tcW w:type="dxa" w:w="1800"/>
            <w:tcMar>
              <w:top w:type="dxa" w:w="60"/>
              <w:left w:type="dxa" w:w="100"/>
              <w:bottom w:type="dxa" w:w="60"/>
              <w:right w:type="dxa" w:w="100"/>
            </w:tcMar>
          </w:tcPr>
          <w:p>
            <w:pPr>
              <w:spacing w:after="0" w:line="250"/>
            </w:pPr>
            <w:r>
              <w:rPr>
                <w:b w:val="false"/>
                <w:bCs w:val="false"/>
                <w:sz w:val="20"/>
                <w:szCs w:val="20"/>
              </w:rPr>
              <w:t xml:space="preserve">Fresh</w:t>
            </w:r>
          </w:p>
        </w:tc>
        <w:tc>
          <w:tcPr>
            <w:tcW w:type="dxa" w:w="3200"/>
            <w:tcMar>
              <w:top w:type="dxa" w:w="60"/>
              <w:left w:type="dxa" w:w="100"/>
              <w:bottom w:type="dxa" w:w="60"/>
              <w:right w:type="dxa" w:w="100"/>
            </w:tcMar>
          </w:tcPr>
          <w:p>
            <w:pPr>
              <w:spacing w:after="0" w:line="250"/>
            </w:pPr>
            <w:r>
              <w:rPr>
                <w:b w:val="false"/>
                <w:bCs w:val="false"/>
                <w:sz w:val="20"/>
                <w:szCs w:val="20"/>
              </w:rPr>
              <w:t xml:space="preserve">Newest reading under 12 minutes old</w:t>
            </w:r>
          </w:p>
        </w:tc>
        <w:tc>
          <w:tcPr>
            <w:tcW w:type="dxa" w:w="4360"/>
            <w:tcMar>
              <w:top w:type="dxa" w:w="60"/>
              <w:left w:type="dxa" w:w="100"/>
              <w:bottom w:type="dxa" w:w="60"/>
              <w:right w:type="dxa" w:w="100"/>
            </w:tcMar>
          </w:tcPr>
          <w:p>
            <w:pPr>
              <w:spacing w:after="0" w:line="250"/>
            </w:pPr>
            <w:r>
              <w:rPr>
                <w:b w:val="false"/>
                <w:bCs w:val="false"/>
                <w:sz w:val="20"/>
                <w:szCs w:val="20"/>
              </w:rPr>
              <w:t xml:space="preserve">Full display: value, trend.</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Stale</w:t>
            </w:r>
          </w:p>
        </w:tc>
        <w:tc>
          <w:tcPr>
            <w:tcW w:type="dxa" w:w="3200"/>
            <w:shd w:fill="F5F8FC" w:color="auto" w:val="clear"/>
            <w:tcMar>
              <w:top w:type="dxa" w:w="60"/>
              <w:left w:type="dxa" w:w="100"/>
              <w:bottom w:type="dxa" w:w="60"/>
              <w:right w:type="dxa" w:w="100"/>
            </w:tcMar>
          </w:tcPr>
          <w:p>
            <w:pPr>
              <w:spacing w:after="0" w:line="250"/>
            </w:pPr>
            <w:r>
              <w:rPr>
                <w:b w:val="false"/>
                <w:bCs w:val="false"/>
                <w:sz w:val="20"/>
                <w:szCs w:val="20"/>
              </w:rPr>
              <w:t xml:space="preserve">12 to 30 minutes</w:t>
            </w:r>
          </w:p>
        </w:tc>
        <w:tc>
          <w:tcPr>
            <w:tcW w:type="dxa" w:w="4360"/>
            <w:shd w:fill="F5F8FC" w:color="auto" w:val="clear"/>
            <w:tcMar>
              <w:top w:type="dxa" w:w="60"/>
              <w:left w:type="dxa" w:w="100"/>
              <w:bottom w:type="dxa" w:w="60"/>
              <w:right w:type="dxa" w:w="100"/>
            </w:tcMar>
          </w:tcPr>
          <w:p>
            <w:pPr>
              <w:spacing w:after="0" w:line="250"/>
            </w:pPr>
            <w:r>
              <w:rPr>
                <w:b w:val="false"/>
                <w:bCs w:val="false"/>
                <w:sz w:val="20"/>
                <w:szCs w:val="20"/>
              </w:rPr>
              <w:t xml:space="preserve">Freshness label amber; value desaturated.</w:t>
            </w:r>
          </w:p>
        </w:tc>
      </w:tr>
      <w:tr>
        <w:tc>
          <w:tcPr>
            <w:tcW w:type="dxa" w:w="1800"/>
            <w:tcMar>
              <w:top w:type="dxa" w:w="60"/>
              <w:left w:type="dxa" w:w="100"/>
              <w:bottom w:type="dxa" w:w="60"/>
              <w:right w:type="dxa" w:w="100"/>
            </w:tcMar>
          </w:tcPr>
          <w:p>
            <w:pPr>
              <w:spacing w:after="0" w:line="250"/>
            </w:pPr>
            <w:r>
              <w:rPr>
                <w:b w:val="false"/>
                <w:bCs w:val="false"/>
                <w:sz w:val="20"/>
                <w:szCs w:val="20"/>
              </w:rPr>
              <w:t xml:space="preserve">Critically stale</w:t>
            </w:r>
          </w:p>
        </w:tc>
        <w:tc>
          <w:tcPr>
            <w:tcW w:type="dxa" w:w="3200"/>
            <w:tcMar>
              <w:top w:type="dxa" w:w="60"/>
              <w:left w:type="dxa" w:w="100"/>
              <w:bottom w:type="dxa" w:w="60"/>
              <w:right w:type="dxa" w:w="100"/>
            </w:tcMar>
          </w:tcPr>
          <w:p>
            <w:pPr>
              <w:spacing w:after="0" w:line="250"/>
            </w:pPr>
            <w:r>
              <w:rPr>
                <w:b w:val="false"/>
                <w:bCs w:val="false"/>
                <w:sz w:val="20"/>
                <w:szCs w:val="20"/>
              </w:rPr>
              <w:t xml:space="preserve">Over 30 minutes</w:t>
            </w:r>
          </w:p>
        </w:tc>
        <w:tc>
          <w:tcPr>
            <w:tcW w:type="dxa" w:w="4360"/>
            <w:tcMar>
              <w:top w:type="dxa" w:w="60"/>
              <w:left w:type="dxa" w:w="100"/>
              <w:bottom w:type="dxa" w:w="60"/>
              <w:right w:type="dxa" w:w="100"/>
            </w:tcMar>
          </w:tcPr>
          <w:p>
            <w:pPr>
              <w:spacing w:after="0" w:line="250"/>
            </w:pPr>
            <w:r>
              <w:rPr>
                <w:b w:val="false"/>
                <w:bCs w:val="false"/>
                <w:sz w:val="20"/>
                <w:szCs w:val="20"/>
              </w:rPr>
              <w:t xml:space="preserve">Value muted, </w:t>
            </w:r>
            <w:r>
              <w:rPr>
                <w:b/>
                <w:bCs/>
                <w:sz w:val="20"/>
                <w:szCs w:val="20"/>
              </w:rPr>
              <w:t xml:space="preserve">trend arrow hidden</w:t>
            </w:r>
            <w:r>
              <w:rPr>
                <w:b w:val="false"/>
                <w:bCs w:val="false"/>
                <w:sz w:val="20"/>
                <w:szCs w:val="20"/>
              </w:rPr>
              <w:t xml:space="preserve">, explicit prompt to open the official Dexcom app.</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No data</w:t>
            </w:r>
          </w:p>
        </w:tc>
        <w:tc>
          <w:tcPr>
            <w:tcW w:type="dxa" w:w="3200"/>
            <w:shd w:fill="F5F8FC" w:color="auto" w:val="clear"/>
            <w:tcMar>
              <w:top w:type="dxa" w:w="60"/>
              <w:left w:type="dxa" w:w="100"/>
              <w:bottom w:type="dxa" w:w="60"/>
              <w:right w:type="dxa" w:w="100"/>
            </w:tcMar>
          </w:tcPr>
          <w:p>
            <w:pPr>
              <w:spacing w:after="0" w:line="250"/>
            </w:pPr>
            <w:r>
              <w:rPr>
                <w:b w:val="false"/>
                <w:bCs w:val="false"/>
                <w:sz w:val="20"/>
                <w:szCs w:val="20"/>
              </w:rPr>
              <w:t xml:space="preserve">Share returns an empty set</w:t>
            </w:r>
          </w:p>
        </w:tc>
        <w:tc>
          <w:tcPr>
            <w:tcW w:type="dxa" w:w="4360"/>
            <w:shd w:fill="F5F8FC" w:color="auto" w:val="clear"/>
            <w:tcMar>
              <w:top w:type="dxa" w:w="60"/>
              <w:left w:type="dxa" w:w="100"/>
              <w:bottom w:type="dxa" w:w="60"/>
              <w:right w:type="dxa" w:w="100"/>
            </w:tcMar>
          </w:tcPr>
          <w:p>
            <w:pPr>
              <w:spacing w:after="0" w:line="250"/>
            </w:pPr>
            <w:r>
              <w:rPr>
                <w:b w:val="false"/>
                <w:bCs w:val="false"/>
                <w:sz w:val="20"/>
                <w:szCs w:val="20"/>
              </w:rPr>
              <w:t xml:space="preserve">No value. Most often sensor warmup or a session gap — the app says it cannot tell which, rather than inventing a reason.</w:t>
            </w:r>
          </w:p>
        </w:tc>
      </w:tr>
      <w:tr>
        <w:tc>
          <w:tcPr>
            <w:tcW w:type="dxa" w:w="1800"/>
            <w:tcMar>
              <w:top w:type="dxa" w:w="60"/>
              <w:left w:type="dxa" w:w="100"/>
              <w:bottom w:type="dxa" w:w="60"/>
              <w:right w:type="dxa" w:w="100"/>
            </w:tcMar>
          </w:tcPr>
          <w:p>
            <w:pPr>
              <w:spacing w:after="0" w:line="250"/>
            </w:pPr>
            <w:r>
              <w:rPr>
                <w:b w:val="false"/>
                <w:bCs w:val="false"/>
                <w:sz w:val="20"/>
                <w:szCs w:val="20"/>
              </w:rPr>
              <w:t xml:space="preserve">Signed out / auth failed</w:t>
            </w:r>
          </w:p>
        </w:tc>
        <w:tc>
          <w:tcPr>
            <w:tcW w:type="dxa" w:w="3200"/>
            <w:tcMar>
              <w:top w:type="dxa" w:w="60"/>
              <w:left w:type="dxa" w:w="100"/>
              <w:bottom w:type="dxa" w:w="60"/>
              <w:right w:type="dxa" w:w="100"/>
            </w:tcMar>
          </w:tcPr>
          <w:p>
            <w:pPr>
              <w:spacing w:after="0" w:line="250"/>
            </w:pPr>
            <w:r>
              <w:rPr>
                <w:b w:val="false"/>
                <w:bCs w:val="false"/>
                <w:sz w:val="20"/>
                <w:szCs w:val="20"/>
              </w:rPr>
              <w:t xml:space="preserve">Terminal auth error</w:t>
            </w:r>
          </w:p>
        </w:tc>
        <w:tc>
          <w:tcPr>
            <w:tcW w:type="dxa" w:w="4360"/>
            <w:tcMar>
              <w:top w:type="dxa" w:w="60"/>
              <w:left w:type="dxa" w:w="100"/>
              <w:bottom w:type="dxa" w:w="60"/>
              <w:right w:type="dxa" w:w="100"/>
            </w:tcMar>
          </w:tcPr>
          <w:p>
            <w:pPr>
              <w:spacing w:after="0" w:line="250"/>
            </w:pPr>
            <w:r>
              <w:rPr>
                <w:b w:val="false"/>
                <w:bCs w:val="false"/>
                <w:sz w:val="20"/>
                <w:szCs w:val="20"/>
              </w:rPr>
              <w:t xml:space="preserve">Polling stopped, credentials prompt. Never retried automatically (§4.2.3).</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Offline</w:t>
            </w:r>
          </w:p>
        </w:tc>
        <w:tc>
          <w:tcPr>
            <w:tcW w:type="dxa" w:w="3200"/>
            <w:shd w:fill="F5F8FC" w:color="auto" w:val="clear"/>
            <w:tcMar>
              <w:top w:type="dxa" w:w="60"/>
              <w:left w:type="dxa" w:w="100"/>
              <w:bottom w:type="dxa" w:w="60"/>
              <w:right w:type="dxa" w:w="100"/>
            </w:tcMar>
          </w:tcPr>
          <w:p>
            <w:pPr>
              <w:spacing w:after="0" w:line="250"/>
            </w:pPr>
            <w:r>
              <w:rPr>
                <w:b w:val="false"/>
                <w:bCs w:val="false"/>
                <w:sz w:val="20"/>
                <w:szCs w:val="20"/>
              </w:rPr>
              <w:t xml:space="preserve">Network unreachable</w:t>
            </w:r>
          </w:p>
        </w:tc>
        <w:tc>
          <w:tcPr>
            <w:tcW w:type="dxa" w:w="4360"/>
            <w:shd w:fill="F5F8FC" w:color="auto" w:val="clear"/>
            <w:tcMar>
              <w:top w:type="dxa" w:w="60"/>
              <w:left w:type="dxa" w:w="100"/>
              <w:bottom w:type="dxa" w:w="60"/>
              <w:right w:type="dxa" w:w="100"/>
            </w:tcMar>
          </w:tcPr>
          <w:p>
            <w:pPr>
              <w:spacing w:after="0" w:line="250"/>
            </w:pPr>
            <w:r>
              <w:rPr>
                <w:b w:val="false"/>
                <w:bCs w:val="false"/>
                <w:sz w:val="20"/>
                <w:szCs w:val="20"/>
              </w:rPr>
              <w:t xml:space="preserve">Last known value with accurate age, retry with backoff.</w:t>
            </w:r>
          </w:p>
        </w:tc>
      </w:tr>
    </w:tbl>
    <w:p>
      <w:pPr>
        <w:spacing w:after="100"/>
      </w:pPr>
    </w:p>
    <w:p>
      <w:pPr>
        <w:spacing w:after="120" w:line="276"/>
      </w:pPr>
      <w:r>
        <w:rPr>
          <w:b w:val="false"/>
          <w:bCs w:val="false"/>
        </w:rPr>
        <w:t xml:space="preserve">Thresholds are 12 and 30 minutes: Share adds a minute or two on top of the sensor's 5-minute cadence, so a single missed reading is routine and must not raise an alarm, while a genuine gap should surface before the user acts on an old number.</w:t>
      </w:r>
    </w:p>
    <w:p>
      <w:pPr>
        <w:spacing w:after="120" w:line="276"/>
      </w:pPr>
      <w:r>
        <w:rPr>
          <w:b/>
          <w:bCs/>
        </w:rPr>
        <w:t xml:space="preserve">The trend arrow is hidden in the critically-stale state.</w:t>
      </w:r>
      <w:r>
        <w:rPr>
          <w:b w:val="false"/>
          <w:bCs w:val="false"/>
        </w:rPr>
        <w:t xml:space="preserve"> An arrow is a claim about the present derived from the recent past; on data half an hour old it is not merely unhelpful but misleading.</w:t>
      </w:r>
    </w:p>
    <w:p>
      <w:pPr>
        <w:spacing w:after="100" w:before="180"/>
      </w:pPr>
      <w:r>
        <w:rPr>
          <w:b/>
          <w:bCs/>
          <w:color w:val="1F4D78"/>
        </w:rPr>
        <w:t xml:space="preserve">What is lost relative to the Bluetooth design</w:t>
      </w:r>
    </w:p>
    <w:p>
      <w:pPr>
        <w:spacing w:after="120" w:line="276"/>
      </w:pPr>
      <w:r>
        <w:rPr>
          <w:b w:val="false"/>
          <w:bCs w:val="false"/>
        </w:rPr>
        <w:t xml:space="preserve">The BLE path would have supplied </w:t>
      </w:r>
      <w:r>
        <w:rPr>
          <w:rFonts w:ascii="Consolas" w:cs="Consolas" w:eastAsia="Consolas" w:hAnsi="Consolas"/>
          <w:b w:val="false"/>
          <w:bCs w:val="false"/>
          <w:sz w:val="19"/>
          <w:szCs w:val="19"/>
        </w:rPr>
        <w:t xml:space="preserve">algorithmState</w:t>
      </w:r>
      <w:r>
        <w:rPr>
          <w:b w:val="false"/>
          <w:bCs w:val="false"/>
        </w:rPr>
        <w:t xml:space="preserve"> (26 distinct sensor states including specific failure modes), a measured </w:t>
      </w:r>
      <w:r>
        <w:rPr>
          <w:rFonts w:ascii="Consolas" w:cs="Consolas" w:eastAsia="Consolas" w:hAnsi="Consolas"/>
          <w:b w:val="false"/>
          <w:bCs w:val="false"/>
          <w:sz w:val="19"/>
          <w:szCs w:val="19"/>
        </w:rPr>
        <w:t xml:space="preserve">age</w:t>
      </w:r>
      <w:r>
        <w:rPr>
          <w:b w:val="false"/>
          <w:bCs w:val="false"/>
        </w:rPr>
        <w:t xml:space="preserve"> in seconds per reading, and the sensor's own forward prediction. None is available via Share. Sensor session tracking (§3.3) becomes inference from gap patterns rather than direct reporting, and is correspondingly less reliable.</w:t>
      </w:r>
    </w:p>
    <w:p>
      <w:pPr>
        <w:pStyle w:val="Heading3"/>
        <w:spacing w:after="120" w:before="220"/>
      </w:pPr>
      <w:r>
        <w:rPr>
          <w:b w:val="false"/>
          <w:bCs w:val="false"/>
        </w:rPr>
        <w:t xml:space="preserve">3.1.4 Adaptive Theme System</w:t>
      </w:r>
    </w:p>
    <w:p>
      <w:pPr>
        <w:pStyle w:val="ListParagraph"/>
        <w:numPr>
          <w:ilvl w:val="0"/>
          <w:numId w:val="2"/>
        </w:numPr>
        <w:spacing w:after="80" w:line="276"/>
      </w:pPr>
      <w:r>
        <w:rPr>
          <w:b/>
          <w:bCs/>
        </w:rPr>
        <w:t xml:space="preserve">Three themes:</w:t>
      </w:r>
      <w:r>
        <w:rPr>
          <w:b w:val="false"/>
          <w:bCs w:val="false"/>
        </w:rPr>
        <w:t xml:space="preserve"> True Black (OLED, pure #000000 background), Soft Dark (#1C1C1E, iOS-standard), Light (high-contrast white for outdoor visibility).</w:t>
      </w:r>
    </w:p>
    <w:p>
      <w:pPr>
        <w:pStyle w:val="ListParagraph"/>
        <w:numPr>
          <w:ilvl w:val="0"/>
          <w:numId w:val="2"/>
        </w:numPr>
        <w:spacing w:after="80" w:line="276"/>
      </w:pPr>
      <w:r>
        <w:rPr>
          <w:b/>
          <w:bCs/>
        </w:rPr>
        <w:t xml:space="preserve">System sync:</w:t>
      </w:r>
      <w:r>
        <w:rPr>
          <w:b w:val="false"/>
          <w:bCs w:val="false"/>
        </w:rPr>
        <w:t xml:space="preserve"> honour the iOS appearance setting by default; the user can override.</w:t>
      </w:r>
    </w:p>
    <w:p>
      <w:pPr>
        <w:pStyle w:val="ListParagraph"/>
        <w:numPr>
          <w:ilvl w:val="0"/>
          <w:numId w:val="2"/>
        </w:numPr>
        <w:spacing w:after="80" w:line="276"/>
      </w:pPr>
      <w:r>
        <w:rPr>
          <w:b/>
          <w:bCs/>
        </w:rPr>
        <w:t xml:space="preserve">Bedside Mode:</w:t>
      </w:r>
      <w:r>
        <w:rPr>
          <w:b w:val="false"/>
          <w:bCs w:val="false"/>
        </w:rPr>
        <w:t xml:space="preserve"> a separate toggle — dimmed, red-shifted palette for nighttime checks without disrupting dark adaptation. Activates manually or on a schedule (default 10pm to 7am), with the ambient light sensor used only as a modifier, never as the sole trigger (§8).</w:t>
      </w:r>
    </w:p>
    <w:p>
      <w:pPr>
        <w:pStyle w:val="ListParagraph"/>
        <w:numPr>
          <w:ilvl w:val="0"/>
          <w:numId w:val="2"/>
        </w:numPr>
        <w:spacing w:after="80" w:line="276"/>
      </w:pPr>
      <w:r>
        <w:rPr>
          <w:b/>
          <w:bCs/>
        </w:rPr>
        <w:t xml:space="preserve">Colour-blind safety:</w:t>
      </w:r>
      <w:r>
        <w:rPr>
          <w:b w:val="false"/>
          <w:bCs w:val="false"/>
        </w:rPr>
        <w:t xml:space="preserve"> range state is encoded in colour </w:t>
      </w:r>
      <w:r>
        <w:rPr>
          <w:b/>
          <w:bCs/>
        </w:rPr>
        <w:t xml:space="preserve">and</w:t>
      </w:r>
      <w:r>
        <w:rPr>
          <w:b w:val="false"/>
          <w:bCs w:val="false"/>
        </w:rPr>
        <w:t xml:space="preserve"> shape (a distinct glyph per range), because in-range green and low red are precisely the deuteranopia-confusable pair. The glyph is load-bearing, not decorative, and must be legible at complication size.</w:t>
      </w:r>
    </w:p>
    <w:p>
      <w:pPr>
        <w:spacing w:after="120" w:line="276"/>
      </w:pPr>
      <w:r>
        <w:rPr>
          <w:b w:val="false"/>
          <w:bCs w:val="false"/>
        </w:rPr>
        <w:t xml:space="preserve">Implementation details, including the corrected dimming approach, are in §5.3.</w:t>
      </w:r>
    </w:p>
    <w:p>
      <w:pPr>
        <w:pStyle w:val="Heading3"/>
        <w:spacing w:after="120" w:before="220"/>
      </w:pPr>
      <w:r>
        <w:rPr>
          <w:b w:val="false"/>
          <w:bCs w:val="false"/>
        </w:rPr>
        <w:t xml:space="preserve">3.1.5 Historical View &amp; Statistics</w:t>
      </w:r>
    </w:p>
    <w:p>
      <w:pPr>
        <w:pBdr>
          <w:left w:val="single" w:color="BFD3E6" w:sz="12" w:space="8"/>
        </w:pBdr>
        <w:spacing w:after="160" w:line="260"/>
        <w:ind w:left="180"/>
      </w:pPr>
      <w:r>
        <w:rPr>
          <w:b w:val="false"/>
          <w:bCs w:val="false"/>
          <w:i/>
          <w:iCs/>
          <w:color w:val="595959"/>
          <w:sz w:val="20"/>
          <w:szCs w:val="20"/>
        </w:rPr>
        <w:t xml:space="preserve">Implemented in v1.5.</w:t>
      </w:r>
    </w:p>
    <w:p>
      <w:pPr>
        <w:pStyle w:val="ListParagraph"/>
        <w:numPr>
          <w:ilvl w:val="0"/>
          <w:numId w:val="2"/>
        </w:numPr>
        <w:spacing w:after="80" w:line="276"/>
      </w:pPr>
      <w:r>
        <w:rPr>
          <w:b/>
          <w:bCs/>
        </w:rPr>
        <w:t xml:space="preserve">Time windows:</w:t>
      </w:r>
      <w:r>
        <w:rPr>
          <w:b w:val="false"/>
          <w:bCs w:val="false"/>
        </w:rPr>
        <w:t xml:space="preserve"> 3h, 6h, 12h, 24h, 7d, 14d, 30d.</w:t>
      </w:r>
    </w:p>
    <w:p>
      <w:pPr>
        <w:spacing w:after="100" w:before="180"/>
      </w:pPr>
      <w:r>
        <w:rPr>
          <w:b/>
          <w:bCs/>
          <w:color w:val="1F4D78"/>
        </w:rPr>
        <w:t xml:space="preserve">Glycemic bands</w:t>
      </w:r>
    </w:p>
    <w:p>
      <w:pPr>
        <w:spacing w:after="120" w:line="276"/>
      </w:pPr>
      <w:r>
        <w:rPr>
          <w:b w:val="false"/>
          <w:bCs w:val="false"/>
        </w:rPr>
        <w:t xml:space="preserve">Classification lives in a single </w:t>
      </w:r>
      <w:r>
        <w:rPr>
          <w:rFonts w:ascii="Consolas" w:cs="Consolas" w:eastAsia="Consolas" w:hAnsi="Consolas"/>
          <w:b w:val="false"/>
          <w:bCs w:val="false"/>
          <w:sz w:val="19"/>
          <w:szCs w:val="19"/>
        </w:rPr>
        <w:t xml:space="preserve">GlycemicBand</w:t>
      </w:r>
      <w:r>
        <w:rPr>
          <w:b w:val="false"/>
          <w:bCs w:val="false"/>
        </w:rPr>
        <w:t xml:space="preserve"> type, deliberately free of any UI framework. The same rule drives chart colouring and the statistics below; two copies would eventually disagree, and an app whose stated time-in-range contradicts its own chart is worse than one that reports neither.</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2000"/>
        <w:gridCol w:w="2100"/>
        <w:gridCol w:w="2200"/>
        <w:gridCol w:w="3060"/>
      </w:tblGrid>
      <w:tr>
        <w:trPr>
          <w:tblHeader/>
        </w:trPr>
        <w:tc>
          <w:tcPr>
            <w:tcW w:type="dxa" w:w="2000"/>
            <w:shd w:fill="DEEAF6" w:color="auto" w:val="clear"/>
            <w:tcMar>
              <w:top w:type="dxa" w:w="60"/>
              <w:left w:type="dxa" w:w="100"/>
              <w:bottom w:type="dxa" w:w="60"/>
              <w:right w:type="dxa" w:w="100"/>
            </w:tcMar>
          </w:tcPr>
          <w:p>
            <w:pPr>
              <w:spacing w:after="0" w:line="250"/>
            </w:pPr>
            <w:r>
              <w:rPr>
                <w:b/>
                <w:bCs/>
                <w:sz w:val="20"/>
                <w:szCs w:val="20"/>
              </w:rPr>
              <w:t xml:space="preserve">Band</w:t>
            </w:r>
          </w:p>
        </w:tc>
        <w:tc>
          <w:tcPr>
            <w:tcW w:type="dxa" w:w="2100"/>
            <w:shd w:fill="DEEAF6" w:color="auto" w:val="clear"/>
            <w:tcMar>
              <w:top w:type="dxa" w:w="60"/>
              <w:left w:type="dxa" w:w="100"/>
              <w:bottom w:type="dxa" w:w="60"/>
              <w:right w:type="dxa" w:w="100"/>
            </w:tcMar>
          </w:tcPr>
          <w:p>
            <w:pPr>
              <w:spacing w:after="0" w:line="250"/>
            </w:pPr>
            <w:r>
              <w:rPr>
                <w:b/>
                <w:bCs/>
                <w:sz w:val="20"/>
                <w:szCs w:val="20"/>
              </w:rPr>
              <w:t xml:space="preserve">mg/dL</w:t>
            </w:r>
          </w:p>
        </w:tc>
        <w:tc>
          <w:tcPr>
            <w:tcW w:type="dxa" w:w="2200"/>
            <w:shd w:fill="DEEAF6" w:color="auto" w:val="clear"/>
            <w:tcMar>
              <w:top w:type="dxa" w:w="60"/>
              <w:left w:type="dxa" w:w="100"/>
              <w:bottom w:type="dxa" w:w="60"/>
              <w:right w:type="dxa" w:w="100"/>
            </w:tcMar>
          </w:tcPr>
          <w:p>
            <w:pPr>
              <w:spacing w:after="0" w:line="250"/>
            </w:pPr>
            <w:r>
              <w:rPr>
                <w:b/>
                <w:bCs/>
                <w:sz w:val="20"/>
                <w:szCs w:val="20"/>
              </w:rPr>
              <w:t xml:space="preserve">mmol/L</w:t>
            </w:r>
          </w:p>
        </w:tc>
        <w:tc>
          <w:tcPr>
            <w:tcW w:type="dxa" w:w="3060"/>
            <w:shd w:fill="DEEAF6" w:color="auto" w:val="clear"/>
            <w:tcMar>
              <w:top w:type="dxa" w:w="60"/>
              <w:left w:type="dxa" w:w="100"/>
              <w:bottom w:type="dxa" w:w="60"/>
              <w:right w:type="dxa" w:w="100"/>
            </w:tcMar>
          </w:tcPr>
          <w:p>
            <w:pPr>
              <w:spacing w:after="0" w:line="250"/>
            </w:pPr>
            <w:r>
              <w:rPr>
                <w:b/>
                <w:bCs/>
                <w:sz w:val="20"/>
                <w:szCs w:val="20"/>
              </w:rPr>
              <w:t xml:space="preserve">Consensus target</w:t>
            </w:r>
          </w:p>
        </w:tc>
      </w:tr>
      <w:tr>
        <w:tc>
          <w:tcPr>
            <w:tcW w:type="dxa" w:w="2000"/>
            <w:tcMar>
              <w:top w:type="dxa" w:w="60"/>
              <w:left w:type="dxa" w:w="100"/>
              <w:bottom w:type="dxa" w:w="60"/>
              <w:right w:type="dxa" w:w="100"/>
            </w:tcMar>
          </w:tcPr>
          <w:p>
            <w:pPr>
              <w:spacing w:after="0" w:line="250"/>
            </w:pPr>
            <w:r>
              <w:rPr>
                <w:b w:val="false"/>
                <w:bCs w:val="false"/>
                <w:sz w:val="20"/>
                <w:szCs w:val="20"/>
              </w:rPr>
              <w:t xml:space="preserve">Very Low</w:t>
            </w:r>
          </w:p>
        </w:tc>
        <w:tc>
          <w:tcPr>
            <w:tcW w:type="dxa" w:w="2100"/>
            <w:tcMar>
              <w:top w:type="dxa" w:w="60"/>
              <w:left w:type="dxa" w:w="100"/>
              <w:bottom w:type="dxa" w:w="60"/>
              <w:right w:type="dxa" w:w="100"/>
            </w:tcMar>
          </w:tcPr>
          <w:p>
            <w:pPr>
              <w:spacing w:after="0" w:line="250"/>
            </w:pPr>
            <w:r>
              <w:rPr>
                <w:b w:val="false"/>
                <w:bCs w:val="false"/>
                <w:sz w:val="20"/>
                <w:szCs w:val="20"/>
              </w:rPr>
              <w:t xml:space="preserve">&lt; 54</w:t>
            </w:r>
          </w:p>
        </w:tc>
        <w:tc>
          <w:tcPr>
            <w:tcW w:type="dxa" w:w="2200"/>
            <w:tcMar>
              <w:top w:type="dxa" w:w="60"/>
              <w:left w:type="dxa" w:w="100"/>
              <w:bottom w:type="dxa" w:w="60"/>
              <w:right w:type="dxa" w:w="100"/>
            </w:tcMar>
          </w:tcPr>
          <w:p>
            <w:pPr>
              <w:spacing w:after="0" w:line="250"/>
            </w:pPr>
            <w:r>
              <w:rPr>
                <w:b w:val="false"/>
                <w:bCs w:val="false"/>
                <w:sz w:val="20"/>
                <w:szCs w:val="20"/>
              </w:rPr>
              <w:t xml:space="preserve">&lt; 3.0</w:t>
            </w:r>
          </w:p>
        </w:tc>
        <w:tc>
          <w:tcPr>
            <w:tcW w:type="dxa" w:w="3060"/>
            <w:tcMar>
              <w:top w:type="dxa" w:w="60"/>
              <w:left w:type="dxa" w:w="100"/>
              <w:bottom w:type="dxa" w:w="60"/>
              <w:right w:type="dxa" w:w="100"/>
            </w:tcMar>
          </w:tcPr>
          <w:p>
            <w:pPr>
              <w:spacing w:after="0" w:line="250"/>
            </w:pPr>
            <w:r>
              <w:rPr>
                <w:b w:val="false"/>
                <w:bCs w:val="false"/>
                <w:sz w:val="20"/>
                <w:szCs w:val="20"/>
              </w:rPr>
              <w:t xml:space="preserve">&lt; 1% of readings</w:t>
            </w:r>
          </w:p>
        </w:tc>
      </w:tr>
      <w:tr>
        <w:tc>
          <w:tcPr>
            <w:tcW w:type="dxa" w:w="2000"/>
            <w:shd w:fill="F5F8FC" w:color="auto" w:val="clear"/>
            <w:tcMar>
              <w:top w:type="dxa" w:w="60"/>
              <w:left w:type="dxa" w:w="100"/>
              <w:bottom w:type="dxa" w:w="60"/>
              <w:right w:type="dxa" w:w="100"/>
            </w:tcMar>
          </w:tcPr>
          <w:p>
            <w:pPr>
              <w:spacing w:after="0" w:line="250"/>
            </w:pPr>
            <w:r>
              <w:rPr>
                <w:b w:val="false"/>
                <w:bCs w:val="false"/>
                <w:sz w:val="20"/>
                <w:szCs w:val="20"/>
              </w:rPr>
              <w:t xml:space="preserve">Low</w:t>
            </w:r>
          </w:p>
        </w:tc>
        <w:tc>
          <w:tcPr>
            <w:tcW w:type="dxa" w:w="2100"/>
            <w:shd w:fill="F5F8FC" w:color="auto" w:val="clear"/>
            <w:tcMar>
              <w:top w:type="dxa" w:w="60"/>
              <w:left w:type="dxa" w:w="100"/>
              <w:bottom w:type="dxa" w:w="60"/>
              <w:right w:type="dxa" w:w="100"/>
            </w:tcMar>
          </w:tcPr>
          <w:p>
            <w:pPr>
              <w:spacing w:after="0" w:line="250"/>
            </w:pPr>
            <w:r>
              <w:rPr>
                <w:b w:val="false"/>
                <w:bCs w:val="false"/>
                <w:sz w:val="20"/>
                <w:szCs w:val="20"/>
              </w:rPr>
              <w:t xml:space="preserve">54 – 69</w:t>
            </w:r>
          </w:p>
        </w:tc>
        <w:tc>
          <w:tcPr>
            <w:tcW w:type="dxa" w:w="2200"/>
            <w:shd w:fill="F5F8FC" w:color="auto" w:val="clear"/>
            <w:tcMar>
              <w:top w:type="dxa" w:w="60"/>
              <w:left w:type="dxa" w:w="100"/>
              <w:bottom w:type="dxa" w:w="60"/>
              <w:right w:type="dxa" w:w="100"/>
            </w:tcMar>
          </w:tcPr>
          <w:p>
            <w:pPr>
              <w:spacing w:after="0" w:line="250"/>
            </w:pPr>
            <w:r>
              <w:rPr>
                <w:b w:val="false"/>
                <w:bCs w:val="false"/>
                <w:sz w:val="20"/>
                <w:szCs w:val="20"/>
              </w:rPr>
              <w:t xml:space="preserve">3.0 – 3.8</w:t>
            </w:r>
          </w:p>
        </w:tc>
        <w:tc>
          <w:tcPr>
            <w:tcW w:type="dxa" w:w="3060"/>
            <w:shd w:fill="F5F8FC" w:color="auto" w:val="clear"/>
            <w:tcMar>
              <w:top w:type="dxa" w:w="60"/>
              <w:left w:type="dxa" w:w="100"/>
              <w:bottom w:type="dxa" w:w="60"/>
              <w:right w:type="dxa" w:w="100"/>
            </w:tcMar>
          </w:tcPr>
          <w:p>
            <w:pPr>
              <w:spacing w:after="0" w:line="250"/>
            </w:pPr>
            <w:r>
              <w:rPr>
                <w:b w:val="false"/>
                <w:bCs w:val="false"/>
                <w:sz w:val="20"/>
                <w:szCs w:val="20"/>
              </w:rPr>
              <w:t xml:space="preserve">&lt; 4% (Low + Very Low combined)</w:t>
            </w:r>
          </w:p>
        </w:tc>
      </w:tr>
      <w:tr>
        <w:tc>
          <w:tcPr>
            <w:tcW w:type="dxa" w:w="2000"/>
            <w:tcMar>
              <w:top w:type="dxa" w:w="60"/>
              <w:left w:type="dxa" w:w="100"/>
              <w:bottom w:type="dxa" w:w="60"/>
              <w:right w:type="dxa" w:w="100"/>
            </w:tcMar>
          </w:tcPr>
          <w:p>
            <w:pPr>
              <w:spacing w:after="0" w:line="250"/>
            </w:pPr>
            <w:r>
              <w:rPr>
                <w:b w:val="false"/>
                <w:bCs w:val="false"/>
                <w:sz w:val="20"/>
                <w:szCs w:val="20"/>
              </w:rPr>
              <w:t xml:space="preserve">Target</w:t>
            </w:r>
          </w:p>
        </w:tc>
        <w:tc>
          <w:tcPr>
            <w:tcW w:type="dxa" w:w="2100"/>
            <w:tcMar>
              <w:top w:type="dxa" w:w="60"/>
              <w:left w:type="dxa" w:w="100"/>
              <w:bottom w:type="dxa" w:w="60"/>
              <w:right w:type="dxa" w:w="100"/>
            </w:tcMar>
          </w:tcPr>
          <w:p>
            <w:pPr>
              <w:spacing w:after="0" w:line="250"/>
            </w:pPr>
            <w:r>
              <w:rPr>
                <w:b w:val="false"/>
                <w:bCs w:val="false"/>
                <w:sz w:val="20"/>
                <w:szCs w:val="20"/>
              </w:rPr>
              <w:t xml:space="preserve">70 – 180</w:t>
            </w:r>
          </w:p>
        </w:tc>
        <w:tc>
          <w:tcPr>
            <w:tcW w:type="dxa" w:w="2200"/>
            <w:tcMar>
              <w:top w:type="dxa" w:w="60"/>
              <w:left w:type="dxa" w:w="100"/>
              <w:bottom w:type="dxa" w:w="60"/>
              <w:right w:type="dxa" w:w="100"/>
            </w:tcMar>
          </w:tcPr>
          <w:p>
            <w:pPr>
              <w:spacing w:after="0" w:line="250"/>
            </w:pPr>
            <w:r>
              <w:rPr>
                <w:b w:val="false"/>
                <w:bCs w:val="false"/>
                <w:sz w:val="20"/>
                <w:szCs w:val="20"/>
              </w:rPr>
              <w:t xml:space="preserve">3.9 – 10.0</w:t>
            </w:r>
          </w:p>
        </w:tc>
        <w:tc>
          <w:tcPr>
            <w:tcW w:type="dxa" w:w="3060"/>
            <w:tcMar>
              <w:top w:type="dxa" w:w="60"/>
              <w:left w:type="dxa" w:w="100"/>
              <w:bottom w:type="dxa" w:w="60"/>
              <w:right w:type="dxa" w:w="100"/>
            </w:tcMar>
          </w:tcPr>
          <w:p>
            <w:pPr>
              <w:spacing w:after="0" w:line="250"/>
            </w:pPr>
            <w:r>
              <w:rPr>
                <w:b w:val="false"/>
                <w:bCs w:val="false"/>
                <w:sz w:val="20"/>
                <w:szCs w:val="20"/>
              </w:rPr>
              <w:t xml:space="preserve">&gt; 70%</w:t>
            </w:r>
          </w:p>
        </w:tc>
      </w:tr>
      <w:tr>
        <w:tc>
          <w:tcPr>
            <w:tcW w:type="dxa" w:w="2000"/>
            <w:shd w:fill="F5F8FC" w:color="auto" w:val="clear"/>
            <w:tcMar>
              <w:top w:type="dxa" w:w="60"/>
              <w:left w:type="dxa" w:w="100"/>
              <w:bottom w:type="dxa" w:w="60"/>
              <w:right w:type="dxa" w:w="100"/>
            </w:tcMar>
          </w:tcPr>
          <w:p>
            <w:pPr>
              <w:spacing w:after="0" w:line="250"/>
            </w:pPr>
            <w:r>
              <w:rPr>
                <w:b w:val="false"/>
                <w:bCs w:val="false"/>
                <w:sz w:val="20"/>
                <w:szCs w:val="20"/>
              </w:rPr>
              <w:t xml:space="preserve">High</w:t>
            </w:r>
          </w:p>
        </w:tc>
        <w:tc>
          <w:tcPr>
            <w:tcW w:type="dxa" w:w="2100"/>
            <w:shd w:fill="F5F8FC" w:color="auto" w:val="clear"/>
            <w:tcMar>
              <w:top w:type="dxa" w:w="60"/>
              <w:left w:type="dxa" w:w="100"/>
              <w:bottom w:type="dxa" w:w="60"/>
              <w:right w:type="dxa" w:w="100"/>
            </w:tcMar>
          </w:tcPr>
          <w:p>
            <w:pPr>
              <w:spacing w:after="0" w:line="250"/>
            </w:pPr>
            <w:r>
              <w:rPr>
                <w:b w:val="false"/>
                <w:bCs w:val="false"/>
                <w:sz w:val="20"/>
                <w:szCs w:val="20"/>
              </w:rPr>
              <w:t xml:space="preserve">181 – 250</w:t>
            </w:r>
          </w:p>
        </w:tc>
        <w:tc>
          <w:tcPr>
            <w:tcW w:type="dxa" w:w="2200"/>
            <w:shd w:fill="F5F8FC" w:color="auto" w:val="clear"/>
            <w:tcMar>
              <w:top w:type="dxa" w:w="60"/>
              <w:left w:type="dxa" w:w="100"/>
              <w:bottom w:type="dxa" w:w="60"/>
              <w:right w:type="dxa" w:w="100"/>
            </w:tcMar>
          </w:tcPr>
          <w:p>
            <w:pPr>
              <w:spacing w:after="0" w:line="250"/>
            </w:pPr>
            <w:r>
              <w:rPr>
                <w:b w:val="false"/>
                <w:bCs w:val="false"/>
                <w:sz w:val="20"/>
                <w:szCs w:val="20"/>
              </w:rPr>
              <w:t xml:space="preserve">10.1 – 13.9</w:t>
            </w:r>
          </w:p>
        </w:tc>
        <w:tc>
          <w:tcPr>
            <w:tcW w:type="dxa" w:w="3060"/>
            <w:shd w:fill="F5F8FC" w:color="auto" w:val="clear"/>
            <w:tcMar>
              <w:top w:type="dxa" w:w="60"/>
              <w:left w:type="dxa" w:w="100"/>
              <w:bottom w:type="dxa" w:w="60"/>
              <w:right w:type="dxa" w:w="100"/>
            </w:tcMar>
          </w:tcPr>
          <w:p>
            <w:pPr>
              <w:spacing w:after="0" w:line="250"/>
            </w:pPr>
            <w:r>
              <w:rPr>
                <w:b w:val="false"/>
                <w:bCs w:val="false"/>
                <w:sz w:val="20"/>
                <w:szCs w:val="20"/>
              </w:rPr>
              <w:t xml:space="preserve">&lt; 25% (High + Very High combined)</w:t>
            </w:r>
          </w:p>
        </w:tc>
      </w:tr>
      <w:tr>
        <w:tc>
          <w:tcPr>
            <w:tcW w:type="dxa" w:w="2000"/>
            <w:tcMar>
              <w:top w:type="dxa" w:w="60"/>
              <w:left w:type="dxa" w:w="100"/>
              <w:bottom w:type="dxa" w:w="60"/>
              <w:right w:type="dxa" w:w="100"/>
            </w:tcMar>
          </w:tcPr>
          <w:p>
            <w:pPr>
              <w:spacing w:after="0" w:line="250"/>
            </w:pPr>
            <w:r>
              <w:rPr>
                <w:b w:val="false"/>
                <w:bCs w:val="false"/>
                <w:sz w:val="20"/>
                <w:szCs w:val="20"/>
              </w:rPr>
              <w:t xml:space="preserve">Very High</w:t>
            </w:r>
          </w:p>
        </w:tc>
        <w:tc>
          <w:tcPr>
            <w:tcW w:type="dxa" w:w="2100"/>
            <w:tcMar>
              <w:top w:type="dxa" w:w="60"/>
              <w:left w:type="dxa" w:w="100"/>
              <w:bottom w:type="dxa" w:w="60"/>
              <w:right w:type="dxa" w:w="100"/>
            </w:tcMar>
          </w:tcPr>
          <w:p>
            <w:pPr>
              <w:spacing w:after="0" w:line="250"/>
            </w:pPr>
            <w:r>
              <w:rPr>
                <w:b w:val="false"/>
                <w:bCs w:val="false"/>
                <w:sz w:val="20"/>
                <w:szCs w:val="20"/>
              </w:rPr>
              <w:t xml:space="preserve">&gt; 250</w:t>
            </w:r>
          </w:p>
        </w:tc>
        <w:tc>
          <w:tcPr>
            <w:tcW w:type="dxa" w:w="2200"/>
            <w:tcMar>
              <w:top w:type="dxa" w:w="60"/>
              <w:left w:type="dxa" w:w="100"/>
              <w:bottom w:type="dxa" w:w="60"/>
              <w:right w:type="dxa" w:w="100"/>
            </w:tcMar>
          </w:tcPr>
          <w:p>
            <w:pPr>
              <w:spacing w:after="0" w:line="250"/>
            </w:pPr>
            <w:r>
              <w:rPr>
                <w:b w:val="false"/>
                <w:bCs w:val="false"/>
                <w:sz w:val="20"/>
                <w:szCs w:val="20"/>
              </w:rPr>
              <w:t xml:space="preserve">&gt; 13.9</w:t>
            </w:r>
          </w:p>
        </w:tc>
        <w:tc>
          <w:tcPr>
            <w:tcW w:type="dxa" w:w="3060"/>
            <w:tcMar>
              <w:top w:type="dxa" w:w="60"/>
              <w:left w:type="dxa" w:w="100"/>
              <w:bottom w:type="dxa" w:w="60"/>
              <w:right w:type="dxa" w:w="100"/>
            </w:tcMar>
          </w:tcPr>
          <w:p>
            <w:pPr>
              <w:spacing w:after="0" w:line="250"/>
            </w:pPr>
            <w:r>
              <w:rPr>
                <w:b w:val="false"/>
                <w:bCs w:val="false"/>
                <w:sz w:val="20"/>
                <w:szCs w:val="20"/>
              </w:rPr>
              <w:t xml:space="preserve">&lt; 5%</w:t>
            </w:r>
          </w:p>
        </w:tc>
      </w:tr>
    </w:tbl>
    <w:p>
      <w:pPr>
        <w:spacing w:after="100"/>
      </w:pPr>
    </w:p>
    <w:p>
      <w:pPr>
        <w:spacing w:after="120" w:line="276"/>
      </w:pPr>
      <w:r>
        <w:rPr>
          <w:b w:val="false"/>
          <w:bCs w:val="false"/>
        </w:rPr>
        <w:t xml:space="preserve">Thresholds are fixed at consensus values and are not user-editable. Making them adjustable would let the reported time-in-range drift away from the figure an endocrinologist reads on an AGP report, silently.</w:t>
      </w:r>
    </w:p>
    <w:p>
      <w:pPr>
        <w:spacing w:after="100" w:before="180"/>
      </w:pPr>
      <w:r>
        <w:rPr>
          <w:b/>
          <w:bCs/>
          <w:color w:val="1F4D78"/>
        </w:rPr>
        <w:t xml:space="preserve">Reported statistics</w:t>
      </w:r>
    </w:p>
    <w:p>
      <w:pPr>
        <w:pStyle w:val="ListParagraph"/>
        <w:numPr>
          <w:ilvl w:val="0"/>
          <w:numId w:val="2"/>
        </w:numPr>
        <w:spacing w:after="80" w:line="276"/>
      </w:pPr>
      <w:r>
        <w:rPr>
          <w:b/>
          <w:bCs/>
        </w:rPr>
        <w:t xml:space="preserve">Average</w:t>
      </w:r>
      <w:r>
        <w:rPr>
          <w:b w:val="false"/>
          <w:bCs w:val="false"/>
        </w:rPr>
        <w:t xml:space="preserve"> and </w:t>
      </w:r>
      <w:r>
        <w:rPr>
          <w:b/>
          <w:bCs/>
        </w:rPr>
        <w:t xml:space="preserve">median</w:t>
      </w:r>
      <w:r>
        <w:rPr>
          <w:b w:val="false"/>
          <w:bCs w:val="false"/>
        </w:rPr>
        <w:t xml:space="preserve">. The median is retained because a single sensor artifact moves the mean substantially and the median barely at all.</w:t>
      </w:r>
    </w:p>
    <w:p>
      <w:pPr>
        <w:pStyle w:val="ListParagraph"/>
        <w:numPr>
          <w:ilvl w:val="0"/>
          <w:numId w:val="2"/>
        </w:numPr>
        <w:spacing w:after="80" w:line="276"/>
      </w:pPr>
      <w:r>
        <w:rPr>
          <w:b/>
          <w:bCs/>
        </w:rPr>
        <w:t xml:space="preserve">Coefficient of variation (CV%)</w:t>
      </w:r>
      <w:r>
        <w:rPr>
          <w:b w:val="false"/>
          <w:bCs w:val="false"/>
        </w:rPr>
        <w:t xml:space="preserve"> = SD / mean × 100, target below 36%. The headline variability metric, because it scales with glucose level and is therefore comparable across weeks; raw SD is not. Displayed with a target indicator.</w:t>
      </w:r>
    </w:p>
    <w:p>
      <w:pPr>
        <w:pStyle w:val="ListParagraph"/>
        <w:numPr>
          <w:ilvl w:val="0"/>
          <w:numId w:val="2"/>
        </w:numPr>
        <w:spacing w:after="80" w:line="276"/>
      </w:pPr>
      <w:r>
        <w:rPr>
          <w:b/>
          <w:bCs/>
        </w:rPr>
        <w:t xml:space="preserve">Standard deviation</w:t>
      </w:r>
      <w:r>
        <w:rPr>
          <w:b w:val="false"/>
          <w:bCs w:val="false"/>
        </w:rPr>
        <w:t xml:space="preserve">, sample (n−1), retained but de-emphasised. Shown where GMI is not yet available.</w:t>
      </w:r>
    </w:p>
    <w:p>
      <w:pPr>
        <w:pStyle w:val="ListParagraph"/>
        <w:numPr>
          <w:ilvl w:val="0"/>
          <w:numId w:val="2"/>
        </w:numPr>
        <w:spacing w:after="80" w:line="276"/>
      </w:pPr>
      <w:r>
        <w:rPr>
          <w:b/>
          <w:bCs/>
        </w:rPr>
        <w:t xml:space="preserve">GMI</w:t>
      </w:r>
      <w:r>
        <w:rPr>
          <w:b w:val="false"/>
          <w:bCs w:val="false"/>
        </w:rPr>
        <w:t xml:space="preserve"> = </w:t>
      </w:r>
      <w:r>
        <w:rPr>
          <w:rFonts w:ascii="Consolas" w:cs="Consolas" w:eastAsia="Consolas" w:hAnsi="Consolas"/>
          <w:b w:val="false"/>
          <w:bCs w:val="false"/>
          <w:sz w:val="19"/>
          <w:szCs w:val="19"/>
        </w:rPr>
        <w:t xml:space="preserve">3.31 + 0.02392 × mean mg/dL</w:t>
      </w:r>
      <w:r>
        <w:rPr>
          <w:b w:val="false"/>
          <w:bCs w:val="false"/>
        </w:rPr>
        <w:t xml:space="preserve">. </w:t>
      </w:r>
      <w:r>
        <w:rPr>
          <w:b/>
          <w:bCs/>
        </w:rPr>
        <w:t xml:space="preserve">Displayed only for windows of 14 days or more at 70% coverage or better.</w:t>
      </w:r>
      <w:r>
        <w:rPr>
          <w:b w:val="false"/>
          <w:bCs w:val="false"/>
        </w:rPr>
        <w:t xml:space="preserve"> Below either threshold it is hidden and the reason is stated. Showing a number with a caveat invites the number being read and the caveat ignored.</w:t>
      </w:r>
    </w:p>
    <w:p>
      <w:pPr>
        <w:pStyle w:val="ListParagraph"/>
        <w:numPr>
          <w:ilvl w:val="0"/>
          <w:numId w:val="2"/>
        </w:numPr>
        <w:spacing w:after="80" w:line="276"/>
      </w:pPr>
      <w:r>
        <w:rPr>
          <w:b/>
          <w:bCs/>
        </w:rPr>
        <w:t xml:space="preserve">Coverage</w:t>
      </w:r>
      <w:r>
        <w:rPr>
          <w:b w:val="false"/>
          <w:bCs w:val="false"/>
        </w:rPr>
        <w:t xml:space="preserve"> — the proportion of expected 5-minute samples present. Every other figure is unreliable below roughly 70%, so it is surfaced alongside them rather than buried, and the whole panel is marked indicative when it falls short.</w:t>
      </w:r>
    </w:p>
    <w:p>
      <w:pPr>
        <w:spacing w:after="100" w:before="180"/>
      </w:pPr>
      <w:r>
        <w:rPr>
          <w:b/>
          <w:bCs/>
          <w:color w:val="1F4D78"/>
        </w:rPr>
        <w:t xml:space="preserve">Presentation details that carry meaning</w:t>
      </w:r>
    </w:p>
    <w:p>
      <w:pPr>
        <w:pStyle w:val="ListParagraph"/>
        <w:numPr>
          <w:ilvl w:val="0"/>
          <w:numId w:val="2"/>
        </w:numPr>
        <w:spacing w:after="80" w:line="276"/>
      </w:pPr>
      <w:r>
        <w:rPr>
          <w:b w:val="false"/>
          <w:bCs w:val="false"/>
        </w:rPr>
        <w:t xml:space="preserve">A stacked proportional bar orders bands low-to-high, matching how an AGP report presents the same distribution.</w:t>
      </w:r>
    </w:p>
    <w:p>
      <w:pPr>
        <w:pStyle w:val="ListParagraph"/>
        <w:numPr>
          <w:ilvl w:val="0"/>
          <w:numId w:val="2"/>
        </w:numPr>
        <w:spacing w:after="80" w:line="276"/>
      </w:pPr>
      <w:r>
        <w:rPr>
          <w:b/>
          <w:bCs/>
        </w:rPr>
        <w:t xml:space="preserve">Non-zero fractions below 1% render as “&lt;1%”, never “0%”.</w:t>
      </w:r>
      <w:r>
        <w:rPr>
          <w:b w:val="false"/>
          <w:bCs w:val="false"/>
        </w:rPr>
        <w:t xml:space="preserve"> Rounding a genuine hypo out of existence is precisely the wrong failure for this application.</w:t>
      </w:r>
    </w:p>
    <w:p>
      <w:pPr>
        <w:spacing w:after="100" w:before="180"/>
      </w:pPr>
      <w:r>
        <w:rPr>
          <w:b/>
          <w:bCs/>
          <w:color w:val="1F4D78"/>
        </w:rPr>
        <w:t xml:space="preserve">Ambulatory Glucose Profile</w:t>
      </w:r>
    </w:p>
    <w:p>
      <w:pPr>
        <w:spacing w:after="120" w:line="276"/>
      </w:pPr>
      <w:r>
        <w:rPr>
          <w:b w:val="false"/>
          <w:bCs w:val="false"/>
        </w:rPr>
        <w:t xml:space="preserve">Not yet built. A true AGP bins readings by time of day and plots percentile bands — 5th, 25th, 50th, 75th, 95th — rather than overlaying raw daily curves. Building the percentile computation makes the v3 PDF export a rendering exercise rather than a new feature.</w:t>
      </w:r>
    </w:p>
    <w:p>
      <w:pPr>
        <w:pStyle w:val="Heading3"/>
        <w:spacing w:after="120" w:before="220"/>
      </w:pPr>
      <w:r>
        <w:rPr>
          <w:b w:val="false"/>
          <w:bCs w:val="false"/>
        </w:rPr>
        <w:t xml:space="preserve">3.1.6 Settings</w:t>
      </w:r>
    </w:p>
    <w:p>
      <w:pPr>
        <w:pStyle w:val="ListParagraph"/>
        <w:numPr>
          <w:ilvl w:val="0"/>
          <w:numId w:val="2"/>
        </w:numPr>
        <w:spacing w:after="80" w:line="276"/>
      </w:pPr>
      <w:r>
        <w:rPr>
          <w:b/>
          <w:bCs/>
        </w:rPr>
        <w:t xml:space="preserve">Dexcom Share</w:t>
      </w:r>
      <w:r>
        <w:rPr>
          <w:b w:val="false"/>
          <w:bCs w:val="false"/>
        </w:rPr>
        <w:t xml:space="preserve"> credentials and region (optional; the app is fully functional in HealthKit-only mode).</w:t>
      </w:r>
    </w:p>
    <w:p>
      <w:pPr>
        <w:pStyle w:val="ListParagraph"/>
        <w:numPr>
          <w:ilvl w:val="0"/>
          <w:numId w:val="2"/>
        </w:numPr>
        <w:spacing w:after="80" w:line="276"/>
      </w:pPr>
      <w:r>
        <w:rPr>
          <w:b/>
          <w:bCs/>
        </w:rPr>
        <w:t xml:space="preserve">HealthKit permission status</w:t>
      </w:r>
      <w:r>
        <w:rPr>
          <w:b w:val="false"/>
          <w:bCs w:val="false"/>
        </w:rPr>
        <w:t xml:space="preserve"> with a shortcut to Settings.app if denied, listed per data type.</w:t>
      </w:r>
    </w:p>
    <w:p>
      <w:pPr>
        <w:pStyle w:val="ListParagraph"/>
        <w:numPr>
          <w:ilvl w:val="0"/>
          <w:numId w:val="2"/>
        </w:numPr>
        <w:spacing w:after="80" w:line="276"/>
      </w:pPr>
      <w:r>
        <w:rPr>
          <w:b/>
          <w:bCs/>
        </w:rPr>
        <w:t xml:space="preserve">Active source indicator</w:t>
      </w:r>
      <w:r>
        <w:rPr>
          <w:b w:val="false"/>
          <w:bCs w:val="false"/>
        </w:rPr>
        <w:t xml:space="preserve"> showing which source provided the most recent reading.</w:t>
      </w:r>
    </w:p>
    <w:p>
      <w:pPr>
        <w:pStyle w:val="ListParagraph"/>
        <w:numPr>
          <w:ilvl w:val="0"/>
          <w:numId w:val="2"/>
        </w:numPr>
        <w:spacing w:after="80" w:line="276"/>
      </w:pPr>
      <w:r>
        <w:rPr>
          <w:b/>
          <w:bCs/>
        </w:rPr>
        <w:t xml:space="preserve">Units</w:t>
      </w:r>
      <w:r>
        <w:rPr>
          <w:b w:val="false"/>
          <w:bCs w:val="false"/>
        </w:rPr>
        <w:t xml:space="preserve"> (mg/dL or mmol/L), toggleable directly from the reading screen. Defaults from device region.</w:t>
      </w:r>
    </w:p>
    <w:p>
      <w:pPr>
        <w:pBdr>
          <w:left w:val="single" w:color="BFD3E6" w:sz="12" w:space="8"/>
        </w:pBdr>
        <w:spacing w:after="160" w:line="260"/>
        <w:ind w:left="180"/>
      </w:pPr>
      <w:r>
        <w:rPr>
          <w:b w:val="false"/>
          <w:bCs w:val="false"/>
          <w:i/>
          <w:iCs/>
          <w:color w:val="595959"/>
          <w:sz w:val="20"/>
          <w:szCs w:val="20"/>
        </w:rPr>
        <w:t xml:space="preserve">Conversion constant, corrected in v1.4: mmol/L = mg/dL ÷ </w:t>
      </w:r>
      <w:r>
        <w:rPr>
          <w:b/>
          <w:bCs/>
          <w:i/>
          <w:iCs/>
          <w:color w:val="595959"/>
          <w:sz w:val="20"/>
          <w:szCs w:val="20"/>
        </w:rPr>
        <w:t xml:space="preserve">18.0182</w:t>
      </w:r>
      <w:r>
        <w:rPr>
          <w:b w:val="false"/>
          <w:bCs w:val="false"/>
          <w:i/>
          <w:iCs/>
          <w:color w:val="595959"/>
          <w:sz w:val="20"/>
          <w:szCs w:val="20"/>
        </w:rPr>
        <w:t xml:space="preserve">, which is Dexcom's own divisor — not the precise molar mass 18.01559. The two disagree at boundary values: 100 mg/dL renders as </w:t>
      </w:r>
      <w:r>
        <w:rPr>
          <w:b/>
          <w:bCs/>
          <w:i/>
          <w:iCs/>
          <w:color w:val="595959"/>
          <w:sz w:val="20"/>
          <w:szCs w:val="20"/>
        </w:rPr>
        <w:t xml:space="preserve">5.5</w:t>
      </w:r>
      <w:r>
        <w:rPr>
          <w:b w:val="false"/>
          <w:bCs w:val="false"/>
          <w:i/>
          <w:iCs/>
          <w:color w:val="595959"/>
          <w:sz w:val="20"/>
          <w:szCs w:val="20"/>
        </w:rPr>
        <w:t xml:space="preserve"> under Dexcom's constant and </w:t>
      </w:r>
      <w:r>
        <w:rPr>
          <w:b/>
          <w:bCs/>
          <w:i/>
          <w:iCs/>
          <w:color w:val="595959"/>
          <w:sz w:val="20"/>
          <w:szCs w:val="20"/>
        </w:rPr>
        <w:t xml:space="preserve">5.6</w:t>
      </w:r>
      <w:r>
        <w:rPr>
          <w:b w:val="false"/>
          <w:bCs w:val="false"/>
          <w:i/>
          <w:iCs/>
          <w:color w:val="595959"/>
          <w:sz w:val="20"/>
          <w:szCs w:val="20"/>
        </w:rPr>
        <w:t xml:space="preserve"> under the chemically precise one. An app that disagrees with the device the user is checking against is worse than no app. Seven boundary values are pinned by test.</w:t>
      </w:r>
    </w:p>
    <w:p>
      <w:pPr>
        <w:pStyle w:val="ListParagraph"/>
        <w:numPr>
          <w:ilvl w:val="0"/>
          <w:numId w:val="2"/>
        </w:numPr>
        <w:spacing w:after="80" w:line="276"/>
      </w:pPr>
      <w:r>
        <w:rPr>
          <w:b/>
          <w:bCs/>
        </w:rPr>
        <w:t xml:space="preserve">Target range</w:t>
      </w:r>
      <w:r>
        <w:rPr>
          <w:b w:val="false"/>
          <w:bCs w:val="false"/>
        </w:rPr>
        <w:t xml:space="preserve"> (default 70–180 mg/dL, fully editable). Band thresholds for Very Low/Very High are fixed at the consensus values and are not user-editable, because editing them would silently invalidate comparison against clinical targets.</w:t>
      </w:r>
    </w:p>
    <w:p>
      <w:pPr>
        <w:pStyle w:val="ListParagraph"/>
        <w:numPr>
          <w:ilvl w:val="0"/>
          <w:numId w:val="2"/>
        </w:numPr>
        <w:spacing w:after="80" w:line="276"/>
      </w:pPr>
      <w:r>
        <w:rPr>
          <w:b/>
          <w:bCs/>
        </w:rPr>
        <w:t xml:space="preserve">Insulin sensitivity factor (ISF)</w:t>
      </w:r>
      <w:r>
        <w:rPr>
          <w:b w:val="false"/>
          <w:bCs w:val="false"/>
        </w:rPr>
        <w:t xml:space="preserve"> — mg/dL drop per unit. Required by the prediction engine (§4.4). No default is guessed; the field is empty until the user enters a value, and the meal-response forecast is disabled until then.</w:t>
      </w:r>
    </w:p>
    <w:p>
      <w:pPr>
        <w:pStyle w:val="ListParagraph"/>
        <w:numPr>
          <w:ilvl w:val="0"/>
          <w:numId w:val="2"/>
        </w:numPr>
        <w:spacing w:after="80" w:line="276"/>
      </w:pPr>
      <w:r>
        <w:rPr>
          <w:b/>
          <w:bCs/>
        </w:rPr>
        <w:t xml:space="preserve">Insulin-to-carb ratio (ICR)</w:t>
      </w:r>
      <w:r>
        <w:rPr>
          <w:b w:val="false"/>
          <w:bCs w:val="false"/>
        </w:rPr>
        <w:t xml:space="preserve"> — grams covered per unit. Same treatment as ISF.</w:t>
      </w:r>
    </w:p>
    <w:p>
      <w:pPr>
        <w:pStyle w:val="ListParagraph"/>
        <w:numPr>
          <w:ilvl w:val="0"/>
          <w:numId w:val="2"/>
        </w:numPr>
        <w:spacing w:after="80" w:line="276"/>
      </w:pPr>
      <w:r>
        <w:rPr>
          <w:b/>
          <w:bCs/>
        </w:rPr>
        <w:t xml:space="preserve">Insulin action curve</w:t>
      </w:r>
      <w:r>
        <w:rPr>
          <w:b w:val="false"/>
          <w:bCs w:val="false"/>
        </w:rPr>
        <w:t xml:space="preserve"> — peak time and duration of action per insulin type (§4.4), pre-filled with the defaults in that section and editable.</w:t>
      </w:r>
    </w:p>
    <w:p>
      <w:pPr>
        <w:pStyle w:val="ListParagraph"/>
        <w:numPr>
          <w:ilvl w:val="0"/>
          <w:numId w:val="2"/>
        </w:numPr>
        <w:spacing w:after="80" w:line="276"/>
      </w:pPr>
      <w:r>
        <w:rPr>
          <w:b/>
          <w:bCs/>
        </w:rPr>
        <w:t xml:space="preserve">Carb absorption time</w:t>
      </w:r>
      <w:r>
        <w:rPr>
          <w:b w:val="false"/>
          <w:bCs w:val="false"/>
        </w:rPr>
        <w:t xml:space="preserve"> — default 180 minutes, with faster and slower presets.</w:t>
      </w:r>
    </w:p>
    <w:p>
      <w:pPr>
        <w:pStyle w:val="ListParagraph"/>
        <w:numPr>
          <w:ilvl w:val="0"/>
          <w:numId w:val="2"/>
        </w:numPr>
        <w:spacing w:after="80" w:line="276"/>
      </w:pPr>
      <w:r>
        <w:rPr>
          <w:b/>
          <w:bCs/>
        </w:rPr>
        <w:t xml:space="preserve">Theme and Bedside Mode schedule.</w:t>
      </w:r>
    </w:p>
    <w:p>
      <w:pPr>
        <w:pStyle w:val="ListParagraph"/>
        <w:numPr>
          <w:ilvl w:val="0"/>
          <w:numId w:val="2"/>
        </w:numPr>
        <w:spacing w:after="80" w:line="276"/>
      </w:pPr>
      <w:r>
        <w:rPr>
          <w:b/>
          <w:bCs/>
        </w:rPr>
        <w:t xml:space="preserve">Export and backup</w:t>
      </w:r>
      <w:r>
        <w:rPr>
          <w:b w:val="false"/>
          <w:bCs w:val="false"/>
        </w:rPr>
        <w:t xml:space="preserve"> (§3.1.7).</w:t>
      </w:r>
    </w:p>
    <w:p>
      <w:pPr>
        <w:pStyle w:val="ListParagraph"/>
        <w:numPr>
          <w:ilvl w:val="0"/>
          <w:numId w:val="2"/>
        </w:numPr>
        <w:spacing w:after="80" w:line="276"/>
      </w:pPr>
      <w:r>
        <w:rPr>
          <w:b/>
          <w:bCs/>
        </w:rPr>
        <w:t xml:space="preserve">Diagnostics</w:t>
      </w:r>
      <w:r>
        <w:rPr>
          <w:b w:val="false"/>
          <w:bCs w:val="false"/>
        </w:rPr>
        <w:t xml:space="preserve"> — local-only log of source errors, parse failures, and background wake events, with a copy-to-clipboard action. For an app talking to an undocumented API, this is what makes a 2am failure debuggable.</w:t>
      </w:r>
    </w:p>
    <w:p>
      <w:pPr>
        <w:pStyle w:val="ListParagraph"/>
        <w:numPr>
          <w:ilvl w:val="0"/>
          <w:numId w:val="2"/>
        </w:numPr>
        <w:spacing w:after="80" w:line="276"/>
      </w:pPr>
      <w:r>
        <w:rPr>
          <w:b/>
          <w:bCs/>
        </w:rPr>
        <w:t xml:space="preserve">Always-visible safety disclaimer.</w:t>
      </w:r>
    </w:p>
    <w:p>
      <w:pPr>
        <w:pStyle w:val="ListParagraph"/>
        <w:numPr>
          <w:ilvl w:val="0"/>
          <w:numId w:val="2"/>
        </w:numPr>
        <w:spacing w:after="80" w:line="276"/>
      </w:pPr>
      <w:r>
        <w:rPr>
          <w:b/>
          <w:bCs/>
        </w:rPr>
        <w:t xml:space="preserve">Sign out and clear local data</w:t>
      </w:r>
      <w:r>
        <w:rPr>
          <w:b w:val="false"/>
          <w:bCs w:val="false"/>
        </w:rPr>
        <w:t xml:space="preserve">, with an explicit confirmation naming how many readings and events will be destroyed.</w:t>
      </w:r>
    </w:p>
    <w:p>
      <w:pPr>
        <w:pBdr>
          <w:left w:val="single" w:color="BFD3E6" w:sz="12" w:space="8"/>
        </w:pBdr>
        <w:spacing w:after="160" w:line="260"/>
        <w:ind w:left="180"/>
      </w:pPr>
      <w:r>
        <w:rPr>
          <w:b w:val="false"/>
          <w:bCs w:val="false"/>
          <w:i/>
          <w:iCs/>
          <w:color w:val="595959"/>
          <w:sz w:val="20"/>
          <w:szCs w:val="20"/>
        </w:rPr>
        <w:t xml:space="preserve">Changed in v1.2: ISF, ICR, insulin action curve, carb absorption, and export/backup are new. ISF and ICR were mathematically required by v1.1's §4.4 but appeared in neither its settings nor its data model.</w:t>
      </w:r>
    </w:p>
    <w:p>
      <w:pPr>
        <w:pStyle w:val="Heading3"/>
        <w:spacing w:after="120" w:before="220"/>
      </w:pPr>
      <w:r>
        <w:rPr>
          <w:b w:val="false"/>
          <w:bCs w:val="false"/>
        </w:rPr>
        <w:t xml:space="preserve">3.1.7 Export &amp; Backup</w:t>
      </w:r>
    </w:p>
    <w:p>
      <w:pPr>
        <w:pBdr>
          <w:left w:val="single" w:color="BFD3E6" w:sz="12" w:space="8"/>
        </w:pBdr>
        <w:spacing w:after="160" w:line="260"/>
        <w:ind w:left="180"/>
      </w:pPr>
      <w:r>
        <w:rPr>
          <w:b w:val="false"/>
          <w:bCs w:val="false"/>
          <w:i/>
          <w:iCs/>
          <w:color w:val="595959"/>
          <w:sz w:val="20"/>
          <w:szCs w:val="20"/>
        </w:rPr>
        <w:t xml:space="preserve">New in v1.2. v1.1 had no path for getting data out of the app before v3's iCloud sync — an unacceptable single point of failure for years of personal medical history.</w:t>
      </w:r>
    </w:p>
    <w:p>
      <w:pPr>
        <w:pStyle w:val="ListParagraph"/>
        <w:numPr>
          <w:ilvl w:val="0"/>
          <w:numId w:val="2"/>
        </w:numPr>
        <w:spacing w:after="80" w:line="276"/>
      </w:pPr>
      <w:r>
        <w:rPr>
          <w:b/>
          <w:bCs/>
        </w:rPr>
        <w:t xml:space="preserve">Full export:</w:t>
      </w:r>
      <w:r>
        <w:rPr>
          <w:b w:val="false"/>
          <w:bCs w:val="false"/>
        </w:rPr>
        <w:t xml:space="preserve"> all readings and events as CSV and JSON, via the standard share sheet.</w:t>
      </w:r>
    </w:p>
    <w:p>
      <w:pPr>
        <w:pStyle w:val="ListParagraph"/>
        <w:numPr>
          <w:ilvl w:val="0"/>
          <w:numId w:val="2"/>
        </w:numPr>
        <w:spacing w:after="80" w:line="276"/>
      </w:pPr>
      <w:r>
        <w:rPr>
          <w:b/>
          <w:bCs/>
        </w:rPr>
        <w:t xml:space="preserve">Database backup:</w:t>
      </w:r>
      <w:r>
        <w:rPr>
          <w:b w:val="false"/>
          <w:bCs w:val="false"/>
        </w:rPr>
        <w:t xml:space="preserve"> a single-file export of the SwiftData store, restorable on a fresh install. Manual, plus an automatic weekly write to the user's iCloud Drive folder if enabled.</w:t>
      </w:r>
    </w:p>
    <w:p>
      <w:pPr>
        <w:pStyle w:val="ListParagraph"/>
        <w:numPr>
          <w:ilvl w:val="0"/>
          <w:numId w:val="2"/>
        </w:numPr>
        <w:spacing w:after="80" w:line="276"/>
      </w:pPr>
      <w:r>
        <w:rPr>
          <w:b/>
          <w:bCs/>
        </w:rPr>
        <w:t xml:space="preserve">Nightscout-compatible JSON</w:t>
      </w:r>
      <w:r>
        <w:rPr>
          <w:b w:val="false"/>
          <w:bCs w:val="false"/>
        </w:rPr>
        <w:t xml:space="preserve"> for entries and treatments, so the data is portable into the wider T1D tooling ecosystem rather than trapped in this app.</w:t>
      </w:r>
    </w:p>
    <w:p>
      <w:pPr>
        <w:spacing w:after="120" w:line="276"/>
      </w:pPr>
      <w:r>
        <w:rPr>
          <w:b w:val="false"/>
          <w:bCs w:val="false"/>
        </w:rPr>
        <w:t xml:space="preserve">This ships in v1, not v3. Everything else in the app can be rebuilt; the readings cannot.</w:t>
      </w:r>
    </w:p>
    <w:p>
      <w:pPr>
        <w:pStyle w:val="Heading2"/>
        <w:spacing w:after="140" w:before="280"/>
      </w:pPr>
      <w:r>
        <w:rPr>
          <w:b w:val="false"/>
          <w:bCs w:val="false"/>
        </w:rPr>
        <w:t xml:space="preserve">3.2 v2 — Logging, Prediction &amp; Glanceable Surfaces</w:t>
      </w:r>
    </w:p>
    <w:p>
      <w:pPr>
        <w:pStyle w:val="Heading3"/>
        <w:spacing w:after="120" w:before="220"/>
      </w:pPr>
      <w:r>
        <w:rPr>
          <w:b w:val="false"/>
          <w:bCs w:val="false"/>
        </w:rPr>
        <w:t xml:space="preserve">3.2.1 Event Logging</w:t>
      </w:r>
    </w:p>
    <w:p>
      <w:pPr>
        <w:pStyle w:val="ListParagraph"/>
        <w:numPr>
          <w:ilvl w:val="0"/>
          <w:numId w:val="2"/>
        </w:numPr>
        <w:spacing w:after="80" w:line="276"/>
      </w:pPr>
      <w:r>
        <w:rPr>
          <w:b/>
          <w:bCs/>
        </w:rPr>
        <w:t xml:space="preserve">Meal log:</w:t>
      </w:r>
      <w:r>
        <w:rPr>
          <w:b w:val="false"/>
          <w:bCs w:val="false"/>
        </w:rPr>
        <w:t xml:space="preserve"> photo, carb count in grams, optional notes, optional meal tag (breakfast/lunch/dinner/snack), and an optional name that links it to the food memory (§3.2.5). Carbs are entered in grams only — a second “S/M/L” unit system would have to be reconciled with ICR arithmetic for no real speed gain (§8). A quick-pick row of the user's own recent and frequent entries provides the speed instead.</w:t>
      </w:r>
    </w:p>
    <w:p>
      <w:pPr>
        <w:pStyle w:val="ListParagraph"/>
        <w:numPr>
          <w:ilvl w:val="0"/>
          <w:numId w:val="2"/>
        </w:numPr>
        <w:spacing w:after="80" w:line="276"/>
      </w:pPr>
      <w:r>
        <w:rPr>
          <w:b/>
          <w:bCs/>
        </w:rPr>
        <w:t xml:space="preserve">Insulin log:</w:t>
      </w:r>
      <w:r>
        <w:rPr>
          <w:b w:val="false"/>
          <w:bCs w:val="false"/>
        </w:rPr>
        <w:t xml:space="preserve"> units, type, optional injection site. Type carries the action curve parameters used by the IOB calculation, so what matters is the curve, not the brand name — a short pre-seeded list is offered with free-text entry allowed, and every entry maps to an editable peak/duration pair (§8).</w:t>
      </w:r>
    </w:p>
    <w:p>
      <w:pPr>
        <w:pStyle w:val="ListParagraph"/>
        <w:numPr>
          <w:ilvl w:val="0"/>
          <w:numId w:val="2"/>
        </w:numPr>
        <w:spacing w:after="80" w:line="276"/>
      </w:pPr>
      <w:r>
        <w:rPr>
          <w:b/>
          <w:bCs/>
        </w:rPr>
        <w:t xml:space="preserve">Basal insulin is logged but excluded from IOB.</w:t>
      </w:r>
      <w:r>
        <w:rPr>
          <w:b w:val="false"/>
          <w:bCs w:val="false"/>
        </w:rPr>
        <w:t xml:space="preserve"> Long-acting insulin has a fundamentally different action profile and adding it to bolus IOB makes the number meaningless. It appears on the timeline and in its own display, never in the IOB figure used by the forecast.</w:t>
      </w:r>
    </w:p>
    <w:p>
      <w:pPr>
        <w:pStyle w:val="ListParagraph"/>
        <w:numPr>
          <w:ilvl w:val="0"/>
          <w:numId w:val="2"/>
        </w:numPr>
        <w:spacing w:after="80" w:line="276"/>
      </w:pPr>
      <w:r>
        <w:rPr>
          <w:b/>
          <w:bCs/>
        </w:rPr>
        <w:t xml:space="preserve">Exercise log:</w:t>
      </w:r>
      <w:r>
        <w:rPr>
          <w:b w:val="false"/>
          <w:bCs w:val="false"/>
        </w:rPr>
        <w:t xml:space="preserve"> type (cardio/strength/walk/other), duration, perceived intensity (1–5). Auto-suggested from HealthKit workouts so most entries are a confirmation tap rather than a form.</w:t>
      </w:r>
    </w:p>
    <w:p>
      <w:pPr>
        <w:pStyle w:val="ListParagraph"/>
        <w:numPr>
          <w:ilvl w:val="0"/>
          <w:numId w:val="2"/>
        </w:numPr>
        <w:spacing w:after="80" w:line="276"/>
      </w:pPr>
      <w:r>
        <w:rPr>
          <w:b/>
          <w:bCs/>
        </w:rPr>
        <w:t xml:space="preserve">Quick-add</w:t>
      </w:r>
      <w:r>
        <w:rPr>
          <w:b w:val="false"/>
          <w:bCs w:val="false"/>
        </w:rPr>
        <w:t xml:space="preserve"> via App Intents (§3.2.4).</w:t>
      </w:r>
    </w:p>
    <w:p>
      <w:pPr>
        <w:pStyle w:val="ListParagraph"/>
        <w:numPr>
          <w:ilvl w:val="0"/>
          <w:numId w:val="2"/>
        </w:numPr>
        <w:spacing w:after="80" w:line="276"/>
      </w:pPr>
      <w:r>
        <w:rPr>
          <w:b/>
          <w:bCs/>
        </w:rPr>
        <w:t xml:space="preserve">Edit and delete:</w:t>
      </w:r>
      <w:r>
        <w:rPr>
          <w:b w:val="false"/>
          <w:bCs w:val="false"/>
        </w:rPr>
        <w:t xml:space="preserve"> all logged events are editable with an audit trail (created/edited timestamps).</w:t>
      </w:r>
    </w:p>
    <w:p>
      <w:pPr>
        <w:pStyle w:val="Heading3"/>
        <w:spacing w:after="120" w:before="220"/>
      </w:pPr>
      <w:r>
        <w:rPr>
          <w:b w:val="false"/>
          <w:bCs w:val="false"/>
        </w:rPr>
        <w:t xml:space="preserve">3.2.2 Unified Timeline</w:t>
      </w:r>
    </w:p>
    <w:p>
      <w:pPr>
        <w:pStyle w:val="ListParagraph"/>
        <w:numPr>
          <w:ilvl w:val="0"/>
          <w:numId w:val="2"/>
        </w:numPr>
        <w:spacing w:after="80" w:line="276"/>
      </w:pPr>
      <w:r>
        <w:rPr>
          <w:b w:val="false"/>
          <w:bCs w:val="false"/>
        </w:rPr>
        <w:t xml:space="preserve">Glucose curve with overlaid event markers (meal, insulin, exercise glyphs).</w:t>
      </w:r>
    </w:p>
    <w:p>
      <w:pPr>
        <w:pStyle w:val="ListParagraph"/>
        <w:numPr>
          <w:ilvl w:val="0"/>
          <w:numId w:val="2"/>
        </w:numPr>
        <w:spacing w:after="80" w:line="276"/>
      </w:pPr>
      <w:r>
        <w:rPr>
          <w:b w:val="false"/>
          <w:bCs w:val="false"/>
        </w:rPr>
        <w:t xml:space="preserve">Tap an event to see details and the glucose response over the following 1, 2, and 3 hours.</w:t>
      </w:r>
    </w:p>
    <w:p>
      <w:pPr>
        <w:pStyle w:val="ListParagraph"/>
        <w:numPr>
          <w:ilvl w:val="0"/>
          <w:numId w:val="2"/>
        </w:numPr>
        <w:spacing w:after="80" w:line="276"/>
      </w:pPr>
      <w:r>
        <w:rPr>
          <w:b w:val="false"/>
          <w:bCs w:val="false"/>
        </w:rPr>
        <w:t xml:space="preserve">Filter by event type.</w:t>
      </w:r>
    </w:p>
    <w:p>
      <w:pPr>
        <w:pStyle w:val="ListParagraph"/>
        <w:numPr>
          <w:ilvl w:val="0"/>
          <w:numId w:val="2"/>
        </w:numPr>
        <w:spacing w:after="80" w:line="276"/>
      </w:pPr>
      <w:r>
        <w:rPr>
          <w:b w:val="false"/>
          <w:bCs w:val="false"/>
        </w:rPr>
        <w:t xml:space="preserve">Long-press an event to compare it against the median response to the same tagged meal (§3.2.5).</w:t>
      </w:r>
    </w:p>
    <w:p>
      <w:pPr>
        <w:pStyle w:val="Heading3"/>
        <w:spacing w:after="120" w:before="220"/>
      </w:pPr>
      <w:r>
        <w:rPr>
          <w:b w:val="false"/>
          <w:bCs w:val="false"/>
        </w:rPr>
        <w:t xml:space="preserve">3.2.3 Prediction Engine</w:t>
      </w:r>
    </w:p>
    <w:p>
      <w:pPr>
        <w:spacing w:after="120" w:line="276"/>
      </w:pPr>
      <w:r>
        <w:rPr>
          <w:b w:val="false"/>
          <w:bCs w:val="false"/>
        </w:rPr>
        <w:t xml:space="preserve">All prediction is transparent statistics — no machine learning, no black boxes. Every prediction surface carries a “How is this calculated?” link that shows the actual formula and the actual input values used. Full mathematics is in §4.4.</w:t>
      </w:r>
    </w:p>
    <w:p>
      <w:pPr>
        <w:pStyle w:val="ListParagraph"/>
        <w:numPr>
          <w:ilvl w:val="0"/>
          <w:numId w:val="2"/>
        </w:numPr>
        <w:spacing w:after="80" w:line="276"/>
      </w:pPr>
      <w:r>
        <w:rPr>
          <w:b/>
          <w:bCs/>
        </w:rPr>
        <w:t xml:space="preserve">Short-term forecast (15 to 30 min):</w:t>
      </w:r>
      <w:r>
        <w:rPr>
          <w:b w:val="false"/>
          <w:bCs w:val="false"/>
        </w:rPr>
        <w:t xml:space="preserve"> ordinary least-squares regression on the last 30 minutes of readings, projected forward with </w:t>
      </w:r>
      <w:r>
        <w:rPr>
          <w:b/>
          <w:bCs/>
        </w:rPr>
        <w:t xml:space="preserve">exponential damping</w:t>
      </w:r>
      <w:r>
        <w:rPr>
          <w:b w:val="false"/>
          <w:bCs w:val="false"/>
        </w:rPr>
        <w:t xml:space="preserve"> so the projection flattens toward the horizon rather than continuing linearly. Undamped extrapolation overshoots badly at exactly the moments the user cares about — the post-meal peak and the post-correction nadir. The slope is additionally clamped to ±4 mg/dL/min, outside which glucose does not physiologically move.</w:t>
      </w:r>
    </w:p>
    <w:p>
      <w:pPr>
        <w:pStyle w:val="ListParagraph"/>
        <w:numPr>
          <w:ilvl w:val="0"/>
          <w:numId w:val="2"/>
        </w:numPr>
        <w:spacing w:after="80" w:line="276"/>
      </w:pPr>
      <w:r>
        <w:rPr>
          <w:b/>
          <w:bCs/>
        </w:rPr>
        <w:t xml:space="preserve">Confidence band:</w:t>
      </w:r>
      <w:r>
        <w:rPr>
          <w:b w:val="false"/>
          <w:bCs w:val="false"/>
        </w:rPr>
        <w:t xml:space="preserve"> empirical quantiles (10th/90th) of the app's own historical forecast errors at the same horizon, computed by backtesting against the user's own stored data. Not ±1 SD — that assumes residuals are stationary and normally distributed, and glucose residuals are neither (§8).</w:t>
      </w:r>
    </w:p>
    <w:p>
      <w:pPr>
        <w:pStyle w:val="ListParagraph"/>
        <w:numPr>
          <w:ilvl w:val="0"/>
          <w:numId w:val="2"/>
        </w:numPr>
        <w:spacing w:after="80" w:line="276"/>
      </w:pPr>
      <w:r>
        <w:rPr>
          <w:b/>
          <w:bCs/>
        </w:rPr>
        <w:t xml:space="preserve">Post-meal forecast:</w:t>
      </w:r>
      <w:r>
        <w:rPr>
          <w:b w:val="false"/>
          <w:bCs w:val="false"/>
        </w:rPr>
        <w:t xml:space="preserve"> carb absorption and insulin activity combined into an expected curve using the user's ISF and ICR, compared against actual readings as they arrive. The gap between expected and actual is the useful output — it surfaces dosing accuracy.</w:t>
      </w:r>
    </w:p>
    <w:p>
      <w:pPr>
        <w:pStyle w:val="ListParagraph"/>
        <w:numPr>
          <w:ilvl w:val="0"/>
          <w:numId w:val="2"/>
        </w:numPr>
        <w:spacing w:after="80" w:line="276"/>
      </w:pPr>
      <w:r>
        <w:rPr>
          <w:b/>
          <w:bCs/>
        </w:rPr>
        <w:t xml:space="preserve">IOB:</w:t>
      </w:r>
      <w:r>
        <w:rPr>
          <w:b w:val="false"/>
          <w:bCs w:val="false"/>
        </w:rPr>
        <w:t xml:space="preserve"> continuously calculated from logged bolus doses using the bi-exponential model (§4.4), visible as a numeric badge. </w:t>
      </w:r>
      <w:r>
        <w:rPr>
          <w:b/>
          <w:bCs/>
        </w:rPr>
        <w:t xml:space="preserve">COB</w:t>
      </w:r>
      <w:r>
        <w:rPr>
          <w:b w:val="false"/>
          <w:bCs w:val="false"/>
        </w:rPr>
        <w:t xml:space="preserve"> is displayed alongside it.</w:t>
      </w:r>
    </w:p>
    <w:p>
      <w:pPr>
        <w:pStyle w:val="ListParagraph"/>
        <w:numPr>
          <w:ilvl w:val="0"/>
          <w:numId w:val="2"/>
        </w:numPr>
        <w:spacing w:after="80" w:line="276"/>
      </w:pPr>
      <w:r>
        <w:rPr>
          <w:b/>
          <w:bCs/>
        </w:rPr>
        <w:t xml:space="preserve">Exercise adjustment:</w:t>
      </w:r>
      <w:r>
        <w:rPr>
          <w:b w:val="false"/>
          <w:bCs w:val="false"/>
        </w:rPr>
        <w:t xml:space="preserve"> an active or recent exercise event applies a documented multiplier to insulin sensitivity in the forecast. v1.1 logged exercise and then never used it anywhere, despite it being one of the largest drivers of glucose response.</w:t>
      </w:r>
    </w:p>
    <w:p>
      <w:pPr>
        <w:spacing w:after="100" w:before="180"/>
      </w:pPr>
      <w:r>
        <w:rPr>
          <w:b/>
          <w:bCs/>
          <w:color w:val="1F4D78"/>
        </w:rPr>
        <w:t xml:space="preserve">Predicted-low heads-up</w:t>
      </w:r>
    </w:p>
    <w:p>
      <w:pPr>
        <w:spacing w:after="120" w:line="276"/>
      </w:pPr>
      <w:r>
        <w:rPr>
          <w:b w:val="false"/>
          <w:bCs w:val="false"/>
        </w:rPr>
        <w:t xml:space="preserve">When the forecast crosses the low threshold within the horizon, the app surfaces it prominently in-app, on the Live Activity, and on the Watch complication. It does </w:t>
      </w:r>
      <w:r>
        <w:rPr>
          <w:b/>
          <w:bCs/>
        </w:rPr>
        <w:t xml:space="preserve">not</w:t>
      </w:r>
      <w:r>
        <w:rPr>
          <w:b w:val="false"/>
          <w:bCs w:val="false"/>
        </w:rPr>
        <w:t xml:space="preserve"> send a notification (§1.3). This is deliberately a pull, not a push: the official app keeps the alarm, GlucoNoir keeps the foresight.</w:t>
      </w:r>
    </w:p>
    <w:p>
      <w:pPr>
        <w:spacing w:after="120" w:line="276"/>
      </w:pPr>
      <w:r>
        <w:rPr>
          <w:b w:val="false"/>
          <w:bCs w:val="false"/>
        </w:rPr>
        <w:t xml:space="preserve">The heads-up is visually distinct from anything actionable. A prediction curve sitting next to a dose entry field is dose guidance in practice regardless of how it is labelled, so the two never share a screen region.</w:t>
      </w:r>
    </w:p>
    <w:p>
      <w:pPr>
        <w:pStyle w:val="Heading3"/>
        <w:spacing w:after="120" w:before="220"/>
      </w:pPr>
      <w:r>
        <w:rPr>
          <w:b w:val="false"/>
          <w:bCs w:val="false"/>
        </w:rPr>
        <w:t xml:space="preserve">3.2.4 Glanceable Surfaces</w:t>
      </w:r>
    </w:p>
    <w:p>
      <w:pPr>
        <w:pBdr>
          <w:left w:val="single" w:color="BFD3E6" w:sz="12" w:space="8"/>
        </w:pBdr>
        <w:spacing w:after="160" w:line="260"/>
        <w:ind w:left="180"/>
      </w:pPr>
      <w:r>
        <w:rPr>
          <w:b w:val="false"/>
          <w:bCs w:val="false"/>
          <w:i/>
          <w:iCs/>
          <w:color w:val="595959"/>
          <w:sz w:val="20"/>
          <w:szCs w:val="20"/>
        </w:rPr>
        <w:t xml:space="preserve">New in v1.2 as a consolidated section. v1.1 placed the widget and Watch complication in v2 (§3.2.1) while simultaneously listing them in v3 (§3.3, §4.5). They are consolidated here, in v2, because §2.2's dominant use case is a glance that should not require opening an app.</w:t>
      </w:r>
    </w:p>
    <w:p>
      <w:pPr>
        <w:spacing w:after="100" w:before="180"/>
      </w:pPr>
      <w:r>
        <w:rPr>
          <w:b/>
          <w:bCs/>
          <w:color w:val="1F4D78"/>
        </w:rPr>
        <w:t xml:space="preserve">Live Activity &amp; Dynamic Island</w:t>
      </w:r>
    </w:p>
    <w:p>
      <w:pPr>
        <w:pStyle w:val="ListParagraph"/>
        <w:numPr>
          <w:ilvl w:val="0"/>
          <w:numId w:val="2"/>
        </w:numPr>
        <w:spacing w:after="80" w:line="276"/>
      </w:pPr>
      <w:r>
        <w:rPr>
          <w:b w:val="false"/>
          <w:bCs w:val="false"/>
        </w:rPr>
        <w:t xml:space="preserve">Current value, trend arrow, minutes since reading, and — when relevant — the predicted-low heads-up.</w:t>
      </w:r>
    </w:p>
    <w:p>
      <w:pPr>
        <w:pStyle w:val="ListParagraph"/>
        <w:numPr>
          <w:ilvl w:val="0"/>
          <w:numId w:val="2"/>
        </w:numPr>
        <w:spacing w:after="80" w:line="276"/>
      </w:pPr>
      <w:r>
        <w:rPr>
          <w:b w:val="false"/>
          <w:bCs w:val="false"/>
        </w:rPr>
        <w:t xml:space="preserve">Updated from the same HealthKit background wake that drives everything else (§4.2.1). Add </w:t>
      </w:r>
      <w:r>
        <w:rPr>
          <w:rFonts w:ascii="Consolas" w:cs="Consolas" w:eastAsia="Consolas" w:hAnsi="Consolas"/>
          <w:b w:val="false"/>
          <w:bCs w:val="false"/>
          <w:sz w:val="19"/>
          <w:szCs w:val="19"/>
        </w:rPr>
        <w:t xml:space="preserve">NSSupportsLiveActivitiesFrequentUpdates</w:t>
      </w:r>
      <w:r>
        <w:rPr>
          <w:b w:val="false"/>
          <w:bCs w:val="false"/>
        </w:rPr>
        <w:t xml:space="preserve"> to Info.plist.</w:t>
      </w:r>
    </w:p>
    <w:p>
      <w:pPr>
        <w:pStyle w:val="ListParagraph"/>
        <w:numPr>
          <w:ilvl w:val="0"/>
          <w:numId w:val="2"/>
        </w:numPr>
        <w:spacing w:after="80" w:line="276"/>
      </w:pPr>
      <w:r>
        <w:rPr>
          <w:b w:val="false"/>
          <w:bCs w:val="false"/>
        </w:rPr>
        <w:t xml:space="preserve">Live Activities age out after roughly 8 hours. Plan for it: re-arm on app foreground, and provide an explicit “restart” affordance on the Lock Screen widget rather than pretending the session is indefinite.</w:t>
      </w:r>
    </w:p>
    <w:p>
      <w:pPr>
        <w:pStyle w:val="ListParagraph"/>
        <w:numPr>
          <w:ilvl w:val="0"/>
          <w:numId w:val="2"/>
        </w:numPr>
        <w:spacing w:after="80" w:line="276"/>
      </w:pPr>
      <w:r>
        <w:rPr>
          <w:b w:val="false"/>
          <w:bCs w:val="false"/>
        </w:rPr>
        <w:t xml:space="preserve">The compact and minimal Dynamic Island presentations must remain legible at a glance — value and arrow only, no chart.</w:t>
      </w:r>
    </w:p>
    <w:p>
      <w:pPr>
        <w:spacing w:after="100" w:before="180"/>
      </w:pPr>
      <w:r>
        <w:rPr>
          <w:b/>
          <w:bCs/>
          <w:color w:val="1F4D78"/>
        </w:rPr>
        <w:t xml:space="preserve">Apple Watch complication</w:t>
      </w:r>
    </w:p>
    <w:p>
      <w:pPr>
        <w:pStyle w:val="ListParagraph"/>
        <w:numPr>
          <w:ilvl w:val="0"/>
          <w:numId w:val="2"/>
        </w:numPr>
        <w:spacing w:after="80" w:line="276"/>
      </w:pPr>
      <w:r>
        <w:rPr>
          <w:b w:val="false"/>
          <w:bCs w:val="false"/>
        </w:rPr>
        <w:t xml:space="preserve">Current value, trend arrow, and staleness. The dominant surface for the 20–50 daily glances.</w:t>
      </w:r>
    </w:p>
    <w:p>
      <w:pPr>
        <w:pStyle w:val="ListParagraph"/>
        <w:numPr>
          <w:ilvl w:val="0"/>
          <w:numId w:val="2"/>
        </w:numPr>
        <w:spacing w:after="80" w:line="276"/>
      </w:pPr>
      <w:r>
        <w:rPr>
          <w:b w:val="false"/>
          <w:bCs w:val="false"/>
        </w:rPr>
        <w:t xml:space="preserve">The Watch app reads HealthKit </w:t>
      </w:r>
      <w:r>
        <w:rPr>
          <w:b/>
          <w:bCs/>
        </w:rPr>
        <w:t xml:space="preserve">directly</w:t>
      </w:r>
      <w:r>
        <w:rPr>
          <w:b w:val="false"/>
          <w:bCs w:val="false"/>
        </w:rPr>
        <w:t xml:space="preserve"> rather than depending on WatchConnectivity background transfer, which is unreliable and would make the complication the least fresh surface in the system instead of the most-used one.</w:t>
      </w:r>
    </w:p>
    <w:p>
      <w:pPr>
        <w:spacing w:after="100" w:before="180"/>
      </w:pPr>
      <w:r>
        <w:rPr>
          <w:b/>
          <w:bCs/>
          <w:color w:val="1F4D78"/>
        </w:rPr>
        <w:t xml:space="preserve">App Intents</w:t>
      </w:r>
    </w:p>
    <w:p>
      <w:pPr>
        <w:pStyle w:val="ListParagraph"/>
        <w:numPr>
          <w:ilvl w:val="0"/>
          <w:numId w:val="2"/>
        </w:numPr>
        <w:spacing w:after="80" w:line="276"/>
      </w:pPr>
      <w:r>
        <w:rPr>
          <w:b w:val="false"/>
          <w:bCs w:val="false"/>
        </w:rPr>
        <w:t xml:space="preserve">“Log 4 units”, “Log 30 grams of carbs”, “What's my glucose”. Voice or Lock Screen entry is the fastest logging path available and directly serves §10's sub-30-second target.</w:t>
      </w:r>
    </w:p>
    <w:p>
      <w:pPr>
        <w:pStyle w:val="ListParagraph"/>
        <w:numPr>
          <w:ilvl w:val="0"/>
          <w:numId w:val="2"/>
        </w:numPr>
        <w:spacing w:after="80" w:line="276"/>
      </w:pPr>
      <w:r>
        <w:rPr>
          <w:b w:val="false"/>
          <w:bCs w:val="false"/>
        </w:rPr>
        <w:t xml:space="preserve">One App Intents implementation yields Siri, Shortcuts, Spotlight, and interactive widget buttons together, which is why it belongs in v2 rather than being spread across v3.</w:t>
      </w:r>
    </w:p>
    <w:p>
      <w:pPr>
        <w:pStyle w:val="Heading3"/>
        <w:spacing w:after="120" w:before="220"/>
      </w:pPr>
      <w:r>
        <w:rPr>
          <w:b w:val="false"/>
          <w:bCs w:val="false"/>
        </w:rPr>
        <w:t xml:space="preserve">3.2.5 Meal Fingerprinting</w:t>
      </w:r>
    </w:p>
    <w:p>
      <w:pPr>
        <w:pBdr>
          <w:left w:val="single" w:color="BFD3E6" w:sz="12" w:space="8"/>
        </w:pBdr>
        <w:spacing w:after="160" w:line="260"/>
        <w:ind w:left="180"/>
      </w:pPr>
      <w:r>
        <w:rPr>
          <w:b w:val="false"/>
          <w:bCs w:val="false"/>
          <w:i/>
          <w:iCs/>
          <w:color w:val="595959"/>
          <w:sz w:val="20"/>
          <w:szCs w:val="20"/>
        </w:rPr>
        <w:t xml:space="preserve">Promoted in v1.2 from v1.1's v3 line item “personal food database”, and expanded. This is the feature the official app structurally cannot offer, and it is what justifies the logging discipline the rest of v2 asks for.</w:t>
      </w:r>
    </w:p>
    <w:p>
      <w:pPr>
        <w:pStyle w:val="ListParagraph"/>
        <w:numPr>
          <w:ilvl w:val="0"/>
          <w:numId w:val="2"/>
        </w:numPr>
        <w:spacing w:after="80" w:line="276"/>
      </w:pPr>
      <w:r>
        <w:rPr>
          <w:b w:val="false"/>
          <w:bCs w:val="false"/>
        </w:rPr>
        <w:t xml:space="preserve">Tag a meal with a name. Every subsequent log of the same name links to the same food record.</w:t>
      </w:r>
    </w:p>
    <w:p>
      <w:pPr>
        <w:pStyle w:val="ListParagraph"/>
        <w:numPr>
          <w:ilvl w:val="0"/>
          <w:numId w:val="2"/>
        </w:numPr>
        <w:spacing w:after="80" w:line="276"/>
      </w:pPr>
      <w:r>
        <w:rPr>
          <w:b w:val="false"/>
          <w:bCs w:val="false"/>
        </w:rPr>
        <w:t xml:space="preserve">Opening a tagged meal shows every past glucose response to it overlaid, with a median curve: “the last four times you ate this, you peaked at 210 around 75 minutes.”</w:t>
      </w:r>
    </w:p>
    <w:p>
      <w:pPr>
        <w:pStyle w:val="ListParagraph"/>
        <w:numPr>
          <w:ilvl w:val="0"/>
          <w:numId w:val="2"/>
        </w:numPr>
        <w:spacing w:after="80" w:line="276"/>
      </w:pPr>
      <w:r>
        <w:rPr>
          <w:b w:val="false"/>
          <w:bCs w:val="false"/>
        </w:rPr>
        <w:t xml:space="preserve">Per-meal derived statistics: median peak value, median time-to-peak, median 3-hour delta, and the observed effective carb ratio when a dose was logged with it.</w:t>
      </w:r>
    </w:p>
    <w:p>
      <w:pPr>
        <w:pStyle w:val="ListParagraph"/>
        <w:numPr>
          <w:ilvl w:val="0"/>
          <w:numId w:val="2"/>
        </w:numPr>
        <w:spacing w:after="80" w:line="276"/>
      </w:pPr>
      <w:r>
        <w:rPr>
          <w:b w:val="false"/>
          <w:bCs w:val="false"/>
        </w:rPr>
        <w:t xml:space="preserve">Sorted views: the meals with the highest peaks, the most variable responses, and the flattest curves.</w:t>
      </w:r>
    </w:p>
    <w:p>
      <w:pPr>
        <w:pStyle w:val="Heading3"/>
        <w:spacing w:after="120" w:before="220"/>
      </w:pPr>
      <w:r>
        <w:rPr>
          <w:b w:val="false"/>
          <w:bCs w:val="false"/>
        </w:rPr>
        <w:t xml:space="preserve">3.2.6 Overnight Report Card</w:t>
      </w:r>
    </w:p>
    <w:p>
      <w:pPr>
        <w:pBdr>
          <w:left w:val="single" w:color="BFD3E6" w:sz="12" w:space="8"/>
        </w:pBdr>
        <w:spacing w:after="160" w:line="260"/>
        <w:ind w:left="180"/>
      </w:pPr>
      <w:r>
        <w:rPr>
          <w:b w:val="false"/>
          <w:bCs w:val="false"/>
          <w:i/>
          <w:iCs/>
          <w:color w:val="595959"/>
          <w:sz w:val="20"/>
          <w:szCs w:val="20"/>
        </w:rPr>
        <w:t xml:space="preserve">New in v1.2.</w:t>
      </w:r>
    </w:p>
    <w:p>
      <w:pPr>
        <w:spacing w:after="120" w:line="276"/>
      </w:pPr>
      <w:r>
        <w:rPr>
          <w:b w:val="false"/>
          <w:bCs w:val="false"/>
        </w:rPr>
        <w:t xml:space="preserve">A card presented on first open each morning, covering the sleep window (segmented from HealthKit </w:t>
      </w:r>
      <w:r>
        <w:rPr>
          <w:rFonts w:ascii="Consolas" w:cs="Consolas" w:eastAsia="Consolas" w:hAnsi="Consolas"/>
          <w:b w:val="false"/>
          <w:bCs w:val="false"/>
          <w:sz w:val="19"/>
          <w:szCs w:val="19"/>
        </w:rPr>
        <w:t xml:space="preserve">sleepAnalysis</w:t>
      </w:r>
      <w:r>
        <w:rPr>
          <w:b w:val="false"/>
          <w:bCs w:val="false"/>
        </w:rPr>
        <w:t xml:space="preserve"> where available, otherwise the Bedside Mode schedule):</w:t>
      </w:r>
    </w:p>
    <w:p>
      <w:pPr>
        <w:pStyle w:val="ListParagraph"/>
        <w:numPr>
          <w:ilvl w:val="0"/>
          <w:numId w:val="2"/>
        </w:numPr>
        <w:spacing w:after="80" w:line="276"/>
      </w:pPr>
      <w:r>
        <w:rPr>
          <w:b w:val="false"/>
          <w:bCs w:val="false"/>
        </w:rPr>
        <w:t xml:space="preserve">Overnight low and high with times; time-in-range while asleep; longest flat stretch.</w:t>
      </w:r>
    </w:p>
    <w:p>
      <w:pPr>
        <w:pStyle w:val="ListParagraph"/>
        <w:numPr>
          <w:ilvl w:val="0"/>
          <w:numId w:val="2"/>
        </w:numPr>
        <w:spacing w:after="80" w:line="276"/>
      </w:pPr>
      <w:r>
        <w:rPr>
          <w:b w:val="false"/>
          <w:bCs w:val="false"/>
        </w:rPr>
        <w:t xml:space="preserve">A suspected </w:t>
      </w:r>
      <w:r>
        <w:rPr>
          <w:b/>
          <w:bCs/>
        </w:rPr>
        <w:t xml:space="preserve">compression low</w:t>
      </w:r>
      <w:r>
        <w:rPr>
          <w:b w:val="false"/>
          <w:bCs w:val="false"/>
        </w:rPr>
        <w:t xml:space="preserve"> flag — a sharp drop to a low value with an equally sharp recovery and no corresponding treatment, which is a sensor artifact rather than a physiological event. Flagging these prevents the user from over-correcting a pattern that was never real, and prevents the prediction engine's own error statistics from being polluted by them.</w:t>
      </w:r>
    </w:p>
    <w:p>
      <w:pPr>
        <w:pStyle w:val="ListParagraph"/>
        <w:numPr>
          <w:ilvl w:val="0"/>
          <w:numId w:val="2"/>
        </w:numPr>
        <w:spacing w:after="80" w:line="276"/>
      </w:pPr>
      <w:r>
        <w:rPr>
          <w:b w:val="false"/>
          <w:bCs w:val="false"/>
        </w:rPr>
        <w:t xml:space="preserve">Comparison against the trailing 14-night median.</w:t>
      </w:r>
    </w:p>
    <w:p>
      <w:pPr>
        <w:pStyle w:val="Heading3"/>
        <w:spacing w:after="120" w:before="220"/>
      </w:pPr>
      <w:r>
        <w:rPr>
          <w:b w:val="false"/>
          <w:bCs w:val="false"/>
        </w:rPr>
        <w:t xml:space="preserve">3.2.7 Bolus Outcome Review</w:t>
      </w:r>
    </w:p>
    <w:p>
      <w:pPr>
        <w:pBdr>
          <w:left w:val="single" w:color="BFD3E6" w:sz="12" w:space="8"/>
        </w:pBdr>
        <w:spacing w:after="160" w:line="260"/>
        <w:ind w:left="180"/>
      </w:pPr>
      <w:r>
        <w:rPr>
          <w:b w:val="false"/>
          <w:bCs w:val="false"/>
          <w:i/>
          <w:iCs/>
          <w:color w:val="595959"/>
          <w:sz w:val="20"/>
          <w:szCs w:val="20"/>
        </w:rPr>
        <w:t xml:space="preserve">New in v1.2.</w:t>
      </w:r>
    </w:p>
    <w:p>
      <w:pPr>
        <w:spacing w:after="120" w:line="276"/>
      </w:pPr>
      <w:r>
        <w:rPr>
          <w:b w:val="false"/>
          <w:bCs w:val="false"/>
        </w:rPr>
        <w:t xml:space="preserve">For each logged dose, show predicted versus actual glucose over the following three hours. This reuses the prediction engine with no new math, closes the loop between logging and learning, and directly serves the dosing-accuracy goal — while never recommending a dose. It is retrospective by construction, which is what keeps it on the safe side of §1.2.</w:t>
      </w:r>
    </w:p>
    <w:p>
      <w:pPr>
        <w:pStyle w:val="Heading2"/>
        <w:spacing w:after="140" w:before="280"/>
      </w:pPr>
      <w:r>
        <w:rPr>
          <w:b w:val="false"/>
          <w:bCs w:val="false"/>
        </w:rPr>
        <w:t xml:space="preserve">3.3 v3 — Polish &amp; Stretch</w:t>
      </w:r>
    </w:p>
    <w:p>
      <w:pPr>
        <w:pStyle w:val="ListParagraph"/>
        <w:numPr>
          <w:ilvl w:val="0"/>
          <w:numId w:val="2"/>
        </w:numPr>
        <w:spacing w:after="80" w:line="276"/>
      </w:pPr>
      <w:r>
        <w:rPr>
          <w:b/>
          <w:bCs/>
        </w:rPr>
        <w:t xml:space="preserve">AGP PDF export</w:t>
      </w:r>
      <w:r>
        <w:rPr>
          <w:b w:val="false"/>
          <w:bCs w:val="false"/>
        </w:rPr>
        <w:t xml:space="preserve"> styled like the report endocrinologists use, built on the percentile computation already shipped in §3.1.5.</w:t>
      </w:r>
    </w:p>
    <w:p>
      <w:pPr>
        <w:pStyle w:val="ListParagraph"/>
        <w:numPr>
          <w:ilvl w:val="0"/>
          <w:numId w:val="2"/>
        </w:numPr>
        <w:spacing w:after="80" w:line="276"/>
      </w:pPr>
      <w:r>
        <w:rPr>
          <w:b/>
          <w:bCs/>
        </w:rPr>
        <w:t xml:space="preserve">Auto-generated endo prep</w:t>
      </w:r>
      <w:r>
        <w:rPr>
          <w:b w:val="false"/>
          <w:bCs w:val="false"/>
        </w:rPr>
        <w:t xml:space="preserve"> — the top three patterns detected across 90 days (“Tuesday post-lunch spikes”, “overnight drift low after evening exercise”), attached to the export. More useful in an appointment than the raw AGP page.</w:t>
      </w:r>
    </w:p>
    <w:p>
      <w:pPr>
        <w:pStyle w:val="ListParagraph"/>
        <w:numPr>
          <w:ilvl w:val="0"/>
          <w:numId w:val="2"/>
        </w:numPr>
        <w:spacing w:after="80" w:line="276"/>
      </w:pPr>
      <w:r>
        <w:rPr>
          <w:b/>
          <w:bCs/>
        </w:rPr>
        <w:t xml:space="preserve">Lock Screen and StandBy widgets</w:t>
      </w:r>
      <w:r>
        <w:rPr>
          <w:b w:val="false"/>
          <w:bCs w:val="false"/>
        </w:rPr>
        <w:t xml:space="preserve">, extending §3.2.4's surfaces.</w:t>
      </w:r>
    </w:p>
    <w:p>
      <w:pPr>
        <w:pStyle w:val="ListParagraph"/>
        <w:numPr>
          <w:ilvl w:val="0"/>
          <w:numId w:val="2"/>
        </w:numPr>
        <w:spacing w:after="80" w:line="276"/>
      </w:pPr>
      <w:r>
        <w:rPr>
          <w:b/>
          <w:bCs/>
        </w:rPr>
        <w:t xml:space="preserve">HealthKit write-back</w:t>
      </w:r>
      <w:r>
        <w:rPr>
          <w:b w:val="false"/>
          <w:bCs w:val="false"/>
        </w:rPr>
        <w:t xml:space="preserve"> so logged events are visible to other Apple Health apps.</w:t>
      </w:r>
    </w:p>
    <w:p>
      <w:pPr>
        <w:pStyle w:val="ListParagraph"/>
        <w:numPr>
          <w:ilvl w:val="0"/>
          <w:numId w:val="2"/>
        </w:numPr>
        <w:spacing w:after="80" w:line="276"/>
      </w:pPr>
      <w:r>
        <w:rPr>
          <w:b/>
          <w:bCs/>
        </w:rPr>
        <w:t xml:space="preserve">iCloud sync</w:t>
      </w:r>
      <w:r>
        <w:rPr>
          <w:b w:val="false"/>
          <w:bCs w:val="false"/>
        </w:rPr>
        <w:t xml:space="preserve"> of logged events across the user's own devices, via CloudKit private database (see §4.3 for the schema constraints this imposes from day one).</w:t>
      </w:r>
    </w:p>
    <w:p>
      <w:pPr>
        <w:pStyle w:val="ListParagraph"/>
        <w:numPr>
          <w:ilvl w:val="0"/>
          <w:numId w:val="2"/>
        </w:numPr>
        <w:spacing w:after="80" w:line="276"/>
      </w:pPr>
      <w:r>
        <w:rPr>
          <w:b/>
          <w:bCs/>
        </w:rPr>
        <w:t xml:space="preserve">Full Apple Watch app</w:t>
      </w:r>
      <w:r>
        <w:rPr>
          <w:b w:val="false"/>
          <w:bCs w:val="false"/>
        </w:rPr>
        <w:t xml:space="preserve"> beyond the complication — historical chart and logging on-wrist.</w:t>
      </w:r>
    </w:p>
    <w:p>
      <w:pPr>
        <w:pBdr>
          <w:left w:val="single" w:color="BFD3E6" w:sz="12" w:space="8"/>
        </w:pBdr>
        <w:spacing w:after="160" w:line="260"/>
        <w:ind w:left="180"/>
      </w:pPr>
      <w:r>
        <w:rPr>
          <w:b w:val="false"/>
          <w:bCs w:val="false"/>
          <w:i/>
          <w:iCs/>
          <w:color w:val="595959"/>
          <w:sz w:val="20"/>
          <w:szCs w:val="20"/>
        </w:rPr>
        <w:t xml:space="preserve">Changed in v1.2: Watch complication, widgets for logging, Siri, and the food database moved to v2 (§3.2.4, §3.2.5). What remains here is genuinely stretch.</w:t>
      </w:r>
    </w:p>
    <w:p>
      <w:pPr>
        <w:pStyle w:val="Heading1"/>
        <w:spacing w:after="160" w:before="360"/>
      </w:pPr>
      <w:r>
        <w:rPr>
          <w:b w:val="false"/>
          <w:bCs w:val="false"/>
        </w:rPr>
        <w:t xml:space="preserve">4. Technical Architecture</w:t>
      </w:r>
    </w:p>
    <w:p>
      <w:pPr>
        <w:pStyle w:val="Heading2"/>
        <w:spacing w:after="140" w:before="280"/>
      </w:pPr>
      <w:r>
        <w:rPr>
          <w:b w:val="false"/>
          <w:bCs w:val="false"/>
        </w:rPr>
        <w:t xml:space="preserve">4.1 Stack</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1600"/>
        <w:gridCol w:w="2300"/>
        <w:gridCol w:w="5460"/>
      </w:tblGrid>
      <w:tr>
        <w:trPr>
          <w:tblHeader/>
        </w:trPr>
        <w:tc>
          <w:tcPr>
            <w:tcW w:type="dxa" w:w="1600"/>
            <w:shd w:fill="DEEAF6" w:color="auto" w:val="clear"/>
            <w:tcMar>
              <w:top w:type="dxa" w:w="60"/>
              <w:left w:type="dxa" w:w="100"/>
              <w:bottom w:type="dxa" w:w="60"/>
              <w:right w:type="dxa" w:w="100"/>
            </w:tcMar>
          </w:tcPr>
          <w:p>
            <w:pPr>
              <w:spacing w:after="0" w:line="250"/>
            </w:pPr>
            <w:r>
              <w:rPr>
                <w:b/>
                <w:bCs/>
                <w:sz w:val="20"/>
                <w:szCs w:val="20"/>
              </w:rPr>
              <w:t xml:space="preserve">Layer</w:t>
            </w:r>
          </w:p>
        </w:tc>
        <w:tc>
          <w:tcPr>
            <w:tcW w:type="dxa" w:w="2300"/>
            <w:shd w:fill="DEEAF6" w:color="auto" w:val="clear"/>
            <w:tcMar>
              <w:top w:type="dxa" w:w="60"/>
              <w:left w:type="dxa" w:w="100"/>
              <w:bottom w:type="dxa" w:w="60"/>
              <w:right w:type="dxa" w:w="100"/>
            </w:tcMar>
          </w:tcPr>
          <w:p>
            <w:pPr>
              <w:spacing w:after="0" w:line="250"/>
            </w:pPr>
            <w:r>
              <w:rPr>
                <w:b/>
                <w:bCs/>
                <w:sz w:val="20"/>
                <w:szCs w:val="20"/>
              </w:rPr>
              <w:t xml:space="preserve">Choice</w:t>
            </w:r>
          </w:p>
        </w:tc>
        <w:tc>
          <w:tcPr>
            <w:tcW w:type="dxa" w:w="5460"/>
            <w:shd w:fill="DEEAF6" w:color="auto" w:val="clear"/>
            <w:tcMar>
              <w:top w:type="dxa" w:w="60"/>
              <w:left w:type="dxa" w:w="100"/>
              <w:bottom w:type="dxa" w:w="60"/>
              <w:right w:type="dxa" w:w="100"/>
            </w:tcMar>
          </w:tcPr>
          <w:p>
            <w:pPr>
              <w:spacing w:after="0" w:line="250"/>
            </w:pPr>
            <w:r>
              <w:rPr>
                <w:b/>
                <w:bCs/>
                <w:sz w:val="20"/>
                <w:szCs w:val="20"/>
              </w:rPr>
              <w:t xml:space="preserve">Rationale</w:t>
            </w:r>
          </w:p>
        </w:tc>
      </w:tr>
      <w:tr>
        <w:tc>
          <w:tcPr>
            <w:tcW w:type="dxa" w:w="1600"/>
            <w:tcMar>
              <w:top w:type="dxa" w:w="60"/>
              <w:left w:type="dxa" w:w="100"/>
              <w:bottom w:type="dxa" w:w="60"/>
              <w:right w:type="dxa" w:w="100"/>
            </w:tcMar>
          </w:tcPr>
          <w:p>
            <w:pPr>
              <w:spacing w:after="0" w:line="250"/>
            </w:pPr>
            <w:r>
              <w:rPr>
                <w:b w:val="false"/>
                <w:bCs w:val="false"/>
                <w:sz w:val="20"/>
                <w:szCs w:val="20"/>
              </w:rPr>
              <w:t xml:space="preserve">Language</w:t>
            </w:r>
          </w:p>
        </w:tc>
        <w:tc>
          <w:tcPr>
            <w:tcW w:type="dxa" w:w="2300"/>
            <w:tcMar>
              <w:top w:type="dxa" w:w="60"/>
              <w:left w:type="dxa" w:w="100"/>
              <w:bottom w:type="dxa" w:w="60"/>
              <w:right w:type="dxa" w:w="100"/>
            </w:tcMar>
          </w:tcPr>
          <w:p>
            <w:pPr>
              <w:spacing w:after="0" w:line="250"/>
            </w:pPr>
            <w:r>
              <w:rPr>
                <w:b w:val="false"/>
                <w:bCs w:val="false"/>
                <w:sz w:val="20"/>
                <w:szCs w:val="20"/>
              </w:rPr>
              <w:t xml:space="preserve">Swift 6</w:t>
            </w:r>
          </w:p>
        </w:tc>
        <w:tc>
          <w:tcPr>
            <w:tcW w:type="dxa" w:w="5460"/>
            <w:tcMar>
              <w:top w:type="dxa" w:w="60"/>
              <w:left w:type="dxa" w:w="100"/>
              <w:bottom w:type="dxa" w:w="60"/>
              <w:right w:type="dxa" w:w="100"/>
            </w:tcMar>
          </w:tcPr>
          <w:p>
            <w:pPr>
              <w:spacing w:after="0" w:line="250"/>
            </w:pPr>
            <w:r>
              <w:rPr>
                <w:b w:val="false"/>
                <w:bCs w:val="false"/>
                <w:sz w:val="20"/>
                <w:szCs w:val="20"/>
              </w:rPr>
              <w:t xml:space="preserve">Xcode 26 defaults new projects to MainActor isolation; pure value types must be marked </w:t>
            </w:r>
            <w:r>
              <w:rPr>
                <w:rFonts w:ascii="Consolas" w:cs="Consolas" w:eastAsia="Consolas" w:hAnsi="Consolas"/>
                <w:b w:val="false"/>
                <w:bCs w:val="false"/>
                <w:sz w:val="19"/>
                <w:szCs w:val="19"/>
              </w:rPr>
              <w:t xml:space="preserve">nonisolated</w:t>
            </w:r>
            <w:r>
              <w:rPr>
                <w:b w:val="false"/>
                <w:bCs w:val="false"/>
                <w:sz w:val="20"/>
                <w:szCs w:val="20"/>
              </w:rPr>
              <w:t xml:space="preserve"> to be usable from URLSession and CoreBluetooth callbacks.</w:t>
            </w:r>
          </w:p>
        </w:tc>
      </w:tr>
      <w:tr>
        <w:tc>
          <w:tcPr>
            <w:tcW w:type="dxa" w:w="1600"/>
            <w:shd w:fill="F5F8FC" w:color="auto" w:val="clear"/>
            <w:tcMar>
              <w:top w:type="dxa" w:w="60"/>
              <w:left w:type="dxa" w:w="100"/>
              <w:bottom w:type="dxa" w:w="60"/>
              <w:right w:type="dxa" w:w="100"/>
            </w:tcMar>
          </w:tcPr>
          <w:p>
            <w:pPr>
              <w:spacing w:after="0" w:line="250"/>
            </w:pPr>
            <w:r>
              <w:rPr>
                <w:b w:val="false"/>
                <w:bCs w:val="false"/>
                <w:sz w:val="20"/>
                <w:szCs w:val="20"/>
              </w:rPr>
              <w:t xml:space="preserve">UI</w:t>
            </w:r>
          </w:p>
        </w:tc>
        <w:tc>
          <w:tcPr>
            <w:tcW w:type="dxa" w:w="2300"/>
            <w:shd w:fill="F5F8FC" w:color="auto" w:val="clear"/>
            <w:tcMar>
              <w:top w:type="dxa" w:w="60"/>
              <w:left w:type="dxa" w:w="100"/>
              <w:bottom w:type="dxa" w:w="60"/>
              <w:right w:type="dxa" w:w="100"/>
            </w:tcMar>
          </w:tcPr>
          <w:p>
            <w:pPr>
              <w:spacing w:after="0" w:line="250"/>
            </w:pPr>
            <w:r>
              <w:rPr>
                <w:b w:val="false"/>
                <w:bCs w:val="false"/>
                <w:sz w:val="20"/>
                <w:szCs w:val="20"/>
              </w:rPr>
              <w:t xml:space="preserve">SwiftUI</w:t>
            </w:r>
          </w:p>
        </w:tc>
        <w:tc>
          <w:tcPr>
            <w:tcW w:type="dxa" w:w="5460"/>
            <w:shd w:fill="F5F8FC" w:color="auto" w:val="clear"/>
            <w:tcMar>
              <w:top w:type="dxa" w:w="60"/>
              <w:left w:type="dxa" w:w="100"/>
              <w:bottom w:type="dxa" w:w="60"/>
              <w:right w:type="dxa" w:w="100"/>
            </w:tcMar>
          </w:tcPr>
          <w:p>
            <w:pPr>
              <w:spacing w:after="0" w:line="250"/>
            </w:pPr>
            <w:r>
              <w:rPr>
                <w:b w:val="false"/>
                <w:bCs w:val="false"/>
                <w:sz w:val="20"/>
                <w:szCs w:val="20"/>
              </w:rPr>
              <w:t xml:space="preserve">Adaptive theming, and later widgets and Live Activities.</w:t>
            </w:r>
          </w:p>
        </w:tc>
      </w:tr>
      <w:tr>
        <w:tc>
          <w:tcPr>
            <w:tcW w:type="dxa" w:w="1600"/>
            <w:tcMar>
              <w:top w:type="dxa" w:w="60"/>
              <w:left w:type="dxa" w:w="100"/>
              <w:bottom w:type="dxa" w:w="60"/>
              <w:right w:type="dxa" w:w="100"/>
            </w:tcMar>
          </w:tcPr>
          <w:p>
            <w:pPr>
              <w:spacing w:after="0" w:line="250"/>
            </w:pPr>
            <w:r>
              <w:rPr>
                <w:b w:val="false"/>
                <w:bCs w:val="false"/>
                <w:sz w:val="20"/>
                <w:szCs w:val="20"/>
              </w:rPr>
              <w:t xml:space="preserve">Min iOS</w:t>
            </w:r>
          </w:p>
        </w:tc>
        <w:tc>
          <w:tcPr>
            <w:tcW w:type="dxa" w:w="2300"/>
            <w:tcMar>
              <w:top w:type="dxa" w:w="60"/>
              <w:left w:type="dxa" w:w="100"/>
              <w:bottom w:type="dxa" w:w="60"/>
              <w:right w:type="dxa" w:w="100"/>
            </w:tcMar>
          </w:tcPr>
          <w:p>
            <w:pPr>
              <w:spacing w:after="0" w:line="250"/>
            </w:pPr>
            <w:r>
              <w:rPr>
                <w:b w:val="false"/>
                <w:bCs w:val="false"/>
                <w:sz w:val="20"/>
                <w:szCs w:val="20"/>
              </w:rPr>
              <w:t xml:space="preserve">26.5</w:t>
            </w:r>
          </w:p>
        </w:tc>
        <w:tc>
          <w:tcPr>
            <w:tcW w:type="dxa" w:w="5460"/>
            <w:tcMar>
              <w:top w:type="dxa" w:w="60"/>
              <w:left w:type="dxa" w:w="100"/>
              <w:bottom w:type="dxa" w:w="60"/>
              <w:right w:type="dxa" w:w="100"/>
            </w:tcMar>
          </w:tcPr>
          <w:p>
            <w:pPr>
              <w:spacing w:after="0" w:line="250"/>
            </w:pPr>
            <w:r>
              <w:rPr>
                <w:b w:val="false"/>
                <w:bCs w:val="false"/>
                <w:sz w:val="20"/>
                <w:szCs w:val="20"/>
              </w:rPr>
              <w:t xml:space="preserve">One user, one phone — no backward-compatibility burden.</w:t>
            </w:r>
          </w:p>
        </w:tc>
      </w:tr>
      <w:tr>
        <w:tc>
          <w:tcPr>
            <w:tcW w:type="dxa" w:w="1600"/>
            <w:shd w:fill="F5F8FC" w:color="auto" w:val="clear"/>
            <w:tcMar>
              <w:top w:type="dxa" w:w="60"/>
              <w:left w:type="dxa" w:w="100"/>
              <w:bottom w:type="dxa" w:w="60"/>
              <w:right w:type="dxa" w:w="100"/>
            </w:tcMar>
          </w:tcPr>
          <w:p>
            <w:pPr>
              <w:spacing w:after="0" w:line="250"/>
            </w:pPr>
            <w:r>
              <w:rPr>
                <w:b w:val="false"/>
                <w:bCs w:val="false"/>
                <w:sz w:val="20"/>
                <w:szCs w:val="20"/>
              </w:rPr>
              <w:t xml:space="preserve">Live data</w:t>
            </w:r>
          </w:p>
        </w:tc>
        <w:tc>
          <w:tcPr>
            <w:tcW w:type="dxa" w:w="2300"/>
            <w:shd w:fill="F5F8FC" w:color="auto" w:val="clear"/>
            <w:tcMar>
              <w:top w:type="dxa" w:w="60"/>
              <w:left w:type="dxa" w:w="100"/>
              <w:bottom w:type="dxa" w:w="60"/>
              <w:right w:type="dxa" w:w="100"/>
            </w:tcMar>
          </w:tcPr>
          <w:p>
            <w:pPr>
              <w:spacing w:after="0" w:line="250"/>
            </w:pPr>
            <w:r>
              <w:rPr>
                <w:b/>
                <w:bCs/>
                <w:sz w:val="20"/>
                <w:szCs w:val="20"/>
              </w:rPr>
              <w:t xml:space="preserve">Dexcom Share over URLSession</w:t>
            </w:r>
          </w:p>
        </w:tc>
        <w:tc>
          <w:tcPr>
            <w:tcW w:type="dxa" w:w="5460"/>
            <w:shd w:fill="F5F8FC" w:color="auto" w:val="clear"/>
            <w:tcMar>
              <w:top w:type="dxa" w:w="60"/>
              <w:left w:type="dxa" w:w="100"/>
              <w:bottom w:type="dxa" w:w="60"/>
              <w:right w:type="dxa" w:w="100"/>
            </w:tcMar>
          </w:tcPr>
          <w:p>
            <w:pPr>
              <w:spacing w:after="0" w:line="250"/>
            </w:pPr>
            <w:r>
              <w:rPr>
                <w:b w:val="false"/>
                <w:bCs w:val="false"/>
                <w:sz w:val="20"/>
                <w:szCs w:val="20"/>
              </w:rPr>
              <w:t xml:space="preserve">Changed in v1.4. Direct BLE was implemented and empirically ruled out (§4.2.1).</w:t>
            </w:r>
          </w:p>
        </w:tc>
      </w:tr>
      <w:tr>
        <w:tc>
          <w:tcPr>
            <w:tcW w:type="dxa" w:w="1600"/>
            <w:tcMar>
              <w:top w:type="dxa" w:w="60"/>
              <w:left w:type="dxa" w:w="100"/>
              <w:bottom w:type="dxa" w:w="60"/>
              <w:right w:type="dxa" w:w="100"/>
            </w:tcMar>
          </w:tcPr>
          <w:p>
            <w:pPr>
              <w:spacing w:after="0" w:line="250"/>
            </w:pPr>
            <w:r>
              <w:rPr>
                <w:b w:val="false"/>
                <w:bCs w:val="false"/>
                <w:sz w:val="20"/>
                <w:szCs w:val="20"/>
              </w:rPr>
              <w:t xml:space="preserve">History</w:t>
            </w:r>
          </w:p>
        </w:tc>
        <w:tc>
          <w:tcPr>
            <w:tcW w:type="dxa" w:w="2300"/>
            <w:tcMar>
              <w:top w:type="dxa" w:w="60"/>
              <w:left w:type="dxa" w:w="100"/>
              <w:bottom w:type="dxa" w:w="60"/>
              <w:right w:type="dxa" w:w="100"/>
            </w:tcMar>
          </w:tcPr>
          <w:p>
            <w:pPr>
              <w:spacing w:after="0" w:line="250"/>
            </w:pPr>
            <w:r>
              <w:rPr>
                <w:b w:val="false"/>
                <w:bCs w:val="false"/>
                <w:sz w:val="20"/>
                <w:szCs w:val="20"/>
              </w:rPr>
              <w:t xml:space="preserve">HealthKit anchored queries</w:t>
            </w:r>
          </w:p>
        </w:tc>
        <w:tc>
          <w:tcPr>
            <w:tcW w:type="dxa" w:w="5460"/>
            <w:tcMar>
              <w:top w:type="dxa" w:w="60"/>
              <w:left w:type="dxa" w:w="100"/>
              <w:bottom w:type="dxa" w:w="60"/>
              <w:right w:type="dxa" w:w="100"/>
            </w:tcMar>
          </w:tcPr>
          <w:p>
            <w:pPr>
              <w:spacing w:after="0" w:line="250"/>
            </w:pPr>
            <w:r>
              <w:rPr>
                <w:b w:val="false"/>
                <w:bCs w:val="false"/>
                <w:sz w:val="20"/>
                <w:szCs w:val="20"/>
              </w:rPr>
              <w:t xml:space="preserve">90-day backfill. Three-hour delay, so backfill only.</w:t>
            </w:r>
          </w:p>
        </w:tc>
      </w:tr>
      <w:tr>
        <w:tc>
          <w:tcPr>
            <w:tcW w:type="dxa" w:w="1600"/>
            <w:shd w:fill="F5F8FC" w:color="auto" w:val="clear"/>
            <w:tcMar>
              <w:top w:type="dxa" w:w="60"/>
              <w:left w:type="dxa" w:w="100"/>
              <w:bottom w:type="dxa" w:w="60"/>
              <w:right w:type="dxa" w:w="100"/>
            </w:tcMar>
          </w:tcPr>
          <w:p>
            <w:pPr>
              <w:spacing w:after="0" w:line="250"/>
            </w:pPr>
            <w:r>
              <w:rPr>
                <w:b w:val="false"/>
                <w:bCs w:val="false"/>
                <w:sz w:val="20"/>
                <w:szCs w:val="20"/>
              </w:rPr>
              <w:t xml:space="preserve">Persistence</w:t>
            </w:r>
          </w:p>
        </w:tc>
        <w:tc>
          <w:tcPr>
            <w:tcW w:type="dxa" w:w="2300"/>
            <w:shd w:fill="F5F8FC" w:color="auto" w:val="clear"/>
            <w:tcMar>
              <w:top w:type="dxa" w:w="60"/>
              <w:left w:type="dxa" w:w="100"/>
              <w:bottom w:type="dxa" w:w="60"/>
              <w:right w:type="dxa" w:w="100"/>
            </w:tcMar>
          </w:tcPr>
          <w:p>
            <w:pPr>
              <w:spacing w:after="0" w:line="250"/>
            </w:pPr>
            <w:r>
              <w:rPr>
                <w:b w:val="false"/>
                <w:bCs w:val="false"/>
                <w:sz w:val="20"/>
                <w:szCs w:val="20"/>
              </w:rPr>
              <w:t xml:space="preserve">SwiftData</w:t>
            </w:r>
          </w:p>
        </w:tc>
        <w:tc>
          <w:tcPr>
            <w:tcW w:type="dxa" w:w="5460"/>
            <w:shd w:fill="F5F8FC" w:color="auto" w:val="clear"/>
            <w:tcMar>
              <w:top w:type="dxa" w:w="60"/>
              <w:left w:type="dxa" w:w="100"/>
              <w:bottom w:type="dxa" w:w="60"/>
              <w:right w:type="dxa" w:w="100"/>
            </w:tcMar>
          </w:tcPr>
          <w:p>
            <w:pPr>
              <w:spacing w:after="0" w:line="250"/>
            </w:pPr>
            <w:r>
              <w:rPr>
                <w:b w:val="false"/>
                <w:bCs w:val="false"/>
                <w:sz w:val="20"/>
                <w:szCs w:val="20"/>
              </w:rPr>
              <w:t xml:space="preserve">Versioned migrations; CloudKit-ready subject to §4.3's constraints.</w:t>
            </w:r>
          </w:p>
        </w:tc>
      </w:tr>
      <w:tr>
        <w:tc>
          <w:tcPr>
            <w:tcW w:type="dxa" w:w="1600"/>
            <w:tcMar>
              <w:top w:type="dxa" w:w="60"/>
              <w:left w:type="dxa" w:w="100"/>
              <w:bottom w:type="dxa" w:w="60"/>
              <w:right w:type="dxa" w:w="100"/>
            </w:tcMar>
          </w:tcPr>
          <w:p>
            <w:pPr>
              <w:spacing w:after="0" w:line="250"/>
            </w:pPr>
            <w:r>
              <w:rPr>
                <w:b w:val="false"/>
                <w:bCs w:val="false"/>
                <w:sz w:val="20"/>
                <w:szCs w:val="20"/>
              </w:rPr>
              <w:t xml:space="preserve">Charts</w:t>
            </w:r>
          </w:p>
        </w:tc>
        <w:tc>
          <w:tcPr>
            <w:tcW w:type="dxa" w:w="2300"/>
            <w:tcMar>
              <w:top w:type="dxa" w:w="60"/>
              <w:left w:type="dxa" w:w="100"/>
              <w:bottom w:type="dxa" w:w="60"/>
              <w:right w:type="dxa" w:w="100"/>
            </w:tcMar>
          </w:tcPr>
          <w:p>
            <w:pPr>
              <w:spacing w:after="0" w:line="250"/>
            </w:pPr>
            <w:r>
              <w:rPr>
                <w:b w:val="false"/>
                <w:bCs w:val="false"/>
                <w:sz w:val="20"/>
                <w:szCs w:val="20"/>
              </w:rPr>
              <w:t xml:space="preserve">Swift Charts (Apple)</w:t>
            </w:r>
          </w:p>
        </w:tc>
        <w:tc>
          <w:tcPr>
            <w:tcW w:type="dxa" w:w="5460"/>
            <w:tcMar>
              <w:top w:type="dxa" w:w="60"/>
              <w:left w:type="dxa" w:w="100"/>
              <w:bottom w:type="dxa" w:w="60"/>
              <w:right w:type="dxa" w:w="100"/>
            </w:tcMar>
          </w:tcPr>
          <w:p>
            <w:pPr>
              <w:spacing w:after="0" w:line="250"/>
            </w:pPr>
            <w:r>
              <w:rPr>
                <w:b w:val="false"/>
                <w:bCs w:val="false"/>
                <w:sz w:val="20"/>
                <w:szCs w:val="20"/>
              </w:rPr>
              <w:t xml:space="preserve">Requires downsampling above ~2,000 points (§4.5).</w:t>
            </w:r>
          </w:p>
        </w:tc>
      </w:tr>
      <w:tr>
        <w:tc>
          <w:tcPr>
            <w:tcW w:type="dxa" w:w="1600"/>
            <w:shd w:fill="F5F8FC" w:color="auto" w:val="clear"/>
            <w:tcMar>
              <w:top w:type="dxa" w:w="60"/>
              <w:left w:type="dxa" w:w="100"/>
              <w:bottom w:type="dxa" w:w="60"/>
              <w:right w:type="dxa" w:w="100"/>
            </w:tcMar>
          </w:tcPr>
          <w:p>
            <w:pPr>
              <w:spacing w:after="0" w:line="250"/>
            </w:pPr>
            <w:r>
              <w:rPr>
                <w:b w:val="false"/>
                <w:bCs w:val="false"/>
                <w:sz w:val="20"/>
                <w:szCs w:val="20"/>
              </w:rPr>
              <w:t xml:space="preserve">Secrets</w:t>
            </w:r>
          </w:p>
        </w:tc>
        <w:tc>
          <w:tcPr>
            <w:tcW w:type="dxa" w:w="2300"/>
            <w:shd w:fill="F5F8FC" w:color="auto" w:val="clear"/>
            <w:tcMar>
              <w:top w:type="dxa" w:w="60"/>
              <w:left w:type="dxa" w:w="100"/>
              <w:bottom w:type="dxa" w:w="60"/>
              <w:right w:type="dxa" w:w="100"/>
            </w:tcMar>
          </w:tcPr>
          <w:p>
            <w:pPr>
              <w:spacing w:after="0" w:line="250"/>
            </w:pPr>
            <w:r>
              <w:rPr>
                <w:b w:val="false"/>
                <w:bCs w:val="false"/>
                <w:sz w:val="20"/>
                <w:szCs w:val="20"/>
              </w:rPr>
              <w:t xml:space="preserve">Keychain Services</w:t>
            </w:r>
          </w:p>
        </w:tc>
        <w:tc>
          <w:tcPr>
            <w:tcW w:type="dxa" w:w="5460"/>
            <w:shd w:fill="F5F8FC" w:color="auto" w:val="clear"/>
            <w:tcMar>
              <w:top w:type="dxa" w:w="60"/>
              <w:left w:type="dxa" w:w="100"/>
              <w:bottom w:type="dxa" w:w="60"/>
              <w:right w:type="dxa" w:w="100"/>
            </w:tcMar>
          </w:tcPr>
          <w:p>
            <w:pPr>
              <w:spacing w:after="0" w:line="250"/>
            </w:pPr>
            <w:r>
              <w:rPr>
                <w:rFonts w:ascii="Consolas" w:cs="Consolas" w:eastAsia="Consolas" w:hAnsi="Consolas"/>
                <w:b w:val="false"/>
                <w:bCs w:val="false"/>
                <w:sz w:val="19"/>
                <w:szCs w:val="19"/>
              </w:rPr>
              <w:t xml:space="preserve">kSecAttrAccessibleAfterFirstUnlockThisDeviceOnly</w:t>
            </w:r>
            <w:r>
              <w:rPr>
                <w:b w:val="false"/>
                <w:bCs w:val="false"/>
                <w:sz w:val="20"/>
                <w:szCs w:val="20"/>
              </w:rPr>
              <w:t xml:space="preserve"> — </w:t>
            </w:r>
            <w:r>
              <w:rPr>
                <w:rFonts w:ascii="Consolas" w:cs="Consolas" w:eastAsia="Consolas" w:hAnsi="Consolas"/>
                <w:b w:val="false"/>
                <w:bCs w:val="false"/>
                <w:sz w:val="19"/>
                <w:szCs w:val="19"/>
              </w:rPr>
              <w:t xml:space="preserve">WhenUnlocked</w:t>
            </w:r>
            <w:r>
              <w:rPr>
                <w:b w:val="false"/>
                <w:bCs w:val="false"/>
                <w:sz w:val="20"/>
                <w:szCs w:val="20"/>
              </w:rPr>
              <w:t xml:space="preserve"> would break polling while the phone is locked.</w:t>
            </w:r>
          </w:p>
        </w:tc>
      </w:tr>
      <w:tr>
        <w:tc>
          <w:tcPr>
            <w:tcW w:type="dxa" w:w="1600"/>
            <w:tcMar>
              <w:top w:type="dxa" w:w="60"/>
              <w:left w:type="dxa" w:w="100"/>
              <w:bottom w:type="dxa" w:w="60"/>
              <w:right w:type="dxa" w:w="100"/>
            </w:tcMar>
          </w:tcPr>
          <w:p>
            <w:pPr>
              <w:spacing w:after="0" w:line="250"/>
            </w:pPr>
            <w:r>
              <w:rPr>
                <w:b w:val="false"/>
                <w:bCs w:val="false"/>
                <w:sz w:val="20"/>
                <w:szCs w:val="20"/>
              </w:rPr>
              <w:t xml:space="preserve">Background</w:t>
            </w:r>
          </w:p>
        </w:tc>
        <w:tc>
          <w:tcPr>
            <w:tcW w:type="dxa" w:w="2300"/>
            <w:tcMar>
              <w:top w:type="dxa" w:w="60"/>
              <w:left w:type="dxa" w:w="100"/>
              <w:bottom w:type="dxa" w:w="60"/>
              <w:right w:type="dxa" w:w="100"/>
            </w:tcMar>
          </w:tcPr>
          <w:p>
            <w:pPr>
              <w:spacing w:after="0" w:line="250"/>
            </w:pPr>
            <w:r>
              <w:rPr>
                <w:b w:val="false"/>
                <w:bCs w:val="false"/>
                <w:sz w:val="20"/>
                <w:szCs w:val="20"/>
              </w:rPr>
              <w:t xml:space="preserve">BGAppRefreshTask (opportunistic)</w:t>
            </w:r>
          </w:p>
        </w:tc>
        <w:tc>
          <w:tcPr>
            <w:tcW w:type="dxa" w:w="5460"/>
            <w:tcMar>
              <w:top w:type="dxa" w:w="60"/>
              <w:left w:type="dxa" w:w="100"/>
              <w:bottom w:type="dxa" w:w="60"/>
              <w:right w:type="dxa" w:w="100"/>
            </w:tcMar>
          </w:tcPr>
          <w:p>
            <w:pPr>
              <w:spacing w:after="0" w:line="250"/>
            </w:pPr>
            <w:r>
              <w:rPr>
                <w:b w:val="false"/>
                <w:bCs w:val="false"/>
                <w:sz w:val="20"/>
                <w:szCs w:val="20"/>
              </w:rPr>
              <w:t xml:space="preserve">Changed in v1.4. With BLE ruled out there is no push wake mechanism; background freshness is now best-effort and must not be relied upon (§4.2.1).</w:t>
            </w:r>
          </w:p>
        </w:tc>
      </w:tr>
      <w:tr>
        <w:tc>
          <w:tcPr>
            <w:tcW w:type="dxa" w:w="1600"/>
            <w:shd w:fill="F5F8FC" w:color="auto" w:val="clear"/>
            <w:tcMar>
              <w:top w:type="dxa" w:w="60"/>
              <w:left w:type="dxa" w:w="100"/>
              <w:bottom w:type="dxa" w:w="60"/>
              <w:right w:type="dxa" w:w="100"/>
            </w:tcMar>
          </w:tcPr>
          <w:p>
            <w:pPr>
              <w:spacing w:after="0" w:line="250"/>
            </w:pPr>
            <w:r>
              <w:rPr>
                <w:b w:val="false"/>
                <w:bCs w:val="false"/>
                <w:sz w:val="20"/>
                <w:szCs w:val="20"/>
              </w:rPr>
              <w:t xml:space="preserve">Entitlements</w:t>
            </w:r>
          </w:p>
        </w:tc>
        <w:tc>
          <w:tcPr>
            <w:tcW w:type="dxa" w:w="2300"/>
            <w:shd w:fill="F5F8FC" w:color="auto" w:val="clear"/>
            <w:tcMar>
              <w:top w:type="dxa" w:w="60"/>
              <w:left w:type="dxa" w:w="100"/>
              <w:bottom w:type="dxa" w:w="60"/>
              <w:right w:type="dxa" w:w="100"/>
            </w:tcMar>
          </w:tcPr>
          <w:p>
            <w:pPr>
              <w:spacing w:after="0" w:line="250"/>
            </w:pPr>
            <w:r>
              <w:rPr>
                <w:b w:val="false"/>
                <w:bCs w:val="false"/>
                <w:sz w:val="20"/>
                <w:szCs w:val="20"/>
              </w:rPr>
              <w:t xml:space="preserve">HealthKit; App Groups (v2, paid)</w:t>
            </w:r>
          </w:p>
        </w:tc>
        <w:tc>
          <w:tcPr>
            <w:tcW w:type="dxa" w:w="5460"/>
            <w:shd w:fill="F5F8FC" w:color="auto" w:val="clear"/>
            <w:tcMar>
              <w:top w:type="dxa" w:w="60"/>
              <w:left w:type="dxa" w:w="100"/>
              <w:bottom w:type="dxa" w:w="60"/>
              <w:right w:type="dxa" w:w="100"/>
            </w:tcMar>
          </w:tcPr>
          <w:p>
            <w:pPr>
              <w:spacing w:after="0" w:line="250"/>
            </w:pPr>
            <w:r>
              <w:rPr>
                <w:b w:val="false"/>
                <w:bCs w:val="false"/>
                <w:sz w:val="20"/>
                <w:szCs w:val="20"/>
              </w:rPr>
              <w:t xml:space="preserve">v1 is buildable on a free personal team (§6.1).</w:t>
            </w:r>
          </w:p>
        </w:tc>
      </w:tr>
      <w:tr>
        <w:tc>
          <w:tcPr>
            <w:tcW w:type="dxa" w:w="1600"/>
            <w:tcMar>
              <w:top w:type="dxa" w:w="60"/>
              <w:left w:type="dxa" w:w="100"/>
              <w:bottom w:type="dxa" w:w="60"/>
              <w:right w:type="dxa" w:w="100"/>
            </w:tcMar>
          </w:tcPr>
          <w:p>
            <w:pPr>
              <w:spacing w:after="0" w:line="250"/>
            </w:pPr>
            <w:r>
              <w:rPr>
                <w:b w:val="false"/>
                <w:bCs w:val="false"/>
                <w:sz w:val="20"/>
                <w:szCs w:val="20"/>
              </w:rPr>
              <w:t xml:space="preserve">Testing</w:t>
            </w:r>
          </w:p>
        </w:tc>
        <w:tc>
          <w:tcPr>
            <w:tcW w:type="dxa" w:w="2300"/>
            <w:tcMar>
              <w:top w:type="dxa" w:w="60"/>
              <w:left w:type="dxa" w:w="100"/>
              <w:bottom w:type="dxa" w:w="60"/>
              <w:right w:type="dxa" w:w="100"/>
            </w:tcMar>
          </w:tcPr>
          <w:p>
            <w:pPr>
              <w:spacing w:after="0" w:line="250"/>
            </w:pPr>
            <w:r>
              <w:rPr>
                <w:b w:val="false"/>
                <w:bCs w:val="false"/>
                <w:sz w:val="20"/>
                <w:szCs w:val="20"/>
              </w:rPr>
              <w:t xml:space="preserve">Swift Testing</w:t>
            </w:r>
          </w:p>
        </w:tc>
        <w:tc>
          <w:tcPr>
            <w:tcW w:type="dxa" w:w="5460"/>
            <w:tcMar>
              <w:top w:type="dxa" w:w="60"/>
              <w:left w:type="dxa" w:w="100"/>
              <w:bottom w:type="dxa" w:w="60"/>
              <w:right w:type="dxa" w:w="100"/>
            </w:tcMar>
          </w:tcPr>
          <w:p>
            <w:pPr>
              <w:spacing w:after="0" w:line="250"/>
            </w:pPr>
            <w:r>
              <w:rPr>
                <w:b w:val="false"/>
                <w:bCs w:val="false"/>
                <w:sz w:val="20"/>
                <w:szCs w:val="20"/>
              </w:rPr>
              <w:t xml:space="preserve">35 tests covering Share parsing, unit conversion, and error classification.</w:t>
            </w:r>
          </w:p>
        </w:tc>
      </w:tr>
    </w:tbl>
    <w:p>
      <w:pPr>
        <w:pStyle w:val="Heading2"/>
        <w:spacing w:after="140" w:before="280"/>
      </w:pPr>
      <w:r>
        <w:rPr>
          <w:b w:val="false"/>
          <w:bCs w:val="false"/>
        </w:rPr>
        <w:t xml:space="preserve">4.2 Data Source Layer</w:t>
      </w:r>
    </w:p>
    <w:p>
      <w:pPr>
        <w:pStyle w:val="Heading3"/>
        <w:spacing w:after="120" w:before="220"/>
      </w:pPr>
      <w:r>
        <w:rPr>
          <w:b w:val="false"/>
          <w:bCs w:val="false"/>
        </w:rPr>
        <w:t xml:space="preserve">4.2.1 Background Refresh — and its limits</w:t>
      </w:r>
    </w:p>
    <w:p>
      <w:pPr>
        <w:pBdr>
          <w:left w:val="single" w:color="BFD3E6" w:sz="12" w:space="8"/>
        </w:pBdr>
        <w:spacing w:after="160" w:line="260"/>
        <w:ind w:left="180"/>
      </w:pPr>
      <w:r>
        <w:rPr>
          <w:b w:val="false"/>
          <w:bCs w:val="false"/>
          <w:i/>
          <w:iCs/>
          <w:color w:val="595959"/>
          <w:sz w:val="20"/>
          <w:szCs w:val="20"/>
        </w:rPr>
        <w:t xml:space="preserve">Rewritten in v1.4. Both prior designs are dead: v1.1's BGAppRefreshTask assumption was wrong, v1.2's HealthKit background delivery is three hours stale, and v1.3's CoreBluetooth restoration depended on a BLE path that does not work.</w:t>
      </w:r>
    </w:p>
    <w:p>
      <w:pPr>
        <w:spacing w:after="120" w:line="276"/>
      </w:pPr>
      <w:r>
        <w:rPr>
          <w:b/>
          <w:bCs/>
        </w:rPr>
        <w:t xml:space="preserve">GlucoNoir has no reliable background wake mechanism.</w:t>
      </w:r>
      <w:r>
        <w:rPr>
          <w:b w:val="false"/>
          <w:bCs w:val="false"/>
        </w:rPr>
        <w:t xml:space="preserve"> This should be stated plainly rather than engineered around:</w:t>
      </w:r>
    </w:p>
    <w:p>
      <w:pPr>
        <w:pStyle w:val="ListParagraph"/>
        <w:numPr>
          <w:ilvl w:val="0"/>
          <w:numId w:val="2"/>
        </w:numPr>
        <w:spacing w:after="80" w:line="276"/>
      </w:pPr>
      <w:r>
        <w:rPr>
          <w:rFonts w:ascii="Consolas" w:cs="Consolas" w:eastAsia="Consolas" w:hAnsi="Consolas"/>
          <w:b w:val="false"/>
          <w:bCs w:val="false"/>
          <w:sz w:val="19"/>
          <w:szCs w:val="19"/>
        </w:rPr>
        <w:t xml:space="preserve">BGAppRefreshTask</w:t>
      </w:r>
      <w:r>
        <w:rPr>
          <w:b w:val="false"/>
          <w:bCs w:val="false"/>
        </w:rPr>
        <w:t xml:space="preserve"> schedules at the system's discretion. </w:t>
      </w:r>
      <w:r>
        <w:rPr>
          <w:rFonts w:ascii="Consolas" w:cs="Consolas" w:eastAsia="Consolas" w:hAnsi="Consolas"/>
          <w:b w:val="false"/>
          <w:bCs w:val="false"/>
          <w:sz w:val="19"/>
          <w:szCs w:val="19"/>
        </w:rPr>
        <w:t xml:space="preserve">earliestBeginDate</w:t>
      </w:r>
      <w:r>
        <w:rPr>
          <w:b w:val="false"/>
          <w:bCs w:val="false"/>
        </w:rPr>
        <w:t xml:space="preserve"> is a floor, not a schedule, and the task is least likely to run overnight when the app has been idle for hours.</w:t>
      </w:r>
    </w:p>
    <w:p>
      <w:pPr>
        <w:pStyle w:val="ListParagraph"/>
        <w:numPr>
          <w:ilvl w:val="0"/>
          <w:numId w:val="2"/>
        </w:numPr>
        <w:spacing w:after="80" w:line="276"/>
      </w:pPr>
      <w:r>
        <w:rPr>
          <w:b w:val="false"/>
          <w:bCs w:val="false"/>
        </w:rPr>
        <w:t xml:space="preserve">HealthKit background delivery would fire reliably but carries three-hour-old data.</w:t>
      </w:r>
    </w:p>
    <w:p>
      <w:pPr>
        <w:pStyle w:val="ListParagraph"/>
        <w:numPr>
          <w:ilvl w:val="0"/>
          <w:numId w:val="2"/>
        </w:numPr>
        <w:spacing w:after="80" w:line="276"/>
      </w:pPr>
      <w:r>
        <w:rPr>
          <w:b w:val="false"/>
          <w:bCs w:val="false"/>
        </w:rPr>
        <w:t xml:space="preserve">CoreBluetooth restoration is unavailable, since the sensor will not stream to this app at all.</w:t>
      </w:r>
    </w:p>
    <w:p>
      <w:pPr>
        <w:spacing w:after="120" w:line="276"/>
      </w:pPr>
      <w:r>
        <w:rPr>
          <w:b/>
          <w:bCs/>
        </w:rPr>
        <w:t xml:space="preserve">Consequence:</w:t>
      </w:r>
      <w:r>
        <w:rPr>
          <w:b w:val="false"/>
          <w:bCs w:val="false"/>
        </w:rPr>
        <w:t xml:space="preserve"> freshness is a foreground property. Opening the app triggers an immediate poll and produces a current reading within a second or two. In the background the app polls while it remains alive, and stops when the system suspends it. A value seen on opening the app is trustworthy; the app being open in the background is not a guarantee of anything.</w:t>
      </w:r>
    </w:p>
    <w:p>
      <w:pPr>
        <w:spacing w:after="120" w:line="276"/>
      </w:pPr>
      <w:r>
        <w:rPr>
          <w:b w:val="false"/>
          <w:bCs w:val="false"/>
        </w:rPr>
        <w:t xml:space="preserve">This is precisely why alarms remain with the official Dexcom app (§1.3), and why Phase 9's Live Activity is a convenience rather than a monitoring surface.</w:t>
      </w:r>
    </w:p>
    <w:p>
      <w:pPr>
        <w:spacing w:after="100" w:before="180"/>
      </w:pPr>
      <w:r>
        <w:rPr>
          <w:b/>
          <w:bCs/>
          <w:color w:val="1F4D78"/>
        </w:rPr>
        <w:t xml:space="preserve">What this means for the user, stated plainly</w:t>
      </w:r>
    </w:p>
    <w:p>
      <w:pPr>
        <w:spacing w:after="120" w:line="276"/>
      </w:pPr>
      <w:r>
        <w:rPr>
          <w:b w:val="false"/>
          <w:bCs w:val="false"/>
        </w:rPr>
        <w:t xml:space="preserve">Added in v1.5 after the question was asked directly. GlucoNoir does not collect data continuously. It collects when it is open.</w:t>
      </w:r>
    </w:p>
    <w:p>
      <w:pPr>
        <w:pStyle w:val="ListParagraph"/>
        <w:numPr>
          <w:ilvl w:val="0"/>
          <w:numId w:val="2"/>
        </w:numPr>
        <w:spacing w:after="80" w:line="276"/>
      </w:pPr>
      <w:r>
        <w:rPr>
          <w:b/>
          <w:bCs/>
        </w:rPr>
        <w:t xml:space="preserve">A value seen on opening the app is trustworthy</w:t>
      </w:r>
      <w:r>
        <w:rPr>
          <w:b w:val="false"/>
          <w:bCs w:val="false"/>
        </w:rPr>
        <w:t xml:space="preserve"> — the app polls immediately on becoming active, so a glance always fetches rather than showing a cached number.</w:t>
      </w:r>
    </w:p>
    <w:p>
      <w:pPr>
        <w:pStyle w:val="ListParagraph"/>
        <w:numPr>
          <w:ilvl w:val="0"/>
          <w:numId w:val="2"/>
        </w:numPr>
        <w:spacing w:after="80" w:line="276"/>
      </w:pPr>
      <w:r>
        <w:rPr>
          <w:b/>
          <w:bCs/>
        </w:rPr>
        <w:t xml:space="preserve">The app being open in the background guarantees nothing.</w:t>
      </w:r>
      <w:r>
        <w:rPr>
          <w:b w:val="false"/>
          <w:bCs w:val="false"/>
        </w:rPr>
        <w:t xml:space="preserve"> iOS suspends it within seconds to minutes and polling stops.</w:t>
      </w:r>
    </w:p>
    <w:p>
      <w:pPr>
        <w:pStyle w:val="ListParagraph"/>
        <w:numPr>
          <w:ilvl w:val="0"/>
          <w:numId w:val="2"/>
        </w:numPr>
        <w:spacing w:after="80" w:line="276"/>
      </w:pPr>
      <w:r>
        <w:rPr>
          <w:b/>
          <w:bCs/>
        </w:rPr>
        <w:t xml:space="preserve">History still closes its own gaps.</w:t>
      </w:r>
      <w:r>
        <w:rPr>
          <w:b w:val="false"/>
          <w:bCs w:val="false"/>
        </w:rPr>
        <w:t xml:space="preserve"> Because Share retains 24 hours and the fetch window sizes itself to the gap since the newest stored reading, opening the app once a day yields continuous stored history despite the app having been asleep for most of it (§4.3). Beyond 24 hours, HealthKit backfill extends the repair window to 90 days.</w:t>
      </w:r>
    </w:p>
    <w:p>
      <w:pPr>
        <w:spacing w:after="120" w:line="276"/>
      </w:pPr>
      <w:r>
        <w:rPr>
          <w:b w:val="false"/>
          <w:bCs w:val="false"/>
        </w:rPr>
        <w:t xml:space="preserve">So GlucoNoir is a “look at it” application, not a monitoring one. The distinction is not pedantic: it is the whole reason the FDA-cleared alarms stay on an app that reads the sensor directly and depends on neither a network nor a scheduler.</w:t>
      </w:r>
    </w:p>
    <w:p>
      <w:pPr>
        <w:pStyle w:val="Heading3"/>
        <w:spacing w:after="120" w:before="220"/>
      </w:pPr>
      <w:r>
        <w:rPr>
          <w:b w:val="false"/>
          <w:bCs w:val="false"/>
        </w:rPr>
        <w:t xml:space="preserve">4.2.2 ShareMonitor</w:t>
      </w:r>
    </w:p>
    <w:p>
      <w:pPr>
        <w:pStyle w:val="ListParagraph"/>
        <w:numPr>
          <w:ilvl w:val="0"/>
          <w:numId w:val="2"/>
        </w:numPr>
        <w:spacing w:after="80" w:line="276"/>
      </w:pPr>
      <w:r>
        <w:rPr>
          <w:b w:val="false"/>
          <w:bCs w:val="false"/>
        </w:rPr>
        <w:t xml:space="preserve">Owns polling and publishes the state the UI observes.</w:t>
      </w:r>
    </w:p>
    <w:p>
      <w:pPr>
        <w:pStyle w:val="ListParagraph"/>
        <w:numPr>
          <w:ilvl w:val="0"/>
          <w:numId w:val="2"/>
        </w:numPr>
        <w:spacing w:after="80" w:line="276"/>
      </w:pPr>
      <w:r>
        <w:rPr>
          <w:b/>
          <w:bCs/>
        </w:rPr>
        <w:t xml:space="preserve">Cadence anchored to the sensor</w:t>
      </w:r>
      <w:r>
        <w:rPr>
          <w:b w:val="false"/>
          <w:bCs w:val="false"/>
        </w:rPr>
        <w:t xml:space="preserve">, not a fixed timer: after a reading timestamped T, the next poll is scheduled at T + 5min + 25s. Blind interval polling would either waste requests or systematically miss readings by up to a full cycle.</w:t>
      </w:r>
    </w:p>
    <w:p>
      <w:pPr>
        <w:pStyle w:val="ListParagraph"/>
        <w:numPr>
          <w:ilvl w:val="0"/>
          <w:numId w:val="2"/>
        </w:numPr>
        <w:spacing w:after="80" w:line="276"/>
      </w:pPr>
      <w:r>
        <w:rPr>
          <w:b/>
          <w:bCs/>
        </w:rPr>
        <w:t xml:space="preserve">Immediate poll on </w:t>
      </w:r>
      <w:r>
        <w:rPr>
          <w:rFonts w:ascii="Consolas" w:cs="Consolas" w:eastAsia="Consolas" w:hAnsi="Consolas"/>
          <w:b/>
          <w:bCs/>
          <w:sz w:val="19"/>
          <w:szCs w:val="19"/>
        </w:rPr>
        <w:t xml:space="preserve">scenePhase == .active</w:t>
      </w:r>
      <w:r>
        <w:rPr>
          <w:b/>
          <w:bCs/>
        </w:rPr>
        <w:t xml:space="preserve">.</w:t>
      </w:r>
      <w:r>
        <w:rPr>
          <w:b w:val="false"/>
          <w:bCs w:val="false"/>
        </w:rPr>
        <w:t xml:space="preserve"> The dominant use case is a glance, and a glance must fetch.</w:t>
      </w:r>
    </w:p>
    <w:p>
      <w:pPr>
        <w:pStyle w:val="ListParagraph"/>
        <w:numPr>
          <w:ilvl w:val="0"/>
          <w:numId w:val="2"/>
        </w:numPr>
        <w:spacing w:after="80" w:line="276"/>
      </w:pPr>
      <w:r>
        <w:rPr>
          <w:b/>
          <w:bCs/>
        </w:rPr>
        <w:t xml:space="preserve">Backoff on transient failure only:</w:t>
      </w:r>
      <w:r>
        <w:rPr>
          <w:b w:val="false"/>
          <w:bCs w:val="false"/>
        </w:rPr>
        <w:t xml:space="preserve"> 30s, 60s, 120s, 300s. Terminal failures stop polling entirely.</w:t>
      </w:r>
    </w:p>
    <w:p>
      <w:pPr>
        <w:pStyle w:val="ListParagraph"/>
        <w:numPr>
          <w:ilvl w:val="0"/>
          <w:numId w:val="2"/>
        </w:numPr>
        <w:spacing w:after="80" w:line="276"/>
      </w:pPr>
      <w:r>
        <w:rPr>
          <w:b w:val="false"/>
          <w:bCs w:val="false"/>
        </w:rPr>
        <w:t xml:space="preserve">Requests a 180-minute / 36-reading window rather than a single value, so the 3-hour chart is populated by the same call that refreshes the hero number.</w:t>
      </w:r>
    </w:p>
    <w:p>
      <w:pPr>
        <w:pStyle w:val="Heading3"/>
        <w:spacing w:after="120" w:before="220"/>
      </w:pPr>
      <w:r>
        <w:rPr>
          <w:b w:val="false"/>
          <w:bCs w:val="false"/>
        </w:rPr>
        <w:t xml:space="preserve">4.2.3 DexcomShareClient</w:t>
      </w:r>
    </w:p>
    <w:p>
      <w:pPr>
        <w:spacing w:after="120" w:line="276"/>
      </w:pPr>
      <w:r>
        <w:rPr>
          <w:b w:val="false"/>
          <w:bCs w:val="false"/>
        </w:rPr>
        <w:t xml:space="preserve">An actor, so concurrent callers cannot trigger duplicate logins. Endpoints and constants verified against pydexcom, the maintained reference implementation.</w:t>
      </w:r>
    </w:p>
    <w:p>
      <w:pPr>
        <w:spacing w:after="100" w:before="180"/>
      </w:pPr>
      <w:r>
        <w:rPr>
          <w:b/>
          <w:bCs/>
          <w:color w:val="1F4D78"/>
        </w:rPr>
        <w:t xml:space="preserve">Authentication flow</w:t>
      </w:r>
    </w:p>
    <w:p>
      <w:pPr>
        <w:pStyle w:val="ListParagraph"/>
        <w:numPr>
          <w:ilvl w:val="0"/>
          <w:numId w:val="3"/>
        </w:numPr>
        <w:spacing w:after="80" w:line="276"/>
      </w:pPr>
      <w:r>
        <w:rPr>
          <w:rFonts w:ascii="Consolas" w:cs="Consolas" w:eastAsia="Consolas" w:hAnsi="Consolas"/>
          <w:b w:val="false"/>
          <w:bCs w:val="false"/>
          <w:sz w:val="19"/>
          <w:szCs w:val="19"/>
        </w:rPr>
        <w:t xml:space="preserve">POST General/AuthenticatePublisherAccount</w:t>
      </w:r>
      <w:r>
        <w:rPr>
          <w:b w:val="false"/>
          <w:bCs w:val="false"/>
        </w:rPr>
        <w:t xml:space="preserve"> with </w:t>
      </w:r>
      <w:r>
        <w:rPr>
          <w:rFonts w:ascii="Consolas" w:cs="Consolas" w:eastAsia="Consolas" w:hAnsi="Consolas"/>
          <w:b w:val="false"/>
          <w:bCs w:val="false"/>
          <w:sz w:val="19"/>
          <w:szCs w:val="19"/>
        </w:rPr>
        <w:t xml:space="preserve">accountName</w:t>
      </w:r>
      <w:r>
        <w:rPr>
          <w:b w:val="false"/>
          <w:bCs w:val="false"/>
        </w:rPr>
        <w:t xml:space="preserve">, </w:t>
      </w:r>
      <w:r>
        <w:rPr>
          <w:rFonts w:ascii="Consolas" w:cs="Consolas" w:eastAsia="Consolas" w:hAnsi="Consolas"/>
          <w:b w:val="false"/>
          <w:bCs w:val="false"/>
          <w:sz w:val="19"/>
          <w:szCs w:val="19"/>
        </w:rPr>
        <w:t xml:space="preserve">password</w:t>
      </w:r>
      <w:r>
        <w:rPr>
          <w:b w:val="false"/>
          <w:bCs w:val="false"/>
        </w:rPr>
        <w:t xml:space="preserve">, </w:t>
      </w:r>
      <w:r>
        <w:rPr>
          <w:rFonts w:ascii="Consolas" w:cs="Consolas" w:eastAsia="Consolas" w:hAnsi="Consolas"/>
          <w:b w:val="false"/>
          <w:bCs w:val="false"/>
          <w:sz w:val="19"/>
          <w:szCs w:val="19"/>
        </w:rPr>
        <w:t xml:space="preserve">applicationId</w:t>
      </w:r>
      <w:r>
        <w:rPr>
          <w:b w:val="false"/>
          <w:bCs w:val="false"/>
        </w:rPr>
        <w:t xml:space="preserve"> → account ID.</w:t>
      </w:r>
    </w:p>
    <w:p>
      <w:pPr>
        <w:pStyle w:val="ListParagraph"/>
        <w:numPr>
          <w:ilvl w:val="0"/>
          <w:numId w:val="3"/>
        </w:numPr>
        <w:spacing w:after="80" w:line="276"/>
      </w:pPr>
      <w:r>
        <w:rPr>
          <w:rFonts w:ascii="Consolas" w:cs="Consolas" w:eastAsia="Consolas" w:hAnsi="Consolas"/>
          <w:b w:val="false"/>
          <w:bCs w:val="false"/>
          <w:sz w:val="19"/>
          <w:szCs w:val="19"/>
        </w:rPr>
        <w:t xml:space="preserve">POST General/LoginPublisherAccountById</w:t>
      </w:r>
      <w:r>
        <w:rPr>
          <w:b w:val="false"/>
          <w:bCs w:val="false"/>
        </w:rPr>
        <w:t xml:space="preserve"> with </w:t>
      </w:r>
      <w:r>
        <w:rPr>
          <w:rFonts w:ascii="Consolas" w:cs="Consolas" w:eastAsia="Consolas" w:hAnsi="Consolas"/>
          <w:b w:val="false"/>
          <w:bCs w:val="false"/>
          <w:sz w:val="19"/>
          <w:szCs w:val="19"/>
        </w:rPr>
        <w:t xml:space="preserve">accountId</w:t>
      </w:r>
      <w:r>
        <w:rPr>
          <w:b w:val="false"/>
          <w:bCs w:val="false"/>
        </w:rPr>
        <w:t xml:space="preserve">, </w:t>
      </w:r>
      <w:r>
        <w:rPr>
          <w:rFonts w:ascii="Consolas" w:cs="Consolas" w:eastAsia="Consolas" w:hAnsi="Consolas"/>
          <w:b w:val="false"/>
          <w:bCs w:val="false"/>
          <w:sz w:val="19"/>
          <w:szCs w:val="19"/>
        </w:rPr>
        <w:t xml:space="preserve">password</w:t>
      </w:r>
      <w:r>
        <w:rPr>
          <w:b w:val="false"/>
          <w:bCs w:val="false"/>
        </w:rPr>
        <w:t xml:space="preserve">, </w:t>
      </w:r>
      <w:r>
        <w:rPr>
          <w:rFonts w:ascii="Consolas" w:cs="Consolas" w:eastAsia="Consolas" w:hAnsi="Consolas"/>
          <w:b w:val="false"/>
          <w:bCs w:val="false"/>
          <w:sz w:val="19"/>
          <w:szCs w:val="19"/>
        </w:rPr>
        <w:t xml:space="preserve">applicationId</w:t>
      </w:r>
      <w:r>
        <w:rPr>
          <w:b w:val="false"/>
          <w:bCs w:val="false"/>
        </w:rPr>
        <w:t xml:space="preserve"> → session ID.</w:t>
      </w:r>
    </w:p>
    <w:p>
      <w:pPr>
        <w:pStyle w:val="ListParagraph"/>
        <w:numPr>
          <w:ilvl w:val="0"/>
          <w:numId w:val="3"/>
        </w:numPr>
        <w:spacing w:after="80" w:line="276"/>
      </w:pPr>
      <w:r>
        <w:rPr>
          <w:rFonts w:ascii="Consolas" w:cs="Consolas" w:eastAsia="Consolas" w:hAnsi="Consolas"/>
          <w:b w:val="false"/>
          <w:bCs w:val="false"/>
          <w:sz w:val="19"/>
          <w:szCs w:val="19"/>
        </w:rPr>
        <w:t xml:space="preserve">POST Publisher/ReadPublisherLatestGlucoseValues</w:t>
      </w:r>
      <w:r>
        <w:rPr>
          <w:b w:val="false"/>
          <w:bCs w:val="false"/>
        </w:rPr>
        <w:t xml:space="preserve"> with </w:t>
      </w:r>
      <w:r>
        <w:rPr>
          <w:rFonts w:ascii="Consolas" w:cs="Consolas" w:eastAsia="Consolas" w:hAnsi="Consolas"/>
          <w:b w:val="false"/>
          <w:bCs w:val="false"/>
          <w:sz w:val="19"/>
          <w:szCs w:val="19"/>
        </w:rPr>
        <w:t xml:space="preserve">sessionId</w:t>
      </w:r>
      <w:r>
        <w:rPr>
          <w:b w:val="false"/>
          <w:bCs w:val="false"/>
        </w:rPr>
        <w:t xml:space="preserve">, </w:t>
      </w:r>
      <w:r>
        <w:rPr>
          <w:rFonts w:ascii="Consolas" w:cs="Consolas" w:eastAsia="Consolas" w:hAnsi="Consolas"/>
          <w:b w:val="false"/>
          <w:bCs w:val="false"/>
          <w:sz w:val="19"/>
          <w:szCs w:val="19"/>
        </w:rPr>
        <w:t xml:space="preserve">minutes</w:t>
      </w:r>
      <w:r>
        <w:rPr>
          <w:b w:val="false"/>
          <w:bCs w:val="false"/>
        </w:rPr>
        <w:t xml:space="preserve"> (≤1440), </w:t>
      </w:r>
      <w:r>
        <w:rPr>
          <w:rFonts w:ascii="Consolas" w:cs="Consolas" w:eastAsia="Consolas" w:hAnsi="Consolas"/>
          <w:b w:val="false"/>
          <w:bCs w:val="false"/>
          <w:sz w:val="19"/>
          <w:szCs w:val="19"/>
        </w:rPr>
        <w:t xml:space="preserve">maxCount</w:t>
      </w:r>
      <w:r>
        <w:rPr>
          <w:b w:val="false"/>
          <w:bCs w:val="false"/>
        </w:rPr>
        <w:t xml:space="preserve"> (≤288) as query parameters → readings.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1500"/>
        <w:gridCol w:w="3000"/>
        <w:gridCol w:w="4860"/>
      </w:tblGrid>
      <w:tr>
        <w:trPr>
          <w:tblHeader/>
        </w:trPr>
        <w:tc>
          <w:tcPr>
            <w:tcW w:type="dxa" w:w="1500"/>
            <w:shd w:fill="DEEAF6" w:color="auto" w:val="clear"/>
            <w:tcMar>
              <w:top w:type="dxa" w:w="60"/>
              <w:left w:type="dxa" w:w="100"/>
              <w:bottom w:type="dxa" w:w="60"/>
              <w:right w:type="dxa" w:w="100"/>
            </w:tcMar>
          </w:tcPr>
          <w:p>
            <w:pPr>
              <w:spacing w:after="0" w:line="250"/>
            </w:pPr>
            <w:r>
              <w:rPr>
                <w:b/>
                <w:bCs/>
                <w:sz w:val="20"/>
                <w:szCs w:val="20"/>
              </w:rPr>
              <w:t xml:space="preserve">Region</w:t>
            </w:r>
          </w:p>
        </w:tc>
        <w:tc>
          <w:tcPr>
            <w:tcW w:type="dxa" w:w="3000"/>
            <w:shd w:fill="DEEAF6" w:color="auto" w:val="clear"/>
            <w:tcMar>
              <w:top w:type="dxa" w:w="60"/>
              <w:left w:type="dxa" w:w="100"/>
              <w:bottom w:type="dxa" w:w="60"/>
              <w:right w:type="dxa" w:w="100"/>
            </w:tcMar>
          </w:tcPr>
          <w:p>
            <w:pPr>
              <w:spacing w:after="0" w:line="250"/>
            </w:pPr>
            <w:r>
              <w:rPr>
                <w:b/>
                <w:bCs/>
                <w:sz w:val="20"/>
                <w:szCs w:val="20"/>
              </w:rPr>
              <w:t xml:space="preserve">Base URL</w:t>
            </w:r>
          </w:p>
        </w:tc>
        <w:tc>
          <w:tcPr>
            <w:tcW w:type="dxa" w:w="4860"/>
            <w:shd w:fill="DEEAF6" w:color="auto" w:val="clear"/>
            <w:tcMar>
              <w:top w:type="dxa" w:w="60"/>
              <w:left w:type="dxa" w:w="100"/>
              <w:bottom w:type="dxa" w:w="60"/>
              <w:right w:type="dxa" w:w="100"/>
            </w:tcMar>
          </w:tcPr>
          <w:p>
            <w:pPr>
              <w:spacing w:after="0" w:line="250"/>
            </w:pPr>
            <w:r>
              <w:rPr>
                <w:b/>
                <w:bCs/>
                <w:sz w:val="20"/>
                <w:szCs w:val="20"/>
              </w:rPr>
              <w:t xml:space="preserve">applicationId</w:t>
            </w:r>
          </w:p>
        </w:tc>
      </w:tr>
      <w:tr>
        <w:tc>
          <w:tcPr>
            <w:tcW w:type="dxa" w:w="1500"/>
            <w:tcMar>
              <w:top w:type="dxa" w:w="60"/>
              <w:left w:type="dxa" w:w="100"/>
              <w:bottom w:type="dxa" w:w="60"/>
              <w:right w:type="dxa" w:w="100"/>
            </w:tcMar>
          </w:tcPr>
          <w:p>
            <w:pPr>
              <w:spacing w:after="0" w:line="250"/>
            </w:pPr>
            <w:r>
              <w:rPr>
                <w:b w:val="false"/>
                <w:bCs w:val="false"/>
                <w:sz w:val="20"/>
                <w:szCs w:val="20"/>
              </w:rPr>
              <w:t xml:space="preserve">US</w:t>
            </w:r>
          </w:p>
        </w:tc>
        <w:tc>
          <w:tcPr>
            <w:tcW w:type="dxa" w:w="3000"/>
            <w:tcMar>
              <w:top w:type="dxa" w:w="60"/>
              <w:left w:type="dxa" w:w="100"/>
              <w:bottom w:type="dxa" w:w="60"/>
              <w:right w:type="dxa" w:w="100"/>
            </w:tcMar>
          </w:tcPr>
          <w:p>
            <w:pPr>
              <w:spacing w:after="0" w:line="250"/>
            </w:pPr>
            <w:r>
              <w:rPr>
                <w:b w:val="false"/>
                <w:bCs w:val="false"/>
                <w:sz w:val="20"/>
                <w:szCs w:val="20"/>
              </w:rPr>
              <w:t xml:space="preserve">share2.dexcom.com</w:t>
            </w:r>
          </w:p>
        </w:tc>
        <w:tc>
          <w:tcPr>
            <w:tcW w:type="dxa" w:w="4860"/>
            <w:tcMar>
              <w:top w:type="dxa" w:w="60"/>
              <w:left w:type="dxa" w:w="100"/>
              <w:bottom w:type="dxa" w:w="60"/>
              <w:right w:type="dxa" w:w="100"/>
            </w:tcMar>
          </w:tcPr>
          <w:p>
            <w:pPr>
              <w:spacing w:after="0" w:line="250"/>
            </w:pPr>
            <w:r>
              <w:rPr>
                <w:b w:val="false"/>
                <w:bCs w:val="false"/>
                <w:sz w:val="20"/>
                <w:szCs w:val="20"/>
              </w:rPr>
              <w:t xml:space="preserve">d89443d2-327c-4a6f-89e5-496bbb0317db</w:t>
            </w:r>
          </w:p>
        </w:tc>
      </w:tr>
      <w:tr>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Outside US</w:t>
            </w:r>
          </w:p>
        </w:tc>
        <w:tc>
          <w:tcPr>
            <w:tcW w:type="dxa" w:w="3000"/>
            <w:shd w:fill="F5F8FC" w:color="auto" w:val="clear"/>
            <w:tcMar>
              <w:top w:type="dxa" w:w="60"/>
              <w:left w:type="dxa" w:w="100"/>
              <w:bottom w:type="dxa" w:w="60"/>
              <w:right w:type="dxa" w:w="100"/>
            </w:tcMar>
          </w:tcPr>
          <w:p>
            <w:pPr>
              <w:spacing w:after="0" w:line="250"/>
            </w:pPr>
            <w:r>
              <w:rPr>
                <w:b w:val="false"/>
                <w:bCs w:val="false"/>
                <w:sz w:val="20"/>
                <w:szCs w:val="20"/>
              </w:rPr>
              <w:t xml:space="preserve">shareous1.dexcom.com</w:t>
            </w:r>
          </w:p>
        </w:tc>
        <w:tc>
          <w:tcPr>
            <w:tcW w:type="dxa" w:w="4860"/>
            <w:shd w:fill="F5F8FC" w:color="auto" w:val="clear"/>
            <w:tcMar>
              <w:top w:type="dxa" w:w="60"/>
              <w:left w:type="dxa" w:w="100"/>
              <w:bottom w:type="dxa" w:w="60"/>
              <w:right w:type="dxa" w:w="100"/>
            </w:tcMar>
          </w:tcPr>
          <w:p>
            <w:pPr>
              <w:spacing w:after="0" w:line="250"/>
            </w:pPr>
            <w:r>
              <w:rPr>
                <w:b w:val="false"/>
                <w:bCs w:val="false"/>
                <w:sz w:val="20"/>
                <w:szCs w:val="20"/>
              </w:rPr>
              <w:t xml:space="preserve">d89443d2-327c-4a6f-89e5-496bbb0317db</w:t>
            </w:r>
          </w:p>
        </w:tc>
      </w:tr>
      <w:tr>
        <w:tc>
          <w:tcPr>
            <w:tcW w:type="dxa" w:w="1500"/>
            <w:tcMar>
              <w:top w:type="dxa" w:w="60"/>
              <w:left w:type="dxa" w:w="100"/>
              <w:bottom w:type="dxa" w:w="60"/>
              <w:right w:type="dxa" w:w="100"/>
            </w:tcMar>
          </w:tcPr>
          <w:p>
            <w:pPr>
              <w:spacing w:after="0" w:line="250"/>
            </w:pPr>
            <w:r>
              <w:rPr>
                <w:b w:val="false"/>
                <w:bCs w:val="false"/>
                <w:sz w:val="20"/>
                <w:szCs w:val="20"/>
              </w:rPr>
              <w:t xml:space="preserve">Japan</w:t>
            </w:r>
          </w:p>
        </w:tc>
        <w:tc>
          <w:tcPr>
            <w:tcW w:type="dxa" w:w="3000"/>
            <w:tcMar>
              <w:top w:type="dxa" w:w="60"/>
              <w:left w:type="dxa" w:w="100"/>
              <w:bottom w:type="dxa" w:w="60"/>
              <w:right w:type="dxa" w:w="100"/>
            </w:tcMar>
          </w:tcPr>
          <w:p>
            <w:pPr>
              <w:spacing w:after="0" w:line="250"/>
            </w:pPr>
            <w:r>
              <w:rPr>
                <w:b w:val="false"/>
                <w:bCs w:val="false"/>
                <w:sz w:val="20"/>
                <w:szCs w:val="20"/>
              </w:rPr>
              <w:t xml:space="preserve">share.dexcom.jp</w:t>
            </w:r>
          </w:p>
        </w:tc>
        <w:tc>
          <w:tcPr>
            <w:tcW w:type="dxa" w:w="4860"/>
            <w:tcMar>
              <w:top w:type="dxa" w:w="60"/>
              <w:left w:type="dxa" w:w="100"/>
              <w:bottom w:type="dxa" w:w="60"/>
              <w:right w:type="dxa" w:w="100"/>
            </w:tcMar>
          </w:tcPr>
          <w:p>
            <w:pPr>
              <w:spacing w:after="0" w:line="250"/>
            </w:pPr>
            <w:r>
              <w:rPr>
                <w:b w:val="false"/>
                <w:bCs w:val="false"/>
                <w:sz w:val="20"/>
                <w:szCs w:val="20"/>
              </w:rPr>
              <w:t xml:space="preserve">d8665ade-9673-4e27-9ff6-92db4ce13d13</w:t>
            </w:r>
          </w:p>
        </w:tc>
      </w:tr>
    </w:tbl>
    <w:p>
      <w:pPr>
        <w:spacing w:after="100"/>
      </w:pPr>
    </w:p>
    <w:p>
      <w:pPr>
        <w:spacing w:after="100" w:before="180"/>
      </w:pPr>
      <w:r>
        <w:rPr>
          <w:b/>
          <w:bCs/>
          <w:color w:val="1F4D78"/>
        </w:rPr>
        <w:t xml:space="preserve">Error classification — the safety-critical part</w:t>
      </w:r>
    </w:p>
    <w:p>
      <w:pPr>
        <w:spacing w:after="120" w:line="276"/>
      </w:pPr>
      <w:r>
        <w:rPr>
          <w:b w:val="false"/>
          <w:bCs w:val="false"/>
        </w:rPr>
        <w:t xml:space="preserve">Misclassifying an authentication failure as transient will lock the user out of the Dexcom account the official app depends on. The split is explicit and tested:</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000"/>
        <w:gridCol w:w="1800"/>
        <w:gridCol w:w="4560"/>
      </w:tblGrid>
      <w:tr>
        <w:trPr>
          <w:tblHeader/>
        </w:trPr>
        <w:tc>
          <w:tcPr>
            <w:tcW w:type="dxa" w:w="3000"/>
            <w:shd w:fill="DEEAF6" w:color="auto" w:val="clear"/>
            <w:tcMar>
              <w:top w:type="dxa" w:w="60"/>
              <w:left w:type="dxa" w:w="100"/>
              <w:bottom w:type="dxa" w:w="60"/>
              <w:right w:type="dxa" w:w="100"/>
            </w:tcMar>
          </w:tcPr>
          <w:p>
            <w:pPr>
              <w:spacing w:after="0" w:line="250"/>
            </w:pPr>
            <w:r>
              <w:rPr>
                <w:b/>
                <w:bCs/>
                <w:sz w:val="20"/>
                <w:szCs w:val="20"/>
              </w:rPr>
              <w:t xml:space="preserve">Dexcom code</w:t>
            </w:r>
          </w:p>
        </w:tc>
        <w:tc>
          <w:tcPr>
            <w:tcW w:type="dxa" w:w="1800"/>
            <w:shd w:fill="DEEAF6" w:color="auto" w:val="clear"/>
            <w:tcMar>
              <w:top w:type="dxa" w:w="60"/>
              <w:left w:type="dxa" w:w="100"/>
              <w:bottom w:type="dxa" w:w="60"/>
              <w:right w:type="dxa" w:w="100"/>
            </w:tcMar>
          </w:tcPr>
          <w:p>
            <w:pPr>
              <w:spacing w:after="0" w:line="250"/>
            </w:pPr>
            <w:r>
              <w:rPr>
                <w:b/>
                <w:bCs/>
                <w:sz w:val="20"/>
                <w:szCs w:val="20"/>
              </w:rPr>
              <w:t xml:space="preserve">Classification</w:t>
            </w:r>
          </w:p>
        </w:tc>
        <w:tc>
          <w:tcPr>
            <w:tcW w:type="dxa" w:w="4560"/>
            <w:shd w:fill="DEEAF6" w:color="auto" w:val="clear"/>
            <w:tcMar>
              <w:top w:type="dxa" w:w="60"/>
              <w:left w:type="dxa" w:w="100"/>
              <w:bottom w:type="dxa" w:w="60"/>
              <w:right w:type="dxa" w:w="100"/>
            </w:tcMar>
          </w:tcPr>
          <w:p>
            <w:pPr>
              <w:spacing w:after="0" w:line="250"/>
            </w:pPr>
            <w:r>
              <w:rPr>
                <w:b/>
                <w:bCs/>
                <w:sz w:val="20"/>
                <w:szCs w:val="20"/>
              </w:rPr>
              <w:t xml:space="preserve">Action</w:t>
            </w:r>
          </w:p>
        </w:tc>
      </w:tr>
      <w:tr>
        <w:tc>
          <w:tcPr>
            <w:tcW w:type="dxa" w:w="3000"/>
            <w:tcMar>
              <w:top w:type="dxa" w:w="60"/>
              <w:left w:type="dxa" w:w="100"/>
              <w:bottom w:type="dxa" w:w="60"/>
              <w:right w:type="dxa" w:w="100"/>
            </w:tcMar>
          </w:tcPr>
          <w:p>
            <w:pPr>
              <w:spacing w:after="0" w:line="250"/>
            </w:pPr>
            <w:r>
              <w:rPr>
                <w:b w:val="false"/>
                <w:bCs w:val="false"/>
                <w:sz w:val="20"/>
                <w:szCs w:val="20"/>
              </w:rPr>
              <w:t xml:space="preserve">AccountPasswordInvalid</w:t>
            </w:r>
          </w:p>
        </w:tc>
        <w:tc>
          <w:tcPr>
            <w:tcW w:type="dxa" w:w="1800"/>
            <w:tcMar>
              <w:top w:type="dxa" w:w="60"/>
              <w:left w:type="dxa" w:w="100"/>
              <w:bottom w:type="dxa" w:w="60"/>
              <w:right w:type="dxa" w:w="100"/>
            </w:tcMar>
          </w:tcPr>
          <w:p>
            <w:pPr>
              <w:spacing w:after="0" w:line="250"/>
            </w:pPr>
            <w:r>
              <w:rPr>
                <w:b/>
                <w:bCs/>
                <w:sz w:val="20"/>
                <w:szCs w:val="20"/>
              </w:rPr>
              <w:t xml:space="preserve">Terminal</w:t>
            </w:r>
          </w:p>
        </w:tc>
        <w:tc>
          <w:tcPr>
            <w:tcW w:type="dxa" w:w="4560"/>
            <w:tcMar>
              <w:top w:type="dxa" w:w="60"/>
              <w:left w:type="dxa" w:w="100"/>
              <w:bottom w:type="dxa" w:w="60"/>
              <w:right w:type="dxa" w:w="100"/>
            </w:tcMar>
          </w:tcPr>
          <w:p>
            <w:pPr>
              <w:spacing w:after="0" w:line="250"/>
            </w:pPr>
            <w:r>
              <w:rPr>
                <w:b w:val="false"/>
                <w:bCs w:val="false"/>
                <w:sz w:val="20"/>
                <w:szCs w:val="20"/>
              </w:rPr>
              <w:t xml:space="preserve">Stop polling. Prompt for credentials. Never retry.</w:t>
            </w:r>
          </w:p>
        </w:tc>
      </w:tr>
      <w:tr>
        <w:tc>
          <w:tcPr>
            <w:tcW w:type="dxa" w:w="3000"/>
            <w:shd w:fill="F5F8FC" w:color="auto" w:val="clear"/>
            <w:tcMar>
              <w:top w:type="dxa" w:w="60"/>
              <w:left w:type="dxa" w:w="100"/>
              <w:bottom w:type="dxa" w:w="60"/>
              <w:right w:type="dxa" w:w="100"/>
            </w:tcMar>
          </w:tcPr>
          <w:p>
            <w:pPr>
              <w:spacing w:after="0" w:line="250"/>
            </w:pPr>
            <w:r>
              <w:rPr>
                <w:b w:val="false"/>
                <w:bCs w:val="false"/>
                <w:sz w:val="20"/>
                <w:szCs w:val="20"/>
              </w:rPr>
              <w:t xml:space="preserve">SSO_AuthenticateMaxAttemptsExceeded</w:t>
            </w:r>
          </w:p>
        </w:tc>
        <w:tc>
          <w:tcPr>
            <w:tcW w:type="dxa" w:w="1800"/>
            <w:shd w:fill="F5F8FC" w:color="auto" w:val="clear"/>
            <w:tcMar>
              <w:top w:type="dxa" w:w="60"/>
              <w:left w:type="dxa" w:w="100"/>
              <w:bottom w:type="dxa" w:w="60"/>
              <w:right w:type="dxa" w:w="100"/>
            </w:tcMar>
          </w:tcPr>
          <w:p>
            <w:pPr>
              <w:spacing w:after="0" w:line="250"/>
            </w:pPr>
            <w:r>
              <w:rPr>
                <w:b/>
                <w:bCs/>
                <w:sz w:val="20"/>
                <w:szCs w:val="20"/>
              </w:rPr>
              <w:t xml:space="preserve">Terminal</w:t>
            </w:r>
          </w:p>
        </w:tc>
        <w:tc>
          <w:tcPr>
            <w:tcW w:type="dxa" w:w="4560"/>
            <w:shd w:fill="F5F8FC" w:color="auto" w:val="clear"/>
            <w:tcMar>
              <w:top w:type="dxa" w:w="60"/>
              <w:left w:type="dxa" w:w="100"/>
              <w:bottom w:type="dxa" w:w="60"/>
              <w:right w:type="dxa" w:w="100"/>
            </w:tcMar>
          </w:tcPr>
          <w:p>
            <w:pPr>
              <w:spacing w:after="0" w:line="250"/>
            </w:pPr>
            <w:r>
              <w:rPr>
                <w:b w:val="false"/>
                <w:bCs w:val="false"/>
                <w:sz w:val="20"/>
                <w:szCs w:val="20"/>
              </w:rPr>
              <w:t xml:space="preserve">Account is locking. Stop. Direct the user to the official app.</w:t>
            </w:r>
          </w:p>
        </w:tc>
      </w:tr>
      <w:tr>
        <w:tc>
          <w:tcPr>
            <w:tcW w:type="dxa" w:w="3000"/>
            <w:tcMar>
              <w:top w:type="dxa" w:w="60"/>
              <w:left w:type="dxa" w:w="100"/>
              <w:bottom w:type="dxa" w:w="60"/>
              <w:right w:type="dxa" w:w="100"/>
            </w:tcMar>
          </w:tcPr>
          <w:p>
            <w:pPr>
              <w:spacing w:after="0" w:line="250"/>
            </w:pPr>
            <w:r>
              <w:rPr>
                <w:b w:val="false"/>
                <w:bCs w:val="false"/>
                <w:sz w:val="20"/>
                <w:szCs w:val="20"/>
              </w:rPr>
              <w:t xml:space="preserve">SSO_InternalError (Cannot Authenticate)</w:t>
            </w:r>
          </w:p>
        </w:tc>
        <w:tc>
          <w:tcPr>
            <w:tcW w:type="dxa" w:w="1800"/>
            <w:tcMar>
              <w:top w:type="dxa" w:w="60"/>
              <w:left w:type="dxa" w:w="100"/>
              <w:bottom w:type="dxa" w:w="60"/>
              <w:right w:type="dxa" w:w="100"/>
            </w:tcMar>
          </w:tcPr>
          <w:p>
            <w:pPr>
              <w:spacing w:after="0" w:line="250"/>
            </w:pPr>
            <w:r>
              <w:rPr>
                <w:b/>
                <w:bCs/>
                <w:sz w:val="20"/>
                <w:szCs w:val="20"/>
              </w:rPr>
              <w:t xml:space="preserve">Terminal</w:t>
            </w:r>
          </w:p>
        </w:tc>
        <w:tc>
          <w:tcPr>
            <w:tcW w:type="dxa" w:w="4560"/>
            <w:tcMar>
              <w:top w:type="dxa" w:w="60"/>
              <w:left w:type="dxa" w:w="100"/>
              <w:bottom w:type="dxa" w:w="60"/>
              <w:right w:type="dxa" w:w="100"/>
            </w:tcMar>
          </w:tcPr>
          <w:p>
            <w:pPr>
              <w:spacing w:after="0" w:line="250"/>
            </w:pPr>
            <w:r>
              <w:rPr>
                <w:b w:val="false"/>
                <w:bCs w:val="false"/>
                <w:sz w:val="20"/>
                <w:szCs w:val="20"/>
              </w:rPr>
              <w:t xml:space="preserve">Stop. Prompt.</w:t>
            </w:r>
          </w:p>
        </w:tc>
      </w:tr>
      <w:tr>
        <w:tc>
          <w:tcPr>
            <w:tcW w:type="dxa" w:w="3000"/>
            <w:shd w:fill="F5F8FC" w:color="auto" w:val="clear"/>
            <w:tcMar>
              <w:top w:type="dxa" w:w="60"/>
              <w:left w:type="dxa" w:w="100"/>
              <w:bottom w:type="dxa" w:w="60"/>
              <w:right w:type="dxa" w:w="100"/>
            </w:tcMar>
          </w:tcPr>
          <w:p>
            <w:pPr>
              <w:spacing w:after="0" w:line="250"/>
            </w:pPr>
            <w:r>
              <w:rPr>
                <w:b w:val="false"/>
                <w:bCs w:val="false"/>
                <w:sz w:val="20"/>
                <w:szCs w:val="20"/>
              </w:rPr>
              <w:t xml:space="preserve">InvalidArgument</w:t>
            </w:r>
          </w:p>
        </w:tc>
        <w:tc>
          <w:tcPr>
            <w:tcW w:type="dxa" w:w="1800"/>
            <w:shd w:fill="F5F8FC" w:color="auto" w:val="clear"/>
            <w:tcMar>
              <w:top w:type="dxa" w:w="60"/>
              <w:left w:type="dxa" w:w="100"/>
              <w:bottom w:type="dxa" w:w="60"/>
              <w:right w:type="dxa" w:w="100"/>
            </w:tcMar>
          </w:tcPr>
          <w:p>
            <w:pPr>
              <w:spacing w:after="0" w:line="250"/>
            </w:pPr>
            <w:r>
              <w:rPr>
                <w:b/>
                <w:bCs/>
                <w:sz w:val="20"/>
                <w:szCs w:val="20"/>
              </w:rPr>
              <w:t xml:space="preserve">Terminal</w:t>
            </w:r>
          </w:p>
        </w:tc>
        <w:tc>
          <w:tcPr>
            <w:tcW w:type="dxa" w:w="4560"/>
            <w:shd w:fill="F5F8FC" w:color="auto" w:val="clear"/>
            <w:tcMar>
              <w:top w:type="dxa" w:w="60"/>
              <w:left w:type="dxa" w:w="100"/>
              <w:bottom w:type="dxa" w:w="60"/>
              <w:right w:type="dxa" w:w="100"/>
            </w:tcMar>
          </w:tcPr>
          <w:p>
            <w:pPr>
              <w:spacing w:after="0" w:line="250"/>
            </w:pPr>
            <w:r>
              <w:rPr>
                <w:b w:val="false"/>
                <w:bCs w:val="false"/>
                <w:sz w:val="20"/>
                <w:szCs w:val="20"/>
              </w:rPr>
              <w:t xml:space="preserve">Stop. Malformed credentials.</w:t>
            </w:r>
          </w:p>
        </w:tc>
      </w:tr>
      <w:tr>
        <w:tc>
          <w:tcPr>
            <w:tcW w:type="dxa" w:w="3000"/>
            <w:tcMar>
              <w:top w:type="dxa" w:w="60"/>
              <w:left w:type="dxa" w:w="100"/>
              <w:bottom w:type="dxa" w:w="60"/>
              <w:right w:type="dxa" w:w="100"/>
            </w:tcMar>
          </w:tcPr>
          <w:p>
            <w:pPr>
              <w:spacing w:after="0" w:line="250"/>
            </w:pPr>
            <w:r>
              <w:rPr>
                <w:b w:val="false"/>
                <w:bCs w:val="false"/>
                <w:sz w:val="20"/>
                <w:szCs w:val="20"/>
              </w:rPr>
              <w:t xml:space="preserve">SessionIdNotFound / SessionNotValid</w:t>
            </w:r>
          </w:p>
        </w:tc>
        <w:tc>
          <w:tcPr>
            <w:tcW w:type="dxa" w:w="1800"/>
            <w:tcMar>
              <w:top w:type="dxa" w:w="60"/>
              <w:left w:type="dxa" w:w="100"/>
              <w:bottom w:type="dxa" w:w="60"/>
              <w:right w:type="dxa" w:w="100"/>
            </w:tcMar>
          </w:tcPr>
          <w:p>
            <w:pPr>
              <w:spacing w:after="0" w:line="250"/>
            </w:pPr>
            <w:r>
              <w:rPr>
                <w:b w:val="false"/>
                <w:bCs w:val="false"/>
                <w:sz w:val="20"/>
                <w:szCs w:val="20"/>
              </w:rPr>
              <w:t xml:space="preserve">Transient</w:t>
            </w:r>
          </w:p>
        </w:tc>
        <w:tc>
          <w:tcPr>
            <w:tcW w:type="dxa" w:w="4560"/>
            <w:tcMar>
              <w:top w:type="dxa" w:w="60"/>
              <w:left w:type="dxa" w:w="100"/>
              <w:bottom w:type="dxa" w:w="60"/>
              <w:right w:type="dxa" w:w="100"/>
            </w:tcMar>
          </w:tcPr>
          <w:p>
            <w:pPr>
              <w:spacing w:after="0" w:line="250"/>
            </w:pPr>
            <w:r>
              <w:rPr>
                <w:b w:val="false"/>
                <w:bCs w:val="false"/>
                <w:sz w:val="20"/>
                <w:szCs w:val="20"/>
              </w:rPr>
              <w:t xml:space="preserve">Refresh session, retry </w:t>
            </w:r>
            <w:r>
              <w:rPr>
                <w:b/>
                <w:bCs/>
                <w:sz w:val="20"/>
                <w:szCs w:val="20"/>
              </w:rPr>
              <w:t xml:space="preserve">once</w:t>
            </w:r>
            <w:r>
              <w:rPr>
                <w:b w:val="false"/>
                <w:bCs w:val="false"/>
                <w:sz w:val="20"/>
                <w:szCs w:val="20"/>
              </w:rPr>
              <w:t xml:space="preserve">.</w:t>
            </w:r>
          </w:p>
        </w:tc>
      </w:tr>
      <w:tr>
        <w:tc>
          <w:tcPr>
            <w:tcW w:type="dxa" w:w="3000"/>
            <w:shd w:fill="F5F8FC" w:color="auto" w:val="clear"/>
            <w:tcMar>
              <w:top w:type="dxa" w:w="60"/>
              <w:left w:type="dxa" w:w="100"/>
              <w:bottom w:type="dxa" w:w="60"/>
              <w:right w:type="dxa" w:w="100"/>
            </w:tcMar>
          </w:tcPr>
          <w:p>
            <w:pPr>
              <w:spacing w:after="0" w:line="250"/>
            </w:pPr>
            <w:r>
              <w:rPr>
                <w:b w:val="false"/>
                <w:bCs w:val="false"/>
                <w:sz w:val="20"/>
                <w:szCs w:val="20"/>
              </w:rPr>
              <w:t xml:space="preserve">Network / timeout / 5xx</w:t>
            </w:r>
          </w:p>
        </w:tc>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Transient</w:t>
            </w:r>
          </w:p>
        </w:tc>
        <w:tc>
          <w:tcPr>
            <w:tcW w:type="dxa" w:w="4560"/>
            <w:shd w:fill="F5F8FC" w:color="auto" w:val="clear"/>
            <w:tcMar>
              <w:top w:type="dxa" w:w="60"/>
              <w:left w:type="dxa" w:w="100"/>
              <w:bottom w:type="dxa" w:w="60"/>
              <w:right w:type="dxa" w:w="100"/>
            </w:tcMar>
          </w:tcPr>
          <w:p>
            <w:pPr>
              <w:spacing w:after="0" w:line="250"/>
            </w:pPr>
            <w:r>
              <w:rPr>
                <w:b w:val="false"/>
                <w:bCs w:val="false"/>
                <w:sz w:val="20"/>
                <w:szCs w:val="20"/>
              </w:rPr>
              <w:t xml:space="preserve">Exponential backoff 30/60/120/300s.</w:t>
            </w:r>
          </w:p>
        </w:tc>
      </w:tr>
    </w:tbl>
    <w:p>
      <w:pPr>
        <w:spacing w:after="100"/>
      </w:pPr>
    </w:p>
    <w:p>
      <w:pPr>
        <w:spacing w:after="100" w:before="180"/>
      </w:pPr>
      <w:r>
        <w:rPr>
          <w:b/>
          <w:bCs/>
          <w:color w:val="1F4D78"/>
        </w:rPr>
        <w:t xml:space="preserve">Parsing hazards</w:t>
      </w:r>
    </w:p>
    <w:p>
      <w:pPr>
        <w:pStyle w:val="ListParagraph"/>
        <w:numPr>
          <w:ilvl w:val="0"/>
          <w:numId w:val="2"/>
        </w:numPr>
        <w:spacing w:after="80" w:line="276"/>
      </w:pPr>
      <w:r>
        <w:rPr>
          <w:b/>
          <w:bCs/>
        </w:rPr>
        <w:t xml:space="preserve">Timestamps are Microsoft JSON dates</w:t>
      </w:r>
      <w:r>
        <w:rPr>
          <w:b w:val="false"/>
          <w:bCs w:val="false"/>
        </w:rPr>
        <w:t xml:space="preserve"> — </w:t>
      </w:r>
      <w:r>
        <w:rPr>
          <w:rFonts w:ascii="Consolas" w:cs="Consolas" w:eastAsia="Consolas" w:hAnsi="Consolas"/>
          <w:b w:val="false"/>
          <w:bCs w:val="false"/>
          <w:sz w:val="19"/>
          <w:szCs w:val="19"/>
        </w:rPr>
        <w:t xml:space="preserve">/Date(1747051200000+0000)/</w:t>
      </w:r>
      <w:r>
        <w:rPr>
          <w:b w:val="false"/>
          <w:bCs w:val="false"/>
        </w:rPr>
        <w:t xml:space="preserve">. Parse with an explicit regex capturing epoch milliseconds; the trailing offset is display metadata and must not be added to the absolute time. ISO-8601 parsing fails silently here and yields readings that are hours off. A test asserts ISO input is rejected.</w:t>
      </w:r>
    </w:p>
    <w:p>
      <w:pPr>
        <w:pStyle w:val="ListParagraph"/>
        <w:numPr>
          <w:ilvl w:val="0"/>
          <w:numId w:val="2"/>
        </w:numPr>
        <w:spacing w:after="80" w:line="276"/>
      </w:pPr>
      <w:r>
        <w:rPr>
          <w:rFonts w:ascii="Consolas" w:cs="Consolas" w:eastAsia="Consolas" w:hAnsi="Consolas"/>
          <w:b/>
          <w:bCs/>
          <w:sz w:val="19"/>
          <w:szCs w:val="19"/>
        </w:rPr>
        <w:t xml:space="preserve">Trend</w:t>
      </w:r>
      <w:r>
        <w:rPr>
          <w:b/>
          <w:bCs/>
        </w:rPr>
        <w:t xml:space="preserve"> is a string now</w:t>
      </w:r>
      <w:r>
        <w:rPr>
          <w:b w:val="false"/>
          <w:bCs w:val="false"/>
        </w:rPr>
        <w:t xml:space="preserve"> (</w:t>
      </w:r>
      <w:r>
        <w:rPr>
          <w:rFonts w:ascii="Consolas" w:cs="Consolas" w:eastAsia="Consolas" w:hAnsi="Consolas"/>
          <w:b w:val="false"/>
          <w:bCs w:val="false"/>
          <w:sz w:val="19"/>
          <w:szCs w:val="19"/>
        </w:rPr>
        <w:t xml:space="preserve">"Flat"</w:t>
      </w:r>
      <w:r>
        <w:rPr>
          <w:b w:val="false"/>
          <w:bCs w:val="false"/>
        </w:rPr>
        <w:t xml:space="preserve">) where it was formerly an integer. Both are decoded, including the case of an integer sent as a string.</w:t>
      </w:r>
    </w:p>
    <w:p>
      <w:pPr>
        <w:pStyle w:val="ListParagraph"/>
        <w:numPr>
          <w:ilvl w:val="0"/>
          <w:numId w:val="2"/>
        </w:numPr>
        <w:spacing w:after="80" w:line="276"/>
      </w:pPr>
      <w:r>
        <w:rPr>
          <w:b/>
          <w:bCs/>
        </w:rPr>
        <w:t xml:space="preserve">Unparseable entries are skipped, not fatal.</w:t>
      </w:r>
      <w:r>
        <w:rPr>
          <w:b w:val="false"/>
          <w:bCs w:val="false"/>
        </w:rPr>
        <w:t xml:space="preserve"> A shape change should degrade the batch, never blank the screen.</w:t>
      </w:r>
    </w:p>
    <w:p>
      <w:pPr>
        <w:pStyle w:val="ListParagraph"/>
        <w:numPr>
          <w:ilvl w:val="0"/>
          <w:numId w:val="2"/>
        </w:numPr>
        <w:spacing w:after="80" w:line="276"/>
      </w:pPr>
      <w:r>
        <w:rPr>
          <w:b/>
          <w:bCs/>
        </w:rPr>
        <w:t xml:space="preserve">Rail sentinels:</w:t>
      </w:r>
      <w:r>
        <w:rPr>
          <w:b w:val="false"/>
          <w:bCs w:val="false"/>
        </w:rPr>
        <w:t xml:space="preserve"> values below 40 or above 400 render as LOW and HIGH, never as numbers.</w:t>
      </w:r>
    </w:p>
    <w:p>
      <w:pPr>
        <w:pStyle w:val="Heading3"/>
        <w:spacing w:after="120" w:before="220"/>
      </w:pPr>
      <w:r>
        <w:rPr>
          <w:b w:val="false"/>
          <w:bCs w:val="false"/>
        </w:rPr>
        <w:t xml:space="preserve">4.2.4 HealthKitBackfillSource</w:t>
      </w:r>
    </w:p>
    <w:p>
      <w:pPr>
        <w:pStyle w:val="ListParagraph"/>
        <w:numPr>
          <w:ilvl w:val="0"/>
          <w:numId w:val="2"/>
        </w:numPr>
        <w:spacing w:after="80" w:line="276"/>
      </w:pPr>
      <w:r>
        <w:rPr>
          <w:b w:val="false"/>
          <w:bCs w:val="false"/>
        </w:rPr>
        <w:t xml:space="preserve">One anchored query for the last 90 days on first launch, plus a daily top-up. Persist the anchor. No observer query and no background delivery — HealthKit is not a live path.</w:t>
      </w:r>
    </w:p>
    <w:p>
      <w:pPr>
        <w:pStyle w:val="ListParagraph"/>
        <w:numPr>
          <w:ilvl w:val="0"/>
          <w:numId w:val="2"/>
        </w:numPr>
        <w:spacing w:after="80" w:line="276"/>
      </w:pPr>
      <w:r>
        <w:rPr>
          <w:b w:val="false"/>
          <w:bCs w:val="false"/>
        </w:rPr>
        <w:t xml:space="preserve">Filter to Dexcom's source bundle identifier so manual fingerstick entries are not mistaken for CGM data. Handle deletions returned by the anchored query.</w:t>
      </w:r>
    </w:p>
    <w:p>
      <w:pPr>
        <w:pStyle w:val="ListParagraph"/>
        <w:numPr>
          <w:ilvl w:val="0"/>
          <w:numId w:val="2"/>
        </w:numPr>
        <w:spacing w:after="80" w:line="276"/>
      </w:pPr>
      <w:r>
        <w:rPr>
          <w:b w:val="false"/>
          <w:bCs w:val="false"/>
        </w:rPr>
        <w:t xml:space="preserve">Backfilled readings carry no trend and are flagged as historical, enforced in the coordinator rather than by convention.</w:t>
      </w:r>
    </w:p>
    <w:p>
      <w:pPr>
        <w:pStyle w:val="Heading2"/>
        <w:spacing w:after="140" w:before="280"/>
      </w:pPr>
      <w:r>
        <w:rPr>
          <w:b w:val="false"/>
          <w:bCs w:val="false"/>
        </w:rPr>
        <w:t xml:space="preserve">4.3 Data Model (SwiftData)</w:t>
      </w:r>
    </w:p>
    <w:p>
      <w:pPr>
        <w:pBdr>
          <w:left w:val="single" w:color="BFD3E6" w:sz="12" w:space="8"/>
        </w:pBdr>
        <w:spacing w:after="160" w:line="260"/>
        <w:ind w:left="180"/>
      </w:pPr>
      <w:r>
        <w:rPr>
          <w:b w:val="false"/>
          <w:bCs w:val="false"/>
          <w:i/>
          <w:iCs/>
          <w:color w:val="595959"/>
          <w:sz w:val="20"/>
          <w:szCs w:val="20"/>
        </w:rPr>
        <w:t xml:space="preserve">Implemented in v1.5.</w:t>
      </w:r>
    </w:p>
    <w:p>
      <w:pPr>
        <w:spacing w:after="100" w:before="180"/>
      </w:pPr>
      <w:r>
        <w:rPr>
          <w:b/>
          <w:bCs/>
          <w:color w:val="1F4D78"/>
        </w:rPr>
        <w:t xml:space="preserve">Shipped schema</w:t>
      </w:r>
    </w:p>
    <w:p>
      <w:pPr>
        <w:pStyle w:val="ListParagraph"/>
        <w:numPr>
          <w:ilvl w:val="0"/>
          <w:numId w:val="2"/>
        </w:numPr>
        <w:spacing w:after="80" w:line="276"/>
      </w:pPr>
      <w:r>
        <w:rPr>
          <w:rFonts w:ascii="Consolas" w:cs="Consolas" w:eastAsia="Consolas" w:hAnsi="Consolas"/>
          <w:b/>
          <w:bCs/>
          <w:sz w:val="19"/>
          <w:szCs w:val="19"/>
        </w:rPr>
        <w:t xml:space="preserve">GlucoseReadingRecord</w:t>
      </w:r>
      <w:r>
        <w:rPr>
          <w:b w:val="false"/>
          <w:bCs w:val="false"/>
        </w:rPr>
        <w:t xml:space="preserve"> — </w:t>
      </w:r>
      <w:r>
        <w:rPr>
          <w:rFonts w:ascii="Consolas" w:cs="Consolas" w:eastAsia="Consolas" w:hAnsi="Consolas"/>
          <w:b w:val="false"/>
          <w:bCs w:val="false"/>
          <w:sz w:val="19"/>
          <w:szCs w:val="19"/>
        </w:rPr>
        <w:t xml:space="preserve">timeKey</w:t>
      </w:r>
      <w:r>
        <w:rPr>
          <w:b w:val="false"/>
          <w:bCs w:val="false"/>
        </w:rPr>
        <w:t xml:space="preserve"> (Int), </w:t>
      </w:r>
      <w:r>
        <w:rPr>
          <w:rFonts w:ascii="Consolas" w:cs="Consolas" w:eastAsia="Consolas" w:hAnsi="Consolas"/>
          <w:b w:val="false"/>
          <w:bCs w:val="false"/>
          <w:sz w:val="19"/>
          <w:szCs w:val="19"/>
        </w:rPr>
        <w:t xml:space="preserve">sampleTime</w:t>
      </w:r>
      <w:r>
        <w:rPr>
          <w:b w:val="false"/>
          <w:bCs w:val="false"/>
        </w:rPr>
        <w:t xml:space="preserve">, </w:t>
      </w:r>
      <w:r>
        <w:rPr>
          <w:rFonts w:ascii="Consolas" w:cs="Consolas" w:eastAsia="Consolas" w:hAnsi="Consolas"/>
          <w:b w:val="false"/>
          <w:bCs w:val="false"/>
          <w:sz w:val="19"/>
          <w:szCs w:val="19"/>
        </w:rPr>
        <w:t xml:space="preserve">valueMgdl</w:t>
      </w:r>
      <w:r>
        <w:rPr>
          <w:b w:val="false"/>
          <w:bCs w:val="false"/>
        </w:rPr>
        <w:t xml:space="preserve"> (Int, canonical), </w:t>
      </w:r>
      <w:r>
        <w:rPr>
          <w:rFonts w:ascii="Consolas" w:cs="Consolas" w:eastAsia="Consolas" w:hAnsi="Consolas"/>
          <w:b w:val="false"/>
          <w:bCs w:val="false"/>
          <w:sz w:val="19"/>
          <w:szCs w:val="19"/>
        </w:rPr>
        <w:t xml:space="preserve">trendRaw</w:t>
      </w:r>
      <w:r>
        <w:rPr>
          <w:b w:val="false"/>
          <w:bCs w:val="false"/>
        </w:rPr>
        <w:t xml:space="preserve"> (Int), </w:t>
      </w:r>
      <w:r>
        <w:rPr>
          <w:rFonts w:ascii="Consolas" w:cs="Consolas" w:eastAsia="Consolas" w:hAnsi="Consolas"/>
          <w:b w:val="false"/>
          <w:bCs w:val="false"/>
          <w:sz w:val="19"/>
          <w:szCs w:val="19"/>
        </w:rPr>
        <w:t xml:space="preserve">sourceRaw</w:t>
      </w:r>
      <w:r>
        <w:rPr>
          <w:b w:val="false"/>
          <w:bCs w:val="false"/>
        </w:rPr>
        <w:t xml:space="preserve">, </w:t>
      </w:r>
      <w:r>
        <w:rPr>
          <w:rFonts w:ascii="Consolas" w:cs="Consolas" w:eastAsia="Consolas" w:hAnsi="Consolas"/>
          <w:b w:val="false"/>
          <w:bCs w:val="false"/>
          <w:sz w:val="19"/>
          <w:szCs w:val="19"/>
        </w:rPr>
        <w:t xml:space="preserve">isBackfilled</w:t>
      </w:r>
      <w:r>
        <w:rPr>
          <w:b w:val="false"/>
          <w:bCs w:val="false"/>
        </w:rPr>
        <w:t xml:space="preserve"> (Bool).</w:t>
      </w:r>
    </w:p>
    <w:p>
      <w:pPr>
        <w:pStyle w:val="ListParagraph"/>
        <w:numPr>
          <w:ilvl w:val="0"/>
          <w:numId w:val="2"/>
        </w:numPr>
        <w:spacing w:after="80" w:line="276"/>
      </w:pPr>
      <w:r>
        <w:rPr>
          <w:rFonts w:ascii="Consolas" w:cs="Consolas" w:eastAsia="Consolas" w:hAnsi="Consolas"/>
          <w:b/>
          <w:bCs/>
          <w:sz w:val="19"/>
          <w:szCs w:val="19"/>
        </w:rPr>
        <w:t xml:space="preserve">timeKey</w:t>
      </w:r>
      <w:r>
        <w:rPr>
          <w:b/>
          <w:bCs/>
        </w:rPr>
        <w:t xml:space="preserve"> is whole seconds since 1970, and it is the deduplication key.</w:t>
      </w:r>
      <w:r>
        <w:rPr>
          <w:b w:val="false"/>
          <w:bCs w:val="false"/>
        </w:rPr>
        <w:t xml:space="preserve"> Not the </w:t>
      </w:r>
      <w:r>
        <w:rPr>
          <w:rFonts w:ascii="Consolas" w:cs="Consolas" w:eastAsia="Consolas" w:hAnsi="Consolas"/>
          <w:b w:val="false"/>
          <w:bCs w:val="false"/>
          <w:sz w:val="19"/>
          <w:szCs w:val="19"/>
        </w:rPr>
        <w:t xml:space="preserve">Date</w:t>
      </w:r>
      <w:r>
        <w:rPr>
          <w:b w:val="false"/>
          <w:bCs w:val="false"/>
        </w:rPr>
        <w:t xml:space="preserve">: date equality is floating point and Share reports millisecond precision, so a sample re-delivered with sub-second jitter would compare unequal and insert a second row. Every average, time-in-range figure, and chart drawn from the store would then be quietly wrong, with nothing visibly broken to prompt investigation.</w:t>
      </w:r>
    </w:p>
    <w:p>
      <w:pPr>
        <w:pStyle w:val="ListParagraph"/>
        <w:numPr>
          <w:ilvl w:val="0"/>
          <w:numId w:val="2"/>
        </w:numPr>
        <w:spacing w:after="80" w:line="276"/>
      </w:pPr>
      <w:r>
        <w:rPr>
          <w:rFonts w:ascii="Consolas" w:cs="Consolas" w:eastAsia="Consolas" w:hAnsi="Consolas"/>
          <w:b/>
          <w:bCs/>
          <w:sz w:val="19"/>
          <w:szCs w:val="19"/>
        </w:rPr>
        <w:t xml:space="preserve">trendRaw</w:t>
      </w:r>
      <w:r>
        <w:rPr>
          <w:b/>
          <w:bCs/>
        </w:rPr>
        <w:t xml:space="preserve"> is stored as an Int, not an enum</w:t>
      </w:r>
      <w:r>
        <w:rPr>
          <w:b w:val="false"/>
          <w:bCs w:val="false"/>
        </w:rPr>
        <w:t xml:space="preserve">, so a trend value Dexcom has not used before cannot fail decoding of an otherwise valid reading.</w:t>
      </w:r>
    </w:p>
    <w:p>
      <w:pPr>
        <w:spacing w:after="100" w:before="180"/>
      </w:pPr>
      <w:r>
        <w:rPr>
          <w:b/>
          <w:bCs/>
          <w:color w:val="1F4D78"/>
        </w:rPr>
        <w:t xml:space="preserve">Constraints observed from the first write</w:t>
      </w:r>
    </w:p>
    <w:p>
      <w:pPr>
        <w:pStyle w:val="ListParagraph"/>
        <w:numPr>
          <w:ilvl w:val="0"/>
          <w:numId w:val="2"/>
        </w:numPr>
        <w:spacing w:after="80" w:line="276"/>
      </w:pPr>
      <w:r>
        <w:rPr>
          <w:b/>
          <w:bCs/>
        </w:rPr>
        <w:t xml:space="preserve">No </w:t>
      </w:r>
      <w:r>
        <w:rPr>
          <w:rFonts w:ascii="Consolas" w:cs="Consolas" w:eastAsia="Consolas" w:hAnsi="Consolas"/>
          <w:b/>
          <w:bCs/>
          <w:sz w:val="19"/>
          <w:szCs w:val="19"/>
        </w:rPr>
        <w:t xml:space="preserve">@Attribute(.unique)</w:t>
      </w:r>
      <w:r>
        <w:rPr>
          <w:b/>
          <w:bCs/>
        </w:rPr>
        <w:t xml:space="preserve"> anywhere.</w:t>
      </w:r>
      <w:r>
        <w:rPr>
          <w:b w:val="false"/>
          <w:bCs w:val="false"/>
        </w:rPr>
        <w:t xml:space="preserve"> SwiftData's CloudKit backing rejects unique constraints, and v3 commits to CloudKit sync. Deduplication is enforced in </w:t>
      </w:r>
      <w:r>
        <w:rPr>
          <w:rFonts w:ascii="Consolas" w:cs="Consolas" w:eastAsia="Consolas" w:hAnsi="Consolas"/>
          <w:b w:val="false"/>
          <w:bCs w:val="false"/>
          <w:sz w:val="19"/>
          <w:szCs w:val="19"/>
        </w:rPr>
        <w:t xml:space="preserve">GlucoseStore</w:t>
      </w:r>
      <w:r>
        <w:rPr>
          <w:b w:val="false"/>
          <w:bCs w:val="false"/>
        </w:rPr>
        <w:t xml:space="preserve"> with an indexed non-unique </w:t>
      </w:r>
      <w:r>
        <w:rPr>
          <w:rFonts w:ascii="Consolas" w:cs="Consolas" w:eastAsia="Consolas" w:hAnsi="Consolas"/>
          <w:b w:val="false"/>
          <w:bCs w:val="false"/>
          <w:sz w:val="19"/>
          <w:szCs w:val="19"/>
        </w:rPr>
        <w:t xml:space="preserve">timeKey</w:t>
      </w:r>
      <w:r>
        <w:rPr>
          <w:b w:val="false"/>
          <w:bCs w:val="false"/>
        </w:rPr>
        <w:t xml:space="preserve"> and an explicit fetch-then-upsert.</w:t>
      </w:r>
    </w:p>
    <w:p>
      <w:pPr>
        <w:pStyle w:val="ListParagraph"/>
        <w:numPr>
          <w:ilvl w:val="0"/>
          <w:numId w:val="2"/>
        </w:numPr>
        <w:spacing w:after="80" w:line="276"/>
      </w:pPr>
      <w:r>
        <w:rPr>
          <w:b/>
          <w:bCs/>
        </w:rPr>
        <w:t xml:space="preserve">Every property has a default value</w:t>
      </w:r>
      <w:r>
        <w:rPr>
          <w:b w:val="false"/>
          <w:bCs w:val="false"/>
        </w:rPr>
        <w:t xml:space="preserve"> — the other CloudKit requirement, and what makes the V1→V2 migration lightweight.</w:t>
      </w:r>
    </w:p>
    <w:p>
      <w:pPr>
        <w:pStyle w:val="ListParagraph"/>
        <w:numPr>
          <w:ilvl w:val="0"/>
          <w:numId w:val="2"/>
        </w:numPr>
        <w:spacing w:after="80" w:line="276"/>
      </w:pPr>
      <w:r>
        <w:rPr>
          <w:b/>
          <w:bCs/>
        </w:rPr>
        <w:t xml:space="preserve">All writes go through a </w:t>
      </w:r>
      <w:r>
        <w:rPr>
          <w:rFonts w:ascii="Consolas" w:cs="Consolas" w:eastAsia="Consolas" w:hAnsi="Consolas"/>
          <w:b/>
          <w:bCs/>
          <w:sz w:val="19"/>
          <w:szCs w:val="19"/>
        </w:rPr>
        <w:t xml:space="preserve">@ModelActor</w:t>
      </w:r>
      <w:r>
        <w:rPr>
          <w:b/>
          <w:bCs/>
        </w:rPr>
        <w:t xml:space="preserve">.</w:t>
      </w:r>
      <w:r>
        <w:rPr>
          <w:b w:val="false"/>
          <w:bCs w:val="false"/>
        </w:rPr>
        <w:t xml:space="preserve"> </w:t>
      </w:r>
      <w:r>
        <w:rPr>
          <w:rFonts w:ascii="Consolas" w:cs="Consolas" w:eastAsia="Consolas" w:hAnsi="Consolas"/>
          <w:b w:val="false"/>
          <w:bCs w:val="false"/>
          <w:sz w:val="19"/>
          <w:szCs w:val="19"/>
        </w:rPr>
        <w:t xml:space="preserve">ModelContext</w:t>
      </w:r>
      <w:r>
        <w:rPr>
          <w:b w:val="false"/>
          <w:bCs w:val="false"/>
        </w:rPr>
        <w:t xml:space="preserve"> is not </w:t>
      </w:r>
      <w:r>
        <w:rPr>
          <w:rFonts w:ascii="Consolas" w:cs="Consolas" w:eastAsia="Consolas" w:hAnsi="Consolas"/>
          <w:b w:val="false"/>
          <w:bCs w:val="false"/>
          <w:sz w:val="19"/>
          <w:szCs w:val="19"/>
        </w:rPr>
        <w:t xml:space="preserve">Sendable</w:t>
      </w:r>
      <w:r>
        <w:rPr>
          <w:b w:val="false"/>
          <w:bCs w:val="false"/>
        </w:rPr>
        <w:t xml:space="preserve">; sharing one between the polling task and the UI does not compile under strict concurrency, and the usual workarounds produce data races that surface as store corruption rather than as crashes.</w:t>
      </w:r>
    </w:p>
    <w:p>
      <w:pPr>
        <w:pStyle w:val="ListParagraph"/>
        <w:numPr>
          <w:ilvl w:val="0"/>
          <w:numId w:val="2"/>
        </w:numPr>
        <w:spacing w:after="80" w:line="276"/>
      </w:pPr>
      <w:r>
        <w:rPr>
          <w:b/>
          <w:bCs/>
        </w:rPr>
        <w:t xml:space="preserve">The store URL sits behind a single accessor</w:t>
      </w:r>
      <w:r>
        <w:rPr>
          <w:b w:val="false"/>
          <w:bCs w:val="false"/>
        </w:rPr>
        <w:t xml:space="preserve">, so relocating it into an App Group container once widgets exist is a one-line change plus a file move.</w:t>
      </w:r>
    </w:p>
    <w:p>
      <w:pPr>
        <w:spacing w:after="100" w:before="180"/>
      </w:pPr>
      <w:r>
        <w:rPr>
          <w:b/>
          <w:bCs/>
          <w:color w:val="1F4D78"/>
        </w:rPr>
        <w:t xml:space="preserve">Versioning and migration</w:t>
      </w:r>
    </w:p>
    <w:p>
      <w:pPr>
        <w:spacing w:after="120" w:line="276"/>
      </w:pPr>
      <w:r>
        <w:rPr>
          <w:b w:val="false"/>
          <w:bCs w:val="false"/>
        </w:rPr>
        <w:t xml:space="preserve">Two schema versions ship: V1, and V2 adding </w:t>
      </w:r>
      <w:r>
        <w:rPr>
          <w:rFonts w:ascii="Consolas" w:cs="Consolas" w:eastAsia="Consolas" w:hAnsi="Consolas"/>
          <w:b w:val="false"/>
          <w:bCs w:val="false"/>
          <w:sz w:val="19"/>
          <w:szCs w:val="19"/>
        </w:rPr>
        <w:t xml:space="preserve">isBackfilled</w:t>
      </w:r>
      <w:r>
        <w:rPr>
          <w:b w:val="false"/>
          <w:bCs w:val="false"/>
        </w:rPr>
        <w:t xml:space="preserve"> for HealthKit provenance. The migration is lightweight — an added property with a default — and is covered by a test that writes a V1 store, reopens it under V2, and asserts every reading survived with the new property defaulted.</w:t>
      </w:r>
    </w:p>
    <w:p>
      <w:pPr>
        <w:spacing w:after="120" w:line="276"/>
      </w:pPr>
      <w:r>
        <w:rPr>
          <w:b w:val="false"/>
          <w:bCs w:val="false"/>
        </w:rPr>
        <w:t xml:space="preserve">Versioning exists from the first release because readings cannot be re-fetched: Share retains 24 hours. By the time event logging changes the schema there will be months of irreplaceable history in the store, and retrofitting versioning onto a populated store is far more expensive than carrying it from the start.</w:t>
      </w:r>
    </w:p>
    <w:p>
      <w:pPr>
        <w:spacing w:after="100" w:before="180"/>
      </w:pPr>
      <w:r>
        <w:rPr>
          <w:b/>
          <w:bCs/>
          <w:color w:val="1F4D78"/>
        </w:rPr>
        <w:t xml:space="preserve">Upsert semantics</w:t>
      </w:r>
    </w:p>
    <w:p>
      <w:pPr>
        <w:spacing w:after="120" w:line="276"/>
      </w:pPr>
      <w:r>
        <w:rPr>
          <w:b w:val="false"/>
          <w:bCs w:val="false"/>
        </w:rPr>
        <w:t xml:space="preserve">Every poll requests a window and nearly all of it is already stored. Insert-only persistence would accumulate hundreds of thousands of duplicate rows within days. Writes therefore fetch the affected span once, then insert what is missing and update what changed — Dexcom does occasionally revise a published reading, and a revision must update in place rather than create a second row.</w:t>
      </w:r>
    </w:p>
    <w:p>
      <w:pPr>
        <w:spacing w:after="100" w:before="180"/>
      </w:pPr>
      <w:r>
        <w:rPr>
          <w:b/>
          <w:bCs/>
          <w:color w:val="1F4D78"/>
        </w:rPr>
        <w:t xml:space="preserve">Retention</w:t>
      </w:r>
    </w:p>
    <w:p>
      <w:pPr>
        <w:pStyle w:val="ListParagraph"/>
        <w:numPr>
          <w:ilvl w:val="0"/>
          <w:numId w:val="2"/>
        </w:numPr>
        <w:spacing w:after="80" w:line="276"/>
      </w:pPr>
      <w:r>
        <w:rPr>
          <w:b w:val="false"/>
          <w:bCs w:val="false"/>
        </w:rPr>
        <w:t xml:space="preserve">Raw readings retained indefinitely: roughly 105,000 rows per year, a few tens of megabytes.</w:t>
      </w:r>
    </w:p>
    <w:p>
      <w:pPr>
        <w:pStyle w:val="ListParagraph"/>
        <w:numPr>
          <w:ilvl w:val="0"/>
          <w:numId w:val="2"/>
        </w:numPr>
        <w:spacing w:after="80" w:line="276"/>
      </w:pPr>
      <w:r>
        <w:rPr>
          <w:b w:val="false"/>
          <w:bCs w:val="false"/>
        </w:rPr>
        <w:t xml:space="preserve">Nothing is auto-deleted. Clearing history is an explicit user action, offered separately from signing out so credentials can be replaced without discarding data.</w:t>
      </w:r>
    </w:p>
    <w:p>
      <w:pPr>
        <w:pStyle w:val="Heading2"/>
        <w:spacing w:after="140" w:before="280"/>
      </w:pPr>
      <w:r>
        <w:rPr>
          <w:b w:val="false"/>
          <w:bCs w:val="false"/>
        </w:rPr>
        <w:t xml:space="preserve">4.4 Prediction Engine</w:t>
      </w:r>
    </w:p>
    <w:p>
      <w:pPr>
        <w:spacing w:after="120" w:line="276"/>
      </w:pPr>
      <w:r>
        <w:rPr>
          <w:b w:val="false"/>
          <w:bCs w:val="false"/>
        </w:rPr>
        <w:t xml:space="preserve">Implemented as a pure Swift module with no UI dependencies, fully unit-testable against synthetic input.</w:t>
      </w:r>
    </w:p>
    <w:p>
      <w:pPr>
        <w:spacing w:after="100" w:before="180"/>
      </w:pPr>
      <w:r>
        <w:rPr>
          <w:b/>
          <w:bCs/>
          <w:color w:val="1F4D78"/>
        </w:rPr>
        <w:t xml:space="preserve">IOBCalculator — corrected model</w:t>
      </w:r>
    </w:p>
    <w:p>
      <w:pPr>
        <w:spacing w:after="120" w:line="276"/>
      </w:pPr>
      <w:r>
        <w:rPr>
          <w:b/>
          <w:bCs/>
        </w:rPr>
        <w:t xml:space="preserve">v1.1 specified linear decay over 4 hours for rapid-acting insulin. This is wrong in both shape and duration</w:t>
      </w:r>
      <w:r>
        <w:rPr>
          <w:b w:val="false"/>
          <w:bCs w:val="false"/>
        </w:rPr>
        <w:t xml:space="preserve">, and because IOB feeds the meal-response estimator, the error propagates into every prediction the app makes.</w:t>
      </w:r>
    </w:p>
    <w:p>
      <w:pPr>
        <w:pStyle w:val="ListParagraph"/>
        <w:numPr>
          <w:ilvl w:val="0"/>
          <w:numId w:val="2"/>
        </w:numPr>
        <w:spacing w:after="80" w:line="276"/>
      </w:pPr>
      <w:r>
        <w:rPr>
          <w:b/>
          <w:bCs/>
        </w:rPr>
        <w:t xml:space="preserve">Shape:</w:t>
      </w:r>
      <w:r>
        <w:rPr>
          <w:b w:val="false"/>
          <w:bCs w:val="false"/>
        </w:rPr>
        <w:t xml:space="preserve"> insulin activity is not linear. It rises to a peak at roughly 60–90 minutes and decays with a long tail. Linear decay overestimates IOB through the first hour and underestimates it for the last two.</w:t>
      </w:r>
    </w:p>
    <w:p>
      <w:pPr>
        <w:pStyle w:val="ListParagraph"/>
        <w:numPr>
          <w:ilvl w:val="0"/>
          <w:numId w:val="2"/>
        </w:numPr>
        <w:spacing w:after="80" w:line="276"/>
      </w:pPr>
      <w:r>
        <w:rPr>
          <w:b/>
          <w:bCs/>
        </w:rPr>
        <w:t xml:space="preserve">Duration:</w:t>
      </w:r>
      <w:r>
        <w:rPr>
          <w:b w:val="false"/>
          <w:bCs w:val="false"/>
        </w:rPr>
        <w:t xml:space="preserve"> the duration of action for rapid analogues is 5–6 hours, not 4. The Loop/AAPS community consensus is 360 minutes.</w:t>
      </w:r>
    </w:p>
    <w:p>
      <w:pPr>
        <w:spacing w:after="120" w:line="276"/>
      </w:pPr>
      <w:r>
        <w:rPr>
          <w:b w:val="false"/>
          <w:bCs w:val="false"/>
        </w:rPr>
        <w:t xml:space="preserve">GlucoNoir uses the bi-exponential model from LoopKit, parameterised by peak time and duration:</w:t>
      </w:r>
    </w:p>
    <w:p>
      <w:pPr>
        <w:spacing w:after="60"/>
        <w:ind w:left="360"/>
      </w:pPr>
      <w:r>
        <w:rPr>
          <w:rFonts w:ascii="Consolas" w:cs="Consolas" w:eastAsia="Consolas" w:hAnsi="Consolas"/>
          <w:b w:val="false"/>
          <w:bCs w:val="false"/>
          <w:sz w:val="19"/>
          <w:szCs w:val="19"/>
        </w:rPr>
        <w:t xml:space="preserve">τ = tp · (1 − tp/td) / (1 − 2·tp/td)</w:t>
      </w:r>
    </w:p>
    <w:p>
      <w:pPr>
        <w:spacing w:after="60"/>
        <w:ind w:left="360"/>
      </w:pPr>
      <w:r>
        <w:rPr>
          <w:rFonts w:ascii="Consolas" w:cs="Consolas" w:eastAsia="Consolas" w:hAnsi="Consolas"/>
          <w:b w:val="false"/>
          <w:bCs w:val="false"/>
          <w:sz w:val="19"/>
          <w:szCs w:val="19"/>
        </w:rPr>
        <w:t xml:space="preserve">a = 2τ / td</w:t>
      </w:r>
    </w:p>
    <w:p>
      <w:pPr>
        <w:spacing w:after="60"/>
        <w:ind w:left="360"/>
      </w:pPr>
      <w:r>
        <w:rPr>
          <w:rFonts w:ascii="Consolas" w:cs="Consolas" w:eastAsia="Consolas" w:hAnsi="Consolas"/>
          <w:b w:val="false"/>
          <w:bCs w:val="false"/>
          <w:sz w:val="19"/>
          <w:szCs w:val="19"/>
        </w:rPr>
        <w:t xml:space="preserve">S = 1 / (1 − a + (1 + a)·e^(−td/τ))</w:t>
      </w:r>
    </w:p>
    <w:p>
      <w:pPr>
        <w:spacing w:after="160"/>
        <w:ind w:left="360"/>
      </w:pPr>
      <w:r>
        <w:rPr>
          <w:rFonts w:ascii="Consolas" w:cs="Consolas" w:eastAsia="Consolas" w:hAnsi="Consolas"/>
          <w:b w:val="false"/>
          <w:bCs w:val="false"/>
          <w:sz w:val="19"/>
          <w:szCs w:val="19"/>
        </w:rPr>
        <w:t xml:space="preserve">IOB(t) = 1 − S·(1 − a)·((t²/(τ·td·(1−a)) − t/τ − 1)·e^(−t/τ) + 1)</w:t>
      </w:r>
    </w:p>
    <w:p>
      <w:pPr>
        <w:spacing w:after="120" w:line="276"/>
      </w:pPr>
      <w:r>
        <w:rPr>
          <w:b w:val="false"/>
          <w:bCs w:val="false"/>
        </w:rPr>
        <w:t xml:space="preserve">where </w:t>
      </w:r>
      <w:r>
        <w:rPr>
          <w:rFonts w:ascii="Consolas" w:cs="Consolas" w:eastAsia="Consolas" w:hAnsi="Consolas"/>
          <w:b w:val="false"/>
          <w:bCs w:val="false"/>
          <w:sz w:val="19"/>
          <w:szCs w:val="19"/>
        </w:rPr>
        <w:t xml:space="preserve">tp</w:t>
      </w:r>
      <w:r>
        <w:rPr>
          <w:b w:val="false"/>
          <w:bCs w:val="false"/>
        </w:rPr>
        <w:t xml:space="preserve"> is peak time, </w:t>
      </w:r>
      <w:r>
        <w:rPr>
          <w:rFonts w:ascii="Consolas" w:cs="Consolas" w:eastAsia="Consolas" w:hAnsi="Consolas"/>
          <w:b w:val="false"/>
          <w:bCs w:val="false"/>
          <w:sz w:val="19"/>
          <w:szCs w:val="19"/>
        </w:rPr>
        <w:t xml:space="preserve">td</w:t>
      </w:r>
      <w:r>
        <w:rPr>
          <w:b w:val="false"/>
          <w:bCs w:val="false"/>
        </w:rPr>
        <w:t xml:space="preserve"> is duration of action, and </w:t>
      </w:r>
      <w:r>
        <w:rPr>
          <w:rFonts w:ascii="Consolas" w:cs="Consolas" w:eastAsia="Consolas" w:hAnsi="Consolas"/>
          <w:b w:val="false"/>
          <w:bCs w:val="false"/>
          <w:sz w:val="19"/>
          <w:szCs w:val="19"/>
        </w:rPr>
        <w:t xml:space="preserve">t</w:t>
      </w:r>
      <w:r>
        <w:rPr>
          <w:b w:val="false"/>
          <w:bCs w:val="false"/>
        </w:rPr>
        <w:t xml:space="preserve"> is minutes since the dose. </w:t>
      </w:r>
      <w:r>
        <w:rPr>
          <w:rFonts w:ascii="Consolas" w:cs="Consolas" w:eastAsia="Consolas" w:hAnsi="Consolas"/>
          <w:b w:val="false"/>
          <w:bCs w:val="false"/>
          <w:sz w:val="19"/>
          <w:szCs w:val="19"/>
        </w:rPr>
        <w:t xml:space="preserve">IOB(t)</w:t>
      </w:r>
      <w:r>
        <w:rPr>
          <w:b w:val="false"/>
          <w:bCs w:val="false"/>
        </w:rPr>
        <w:t xml:space="preserve"> is the fraction of the dose still active.</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200"/>
        <w:gridCol w:w="1700"/>
        <w:gridCol w:w="1900"/>
        <w:gridCol w:w="2560"/>
      </w:tblGrid>
      <w:tr>
        <w:trPr>
          <w:tblHeader/>
        </w:trPr>
        <w:tc>
          <w:tcPr>
            <w:tcW w:type="dxa" w:w="3200"/>
            <w:shd w:fill="DEEAF6" w:color="auto" w:val="clear"/>
            <w:tcMar>
              <w:top w:type="dxa" w:w="60"/>
              <w:left w:type="dxa" w:w="100"/>
              <w:bottom w:type="dxa" w:w="60"/>
              <w:right w:type="dxa" w:w="100"/>
            </w:tcMar>
          </w:tcPr>
          <w:p>
            <w:pPr>
              <w:spacing w:after="0" w:line="250"/>
            </w:pPr>
            <w:r>
              <w:rPr>
                <w:b/>
                <w:bCs/>
                <w:sz w:val="20"/>
                <w:szCs w:val="20"/>
              </w:rPr>
              <w:t xml:space="preserve">Insulin</w:t>
            </w:r>
          </w:p>
        </w:tc>
        <w:tc>
          <w:tcPr>
            <w:tcW w:type="dxa" w:w="1700"/>
            <w:shd w:fill="DEEAF6" w:color="auto" w:val="clear"/>
            <w:tcMar>
              <w:top w:type="dxa" w:w="60"/>
              <w:left w:type="dxa" w:w="100"/>
              <w:bottom w:type="dxa" w:w="60"/>
              <w:right w:type="dxa" w:w="100"/>
            </w:tcMar>
          </w:tcPr>
          <w:p>
            <w:pPr>
              <w:spacing w:after="0" w:line="250"/>
            </w:pPr>
            <w:r>
              <w:rPr>
                <w:b/>
                <w:bCs/>
                <w:sz w:val="20"/>
                <w:szCs w:val="20"/>
              </w:rPr>
              <w:t xml:space="preserve">Peak (tp)</w:t>
            </w:r>
          </w:p>
        </w:tc>
        <w:tc>
          <w:tcPr>
            <w:tcW w:type="dxa" w:w="1900"/>
            <w:shd w:fill="DEEAF6" w:color="auto" w:val="clear"/>
            <w:tcMar>
              <w:top w:type="dxa" w:w="60"/>
              <w:left w:type="dxa" w:w="100"/>
              <w:bottom w:type="dxa" w:w="60"/>
              <w:right w:type="dxa" w:w="100"/>
            </w:tcMar>
          </w:tcPr>
          <w:p>
            <w:pPr>
              <w:spacing w:after="0" w:line="250"/>
            </w:pPr>
            <w:r>
              <w:rPr>
                <w:b/>
                <w:bCs/>
                <w:sz w:val="20"/>
                <w:szCs w:val="20"/>
              </w:rPr>
              <w:t xml:space="preserve">Duration (td)</w:t>
            </w:r>
          </w:p>
        </w:tc>
        <w:tc>
          <w:tcPr>
            <w:tcW w:type="dxa" w:w="2560"/>
            <w:shd w:fill="DEEAF6" w:color="auto" w:val="clear"/>
            <w:tcMar>
              <w:top w:type="dxa" w:w="60"/>
              <w:left w:type="dxa" w:w="100"/>
              <w:bottom w:type="dxa" w:w="60"/>
              <w:right w:type="dxa" w:w="100"/>
            </w:tcMar>
          </w:tcPr>
          <w:p>
            <w:pPr>
              <w:spacing w:after="0" w:line="250"/>
            </w:pPr>
            <w:r>
              <w:rPr>
                <w:b/>
                <w:bCs/>
                <w:sz w:val="20"/>
                <w:szCs w:val="20"/>
              </w:rPr>
              <w:t xml:space="preserve">Notes</w:t>
            </w:r>
          </w:p>
        </w:tc>
      </w:tr>
      <w:tr>
        <w:tc>
          <w:tcPr>
            <w:tcW w:type="dxa" w:w="3200"/>
            <w:tcMar>
              <w:top w:type="dxa" w:w="60"/>
              <w:left w:type="dxa" w:w="100"/>
              <w:bottom w:type="dxa" w:w="60"/>
              <w:right w:type="dxa" w:w="100"/>
            </w:tcMar>
          </w:tcPr>
          <w:p>
            <w:pPr>
              <w:spacing w:after="0" w:line="250"/>
            </w:pPr>
            <w:r>
              <w:rPr>
                <w:b w:val="false"/>
                <w:bCs w:val="false"/>
                <w:sz w:val="20"/>
                <w:szCs w:val="20"/>
              </w:rPr>
              <w:t xml:space="preserve">Rapid-acting (Humalog, Novolog, Apidra)</w:t>
            </w:r>
          </w:p>
        </w:tc>
        <w:tc>
          <w:tcPr>
            <w:tcW w:type="dxa" w:w="1700"/>
            <w:tcMar>
              <w:top w:type="dxa" w:w="60"/>
              <w:left w:type="dxa" w:w="100"/>
              <w:bottom w:type="dxa" w:w="60"/>
              <w:right w:type="dxa" w:w="100"/>
            </w:tcMar>
          </w:tcPr>
          <w:p>
            <w:pPr>
              <w:spacing w:after="0" w:line="250"/>
            </w:pPr>
            <w:r>
              <w:rPr>
                <w:b w:val="false"/>
                <w:bCs w:val="false"/>
                <w:sz w:val="20"/>
                <w:szCs w:val="20"/>
              </w:rPr>
              <w:t xml:space="preserve">75 min</w:t>
            </w:r>
          </w:p>
        </w:tc>
        <w:tc>
          <w:tcPr>
            <w:tcW w:type="dxa" w:w="1900"/>
            <w:tcMar>
              <w:top w:type="dxa" w:w="60"/>
              <w:left w:type="dxa" w:w="100"/>
              <w:bottom w:type="dxa" w:w="60"/>
              <w:right w:type="dxa" w:w="100"/>
            </w:tcMar>
          </w:tcPr>
          <w:p>
            <w:pPr>
              <w:spacing w:after="0" w:line="250"/>
            </w:pPr>
            <w:r>
              <w:rPr>
                <w:b w:val="false"/>
                <w:bCs w:val="false"/>
                <w:sz w:val="20"/>
                <w:szCs w:val="20"/>
              </w:rPr>
              <w:t xml:space="preserve">360 min</w:t>
            </w:r>
          </w:p>
        </w:tc>
        <w:tc>
          <w:tcPr>
            <w:tcW w:type="dxa" w:w="2560"/>
            <w:tcMar>
              <w:top w:type="dxa" w:w="60"/>
              <w:left w:type="dxa" w:w="100"/>
              <w:bottom w:type="dxa" w:w="60"/>
              <w:right w:type="dxa" w:w="100"/>
            </w:tcMar>
          </w:tcPr>
          <w:p>
            <w:pPr>
              <w:spacing w:after="0" w:line="250"/>
            </w:pPr>
            <w:r>
              <w:rPr>
                <w:b w:val="false"/>
                <w:bCs w:val="false"/>
                <w:sz w:val="20"/>
                <w:szCs w:val="20"/>
              </w:rPr>
              <w:t xml:space="preserve">Default.</w:t>
            </w:r>
          </w:p>
        </w:tc>
      </w:tr>
      <w:tr>
        <w:tc>
          <w:tcPr>
            <w:tcW w:type="dxa" w:w="3200"/>
            <w:shd w:fill="F5F8FC" w:color="auto" w:val="clear"/>
            <w:tcMar>
              <w:top w:type="dxa" w:w="60"/>
              <w:left w:type="dxa" w:w="100"/>
              <w:bottom w:type="dxa" w:w="60"/>
              <w:right w:type="dxa" w:w="100"/>
            </w:tcMar>
          </w:tcPr>
          <w:p>
            <w:pPr>
              <w:spacing w:after="0" w:line="250"/>
            </w:pPr>
            <w:r>
              <w:rPr>
                <w:b w:val="false"/>
                <w:bCs w:val="false"/>
                <w:sz w:val="20"/>
                <w:szCs w:val="20"/>
              </w:rPr>
              <w:t xml:space="preserve">Ultra-rapid (Fiasp, Lyumjev)</w:t>
            </w:r>
          </w:p>
        </w:tc>
        <w:tc>
          <w:tcPr>
            <w:tcW w:type="dxa" w:w="1700"/>
            <w:shd w:fill="F5F8FC" w:color="auto" w:val="clear"/>
            <w:tcMar>
              <w:top w:type="dxa" w:w="60"/>
              <w:left w:type="dxa" w:w="100"/>
              <w:bottom w:type="dxa" w:w="60"/>
              <w:right w:type="dxa" w:w="100"/>
            </w:tcMar>
          </w:tcPr>
          <w:p>
            <w:pPr>
              <w:spacing w:after="0" w:line="250"/>
            </w:pPr>
            <w:r>
              <w:rPr>
                <w:b w:val="false"/>
                <w:bCs w:val="false"/>
                <w:sz w:val="20"/>
                <w:szCs w:val="20"/>
              </w:rPr>
              <w:t xml:space="preserve">55 min</w:t>
            </w:r>
          </w:p>
        </w:tc>
        <w:tc>
          <w:tcPr>
            <w:tcW w:type="dxa" w:w="1900"/>
            <w:shd w:fill="F5F8FC" w:color="auto" w:val="clear"/>
            <w:tcMar>
              <w:top w:type="dxa" w:w="60"/>
              <w:left w:type="dxa" w:w="100"/>
              <w:bottom w:type="dxa" w:w="60"/>
              <w:right w:type="dxa" w:w="100"/>
            </w:tcMar>
          </w:tcPr>
          <w:p>
            <w:pPr>
              <w:spacing w:after="0" w:line="250"/>
            </w:pPr>
            <w:r>
              <w:rPr>
                <w:b w:val="false"/>
                <w:bCs w:val="false"/>
                <w:sz w:val="20"/>
                <w:szCs w:val="20"/>
              </w:rPr>
              <w:t xml:space="preserve">300 min</w:t>
            </w:r>
          </w:p>
        </w:tc>
        <w:tc>
          <w:tcPr>
            <w:tcW w:type="dxa" w:w="2560"/>
            <w:shd w:fill="F5F8FC" w:color="auto" w:val="clear"/>
            <w:tcMar>
              <w:top w:type="dxa" w:w="60"/>
              <w:left w:type="dxa" w:w="100"/>
              <w:bottom w:type="dxa" w:w="60"/>
              <w:right w:type="dxa" w:w="100"/>
            </w:tcMar>
          </w:tcPr>
          <w:p>
            <w:pPr>
              <w:spacing w:after="0" w:line="250"/>
            </w:pPr>
            <w:r>
              <w:rPr>
                <w:b w:val="false"/>
                <w:bCs w:val="false"/>
                <w:sz w:val="20"/>
                <w:szCs w:val="20"/>
              </w:rPr>
              <w:t xml:space="preserve">Faster onset, shorter tail.</w:t>
            </w:r>
          </w:p>
        </w:tc>
      </w:tr>
      <w:tr>
        <w:tc>
          <w:tcPr>
            <w:tcW w:type="dxa" w:w="3200"/>
            <w:tcMar>
              <w:top w:type="dxa" w:w="60"/>
              <w:left w:type="dxa" w:w="100"/>
              <w:bottom w:type="dxa" w:w="60"/>
              <w:right w:type="dxa" w:w="100"/>
            </w:tcMar>
          </w:tcPr>
          <w:p>
            <w:pPr>
              <w:spacing w:after="0" w:line="250"/>
            </w:pPr>
            <w:r>
              <w:rPr>
                <w:b w:val="false"/>
                <w:bCs w:val="false"/>
                <w:sz w:val="20"/>
                <w:szCs w:val="20"/>
              </w:rPr>
              <w:t xml:space="preserve">Long-acting (Tresiba, Lantus, Levemir)</w:t>
            </w:r>
          </w:p>
        </w:tc>
        <w:tc>
          <w:tcPr>
            <w:tcW w:type="dxa" w:w="1700"/>
            <w:tcMar>
              <w:top w:type="dxa" w:w="60"/>
              <w:left w:type="dxa" w:w="100"/>
              <w:bottom w:type="dxa" w:w="60"/>
              <w:right w:type="dxa" w:w="100"/>
            </w:tcMar>
          </w:tcPr>
          <w:p>
            <w:pPr>
              <w:spacing w:after="0" w:line="250"/>
            </w:pPr>
            <w:r>
              <w:rPr>
                <w:b w:val="false"/>
                <w:bCs w:val="false"/>
                <w:sz w:val="20"/>
                <w:szCs w:val="20"/>
              </w:rPr>
              <w:t xml:space="preserve">—</w:t>
            </w:r>
          </w:p>
        </w:tc>
        <w:tc>
          <w:tcPr>
            <w:tcW w:type="dxa" w:w="1900"/>
            <w:tcMar>
              <w:top w:type="dxa" w:w="60"/>
              <w:left w:type="dxa" w:w="100"/>
              <w:bottom w:type="dxa" w:w="60"/>
              <w:right w:type="dxa" w:w="100"/>
            </w:tcMar>
          </w:tcPr>
          <w:p>
            <w:pPr>
              <w:spacing w:after="0" w:line="250"/>
            </w:pPr>
            <w:r>
              <w:rPr>
                <w:b w:val="false"/>
                <w:bCs w:val="false"/>
                <w:sz w:val="20"/>
                <w:szCs w:val="20"/>
              </w:rPr>
              <w:t xml:space="preserve">—</w:t>
            </w:r>
          </w:p>
        </w:tc>
        <w:tc>
          <w:tcPr>
            <w:tcW w:type="dxa" w:w="2560"/>
            <w:tcMar>
              <w:top w:type="dxa" w:w="60"/>
              <w:left w:type="dxa" w:w="100"/>
              <w:bottom w:type="dxa" w:w="60"/>
              <w:right w:type="dxa" w:w="100"/>
            </w:tcMar>
          </w:tcPr>
          <w:p>
            <w:pPr>
              <w:spacing w:after="0" w:line="250"/>
            </w:pPr>
            <w:r>
              <w:rPr>
                <w:b/>
                <w:bCs/>
                <w:sz w:val="20"/>
                <w:szCs w:val="20"/>
              </w:rPr>
              <w:t xml:space="preserve">Excluded from IOB entirely.</w:t>
            </w:r>
            <w:r>
              <w:rPr>
                <w:b w:val="false"/>
                <w:bCs w:val="false"/>
                <w:sz w:val="20"/>
                <w:szCs w:val="20"/>
              </w:rPr>
              <w:t xml:space="preserve"> Logged and displayed separately.</w:t>
            </w:r>
          </w:p>
        </w:tc>
      </w:tr>
    </w:tbl>
    <w:p>
      <w:pPr>
        <w:spacing w:after="100"/>
      </w:pPr>
    </w:p>
    <w:p>
      <w:pPr>
        <w:spacing w:after="120" w:line="276"/>
      </w:pPr>
      <w:r>
        <w:rPr>
          <w:b w:val="false"/>
          <w:bCs w:val="false"/>
        </w:rPr>
        <w:t xml:space="preserve">All parameters are user-editable (§3.1.6). The defaults are a starting point, not a claim about this user's physiology.</w:t>
      </w:r>
    </w:p>
    <w:p>
      <w:pPr>
        <w:spacing w:after="100" w:before="180"/>
      </w:pPr>
      <w:r>
        <w:rPr>
          <w:b/>
          <w:bCs/>
          <w:color w:val="1F4D78"/>
        </w:rPr>
        <w:t xml:space="preserve">COBCalculator</w:t>
      </w:r>
    </w:p>
    <w:p>
      <w:pPr>
        <w:spacing w:after="120" w:line="276"/>
      </w:pPr>
      <w:r>
        <w:rPr>
          <w:b w:val="false"/>
          <w:bCs w:val="false"/>
        </w:rPr>
        <w:t xml:space="preserve">New in v1.2 — v1.1 referenced a “textbook glucose-rise curve scaled by carbs” without defining it. Carbs on board use linear absorption over a user-configured window (default 180 minutes), which is the standard simple model and is transparent enough to explain in one sentence, satisfying §3.2.3's no-black-boxes requirement:</w:t>
      </w:r>
    </w:p>
    <w:p>
      <w:pPr>
        <w:spacing w:after="160"/>
        <w:ind w:left="360"/>
      </w:pPr>
      <w:r>
        <w:rPr>
          <w:rFonts w:ascii="Consolas" w:cs="Consolas" w:eastAsia="Consolas" w:hAnsi="Consolas"/>
          <w:b w:val="false"/>
          <w:bCs w:val="false"/>
          <w:sz w:val="19"/>
          <w:szCs w:val="19"/>
        </w:rPr>
        <w:t xml:space="preserve">COB(t) = carbs · max(0, 1 − t/ta)</w:t>
      </w:r>
    </w:p>
    <w:p>
      <w:pPr>
        <w:spacing w:after="120" w:line="276"/>
      </w:pPr>
      <w:r>
        <w:rPr>
          <w:b w:val="false"/>
          <w:bCs w:val="false"/>
        </w:rPr>
        <w:t xml:space="preserve">where </w:t>
      </w:r>
      <w:r>
        <w:rPr>
          <w:rFonts w:ascii="Consolas" w:cs="Consolas" w:eastAsia="Consolas" w:hAnsi="Consolas"/>
          <w:b w:val="false"/>
          <w:bCs w:val="false"/>
          <w:sz w:val="19"/>
          <w:szCs w:val="19"/>
        </w:rPr>
        <w:t xml:space="preserve">ta</w:t>
      </w:r>
      <w:r>
        <w:rPr>
          <w:b w:val="false"/>
          <w:bCs w:val="false"/>
        </w:rPr>
        <w:t xml:space="preserve"> is the absorption time. Dynamic absorption modelling (as Loop performs) is explicitly out of scope: it requires closed-loop-grade tuning and its failure modes are opaque.</w:t>
      </w:r>
    </w:p>
    <w:p>
      <w:pPr>
        <w:spacing w:after="100" w:before="180"/>
      </w:pPr>
      <w:r>
        <w:rPr>
          <w:b/>
          <w:bCs/>
          <w:color w:val="1F4D78"/>
        </w:rPr>
        <w:t xml:space="preserve">MealResponseEstimator</w:t>
      </w:r>
    </w:p>
    <w:p>
      <w:pPr>
        <w:spacing w:after="120" w:line="276"/>
      </w:pPr>
      <w:r>
        <w:rPr>
          <w:b/>
          <w:bCs/>
        </w:rPr>
        <w:t xml:space="preserve">v1.1 defined this as taking a meal and IOB and returning an expected mg/dL curve. That computation is impossible as specified</w:t>
      </w:r>
      <w:r>
        <w:rPr>
          <w:b w:val="false"/>
          <w:bCs w:val="false"/>
        </w:rPr>
        <w:t xml:space="preserve"> — converting grams of carbohydrate to mg/dL requires an insulin-to-carb ratio, and converting units of insulin to mg/dL requires an insulin sensitivity factor. Neither parameter existed anywhere in v1.1. Both are now required settings (§3.1.6), and the forecast is disabled until they are entered.</w:t>
      </w:r>
    </w:p>
    <w:p>
      <w:pPr>
        <w:spacing w:after="160"/>
        <w:ind w:left="360"/>
      </w:pPr>
      <w:r>
        <w:rPr>
          <w:rFonts w:ascii="Consolas" w:cs="Consolas" w:eastAsia="Consolas" w:hAnsi="Consolas"/>
          <w:b w:val="false"/>
          <w:bCs w:val="false"/>
          <w:sz w:val="19"/>
          <w:szCs w:val="19"/>
        </w:rPr>
        <w:t xml:space="preserve">predicted(t) = current + carbsAbsorbed(t) · (ISF / ICR) − insulinDelivered(t) · ISF · exerciseFactor</w:t>
      </w:r>
    </w:p>
    <w:p>
      <w:pPr>
        <w:pStyle w:val="ListParagraph"/>
        <w:numPr>
          <w:ilvl w:val="0"/>
          <w:numId w:val="2"/>
        </w:numPr>
        <w:spacing w:after="80" w:line="276"/>
      </w:pPr>
      <w:r>
        <w:rPr>
          <w:rFonts w:ascii="Consolas" w:cs="Consolas" w:eastAsia="Consolas" w:hAnsi="Consolas"/>
          <w:b w:val="false"/>
          <w:bCs w:val="false"/>
          <w:sz w:val="19"/>
          <w:szCs w:val="19"/>
        </w:rPr>
        <w:t xml:space="preserve">carbsAbsorbed(t)</w:t>
      </w:r>
      <w:r>
        <w:rPr>
          <w:b w:val="false"/>
          <w:bCs w:val="false"/>
        </w:rPr>
        <w:t xml:space="preserve"> = total carbs − COB(t).</w:t>
      </w:r>
    </w:p>
    <w:p>
      <w:pPr>
        <w:pStyle w:val="ListParagraph"/>
        <w:numPr>
          <w:ilvl w:val="0"/>
          <w:numId w:val="2"/>
        </w:numPr>
        <w:spacing w:after="80" w:line="276"/>
      </w:pPr>
      <w:r>
        <w:rPr>
          <w:rFonts w:ascii="Consolas" w:cs="Consolas" w:eastAsia="Consolas" w:hAnsi="Consolas"/>
          <w:b w:val="false"/>
          <w:bCs w:val="false"/>
          <w:sz w:val="19"/>
          <w:szCs w:val="19"/>
        </w:rPr>
        <w:t xml:space="preserve">insulinDelivered(t)</w:t>
      </w:r>
      <w:r>
        <w:rPr>
          <w:b w:val="false"/>
          <w:bCs w:val="false"/>
        </w:rPr>
        <w:t xml:space="preserve"> = total units − IOB(t), summed across all active bolus doses.</w:t>
      </w:r>
    </w:p>
    <w:p>
      <w:pPr>
        <w:pStyle w:val="ListParagraph"/>
        <w:numPr>
          <w:ilvl w:val="0"/>
          <w:numId w:val="2"/>
        </w:numPr>
        <w:spacing w:after="80" w:line="276"/>
      </w:pPr>
      <w:r>
        <w:rPr>
          <w:rFonts w:ascii="Consolas" w:cs="Consolas" w:eastAsia="Consolas" w:hAnsi="Consolas"/>
          <w:b w:val="false"/>
          <w:bCs w:val="false"/>
          <w:sz w:val="19"/>
          <w:szCs w:val="19"/>
        </w:rPr>
        <w:t xml:space="preserve">exerciseFactor</w:t>
      </w:r>
      <w:r>
        <w:rPr>
          <w:b w:val="false"/>
          <w:bCs w:val="false"/>
        </w:rPr>
        <w:t xml:space="preserve"> is 1.0 at rest, and a documented multiplier (default 1.5, editable) for the duration of a logged exercise event plus a configurable tail. v1.1 logged exercise and never used it.</w:t>
      </w:r>
    </w:p>
    <w:p>
      <w:pPr>
        <w:spacing w:after="100" w:before="180"/>
      </w:pPr>
      <w:r>
        <w:rPr>
          <w:b/>
          <w:bCs/>
          <w:color w:val="1F4D78"/>
        </w:rPr>
        <w:t xml:space="preserve">ShortTermForecaster</w:t>
      </w:r>
    </w:p>
    <w:p>
      <w:pPr>
        <w:pStyle w:val="ListParagraph"/>
        <w:numPr>
          <w:ilvl w:val="0"/>
          <w:numId w:val="2"/>
        </w:numPr>
        <w:spacing w:after="80" w:line="276"/>
      </w:pPr>
      <w:r>
        <w:rPr>
          <w:b w:val="false"/>
          <w:bCs w:val="false"/>
        </w:rPr>
        <w:t xml:space="preserve">Ordinary least-squares fit over the last 30 minutes (typically six samples), producing slope </w:t>
      </w:r>
      <w:r>
        <w:rPr>
          <w:rFonts w:ascii="Consolas" w:cs="Consolas" w:eastAsia="Consolas" w:hAnsi="Consolas"/>
          <w:b w:val="false"/>
          <w:bCs w:val="false"/>
          <w:sz w:val="19"/>
          <w:szCs w:val="19"/>
        </w:rPr>
        <w:t xml:space="preserve">m</w:t>
      </w:r>
      <w:r>
        <w:rPr>
          <w:b w:val="false"/>
          <w:bCs w:val="false"/>
        </w:rPr>
        <w:t xml:space="preserve"> in mg/dL/min.</w:t>
      </w:r>
    </w:p>
    <w:p>
      <w:pPr>
        <w:pStyle w:val="ListParagraph"/>
        <w:numPr>
          <w:ilvl w:val="0"/>
          <w:numId w:val="2"/>
        </w:numPr>
        <w:spacing w:after="80" w:line="276"/>
      </w:pPr>
      <w:r>
        <w:rPr>
          <w:b/>
          <w:bCs/>
        </w:rPr>
        <w:t xml:space="preserve">Clamp</w:t>
      </w:r>
      <w:r>
        <w:rPr>
          <w:b w:val="false"/>
          <w:bCs w:val="false"/>
        </w:rPr>
        <w:t xml:space="preserve"> </w:t>
      </w:r>
      <w:r>
        <w:rPr>
          <w:rFonts w:ascii="Consolas" w:cs="Consolas" w:eastAsia="Consolas" w:hAnsi="Consolas"/>
          <w:b w:val="false"/>
          <w:bCs w:val="false"/>
          <w:sz w:val="19"/>
          <w:szCs w:val="19"/>
        </w:rPr>
        <w:t xml:space="preserve">m</w:t>
      </w:r>
      <w:r>
        <w:rPr>
          <w:b w:val="false"/>
          <w:bCs w:val="false"/>
        </w:rPr>
        <w:t xml:space="preserve"> to ±4.0 mg/dL/min. Outside that range the input is sensor noise, not glucose.</w:t>
      </w:r>
    </w:p>
    <w:p>
      <w:pPr>
        <w:pStyle w:val="ListParagraph"/>
        <w:numPr>
          <w:ilvl w:val="0"/>
          <w:numId w:val="2"/>
        </w:numPr>
        <w:spacing w:after="80" w:line="276"/>
      </w:pPr>
      <w:r>
        <w:rPr>
          <w:b/>
          <w:bCs/>
        </w:rPr>
        <w:t xml:space="preserve">Damped projection:</w:t>
      </w:r>
      <w:r>
        <w:rPr>
          <w:b w:val="false"/>
          <w:bCs w:val="false"/>
        </w:rPr>
        <w:t xml:space="preserve"> </w:t>
      </w:r>
      <w:r>
        <w:rPr>
          <w:rFonts w:ascii="Consolas" w:cs="Consolas" w:eastAsia="Consolas" w:hAnsi="Consolas"/>
          <w:b w:val="false"/>
          <w:bCs w:val="false"/>
          <w:sz w:val="19"/>
          <w:szCs w:val="19"/>
        </w:rPr>
        <w:t xml:space="preserve">v(h) = current + m · τd · (1 − e^(−h/τd))</w:t>
      </w:r>
      <w:r>
        <w:rPr>
          <w:b w:val="false"/>
          <w:bCs w:val="false"/>
        </w:rPr>
        <w:t xml:space="preserve"> with damping constant </w:t>
      </w:r>
      <w:r>
        <w:rPr>
          <w:rFonts w:ascii="Consolas" w:cs="Consolas" w:eastAsia="Consolas" w:hAnsi="Consolas"/>
          <w:b w:val="false"/>
          <w:bCs w:val="false"/>
          <w:sz w:val="19"/>
          <w:szCs w:val="19"/>
        </w:rPr>
        <w:t xml:space="preserve">τd</w:t>
      </w:r>
      <w:r>
        <w:rPr>
          <w:b w:val="false"/>
          <w:bCs w:val="false"/>
        </w:rPr>
        <w:t xml:space="preserve"> = 15 minutes. Undamped linear extrapolation (v1.1) flies straight through post-meal peaks and post-correction nadirs — the two moments when a forecast is actually consulted. Damping makes the projection flatten as the horizon extends, which is both more accurate and more honestly humble.</w:t>
      </w:r>
    </w:p>
    <w:p>
      <w:pPr>
        <w:pStyle w:val="ListParagraph"/>
        <w:numPr>
          <w:ilvl w:val="0"/>
          <w:numId w:val="2"/>
        </w:numPr>
        <w:spacing w:after="80" w:line="276"/>
      </w:pPr>
      <w:r>
        <w:rPr>
          <w:b/>
          <w:bCs/>
        </w:rPr>
        <w:t xml:space="preserve">Confidence band:</w:t>
      </w:r>
      <w:r>
        <w:rPr>
          <w:b w:val="false"/>
          <w:bCs w:val="false"/>
        </w:rPr>
        <w:t xml:space="preserve"> the 10th and 90th percentiles of the app's own realised forecast errors at the same horizon, computed by backtesting over the user's stored history and recomputed weekly. Not ±1 SD of residuals: that assumes stationarity and normality, and glucose forecast residuals are strongly heteroscedastic — errors are far larger when glucose is moving. The empirical band widens automatically in exactly those conditions.</w:t>
      </w:r>
    </w:p>
    <w:p>
      <w:pPr>
        <w:pStyle w:val="ListParagraph"/>
        <w:numPr>
          <w:ilvl w:val="0"/>
          <w:numId w:val="2"/>
        </w:numPr>
        <w:spacing w:after="80" w:line="276"/>
      </w:pPr>
      <w:r>
        <w:rPr>
          <w:b w:val="false"/>
          <w:bCs w:val="false"/>
        </w:rPr>
        <w:t xml:space="preserve">The band is asymmetric by construction, which is correct: the distribution of forecast errors is not symmetric around zero.</w:t>
      </w:r>
    </w:p>
    <w:p>
      <w:pPr>
        <w:spacing w:after="100" w:before="180"/>
      </w:pPr>
      <w:r>
        <w:rPr>
          <w:b/>
          <w:bCs/>
          <w:color w:val="1F4D78"/>
        </w:rPr>
        <w:t xml:space="preserve">Validation</w:t>
      </w:r>
    </w:p>
    <w:p>
      <w:pPr>
        <w:spacing w:after="120" w:line="276"/>
      </w:pPr>
      <w:r>
        <w:rPr>
          <w:b/>
          <w:bCs/>
        </w:rPr>
        <w:t xml:space="preserve">v1.1's acceptance criterion — 15-minute prediction error within ±20 mg/dL, 80% of the time — is passed by a naive baseline that predicts “the same as now.”</w:t>
      </w:r>
      <w:r>
        <w:rPr>
          <w:b w:val="false"/>
          <w:bCs w:val="false"/>
        </w:rPr>
        <w:t xml:space="preserve"> Glucose rarely moves more than 20 mg/dL in 15 minutes, so the criterion demonstrates nothing about whether the model adds value. Replaced with:</w:t>
      </w:r>
    </w:p>
    <w:p>
      <w:pPr>
        <w:pStyle w:val="ListParagraph"/>
        <w:numPr>
          <w:ilvl w:val="0"/>
          <w:numId w:val="2"/>
        </w:numPr>
        <w:spacing w:after="80" w:line="276"/>
      </w:pPr>
      <w:r>
        <w:rPr>
          <w:b/>
          <w:bCs/>
        </w:rPr>
        <w:t xml:space="preserve">Baseline comparison (mandatory).</w:t>
      </w:r>
      <w:r>
        <w:rPr>
          <w:b w:val="false"/>
          <w:bCs w:val="false"/>
        </w:rPr>
        <w:t xml:space="preserve"> Backtest against a persistence baseline on the same data. The model must reduce RMSE by at least 15% at a 15-minute horizon and 20% at 30 minutes. If it does not beat persistence, ship persistence — it is simpler and more honest.</w:t>
      </w:r>
    </w:p>
    <w:p>
      <w:pPr>
        <w:pStyle w:val="ListParagraph"/>
        <w:numPr>
          <w:ilvl w:val="0"/>
          <w:numId w:val="2"/>
        </w:numPr>
        <w:spacing w:after="80" w:line="276"/>
      </w:pPr>
      <w:r>
        <w:rPr>
          <w:b/>
          <w:bCs/>
        </w:rPr>
        <w:t xml:space="preserve">Zone-stratified error.</w:t>
      </w:r>
      <w:r>
        <w:rPr>
          <w:b w:val="false"/>
          <w:bCs w:val="false"/>
        </w:rPr>
        <w:t xml:space="preserve"> Report RMSE and the 90th-percentile absolute error separately for readings below 70, 70–180, and above 180 mg/dL. A 20 mg/dL error at 60 is a materially different event from a 20 mg/dL error at 200, and a single aggregate figure hides exactly the case that matters.</w:t>
      </w:r>
    </w:p>
    <w:p>
      <w:pPr>
        <w:pStyle w:val="ListParagraph"/>
        <w:numPr>
          <w:ilvl w:val="0"/>
          <w:numId w:val="2"/>
        </w:numPr>
        <w:spacing w:after="80" w:line="276"/>
      </w:pPr>
      <w:r>
        <w:rPr>
          <w:b/>
          <w:bCs/>
        </w:rPr>
        <w:t xml:space="preserve">Parkes error grid.</w:t>
      </w:r>
      <w:r>
        <w:rPr>
          <w:b w:val="false"/>
          <w:bCs w:val="false"/>
        </w:rPr>
        <w:t xml:space="preserve"> Plot forecast against actual on a Parkes (consensus) error grid. The pass condition is zero points in zones C, D, or E. This is the clinical-significance check that a raw error threshold cannot provide.</w:t>
      </w:r>
    </w:p>
    <w:p>
      <w:pPr>
        <w:pStyle w:val="ListParagraph"/>
        <w:numPr>
          <w:ilvl w:val="0"/>
          <w:numId w:val="2"/>
        </w:numPr>
        <w:spacing w:after="80" w:line="276"/>
      </w:pPr>
      <w:r>
        <w:rPr>
          <w:b/>
          <w:bCs/>
        </w:rPr>
        <w:t xml:space="preserve">Backtesting harness.</w:t>
      </w:r>
      <w:r>
        <w:rPr>
          <w:b w:val="false"/>
          <w:bCs w:val="false"/>
        </w:rPr>
        <w:t xml:space="preserve"> Replays stored history through the engine with a fixed seed and an injectable clock, so accuracy is a regression test rather than a one-off measurement.</w:t>
      </w:r>
    </w:p>
    <w:p>
      <w:pPr>
        <w:pStyle w:val="ListParagraph"/>
        <w:numPr>
          <w:ilvl w:val="0"/>
          <w:numId w:val="2"/>
        </w:numPr>
        <w:spacing w:after="80" w:line="276"/>
      </w:pPr>
      <w:r>
        <w:rPr>
          <w:b/>
          <w:bCs/>
        </w:rPr>
        <w:t xml:space="preserve">Exclusions.</w:t>
      </w:r>
      <w:r>
        <w:rPr>
          <w:b w:val="false"/>
          <w:bCs w:val="false"/>
        </w:rPr>
        <w:t xml:space="preserve"> Readings flagged as suspected compression lows (§3.2.6) are excluded from error statistics — they are sensor artifacts, and including them makes a correct model look wrong.</w:t>
      </w:r>
    </w:p>
    <w:p>
      <w:pPr>
        <w:pStyle w:val="Heading2"/>
        <w:spacing w:after="140" w:before="280"/>
      </w:pPr>
      <w:r>
        <w:rPr>
          <w:b w:val="false"/>
          <w:bCs w:val="false"/>
        </w:rPr>
        <w:t xml:space="preserve">4.5 Performance &amp; Data Volume</w:t>
      </w:r>
    </w:p>
    <w:p>
      <w:pPr>
        <w:pBdr>
          <w:left w:val="single" w:color="BFD3E6" w:sz="12" w:space="8"/>
        </w:pBdr>
        <w:spacing w:after="160" w:line="260"/>
        <w:ind w:left="180"/>
      </w:pPr>
      <w:r>
        <w:rPr>
          <w:b w:val="false"/>
          <w:bCs w:val="false"/>
          <w:i/>
          <w:iCs/>
          <w:color w:val="595959"/>
          <w:sz w:val="20"/>
          <w:szCs w:val="20"/>
        </w:rPr>
        <w:t xml:space="preserve">Implemented in v1.5.</w:t>
      </w:r>
    </w:p>
    <w:p>
      <w:pPr>
        <w:pStyle w:val="ListParagraph"/>
        <w:numPr>
          <w:ilvl w:val="0"/>
          <w:numId w:val="2"/>
        </w:numPr>
        <w:spacing w:after="80" w:line="276"/>
      </w:pPr>
      <w:r>
        <w:rPr>
          <w:b/>
          <w:bCs/>
        </w:rPr>
        <w:t xml:space="preserve">Volume.</w:t>
      </w:r>
      <w:r>
        <w:rPr>
          <w:b w:val="false"/>
          <w:bCs w:val="false"/>
        </w:rPr>
        <w:t xml:space="preserve"> 288 readings/day, ~2,000/week, ~8,600 per 30-day window, ~105,000/year.</w:t>
      </w:r>
    </w:p>
    <w:p>
      <w:pPr>
        <w:pStyle w:val="ListParagraph"/>
        <w:numPr>
          <w:ilvl w:val="0"/>
          <w:numId w:val="2"/>
        </w:numPr>
        <w:spacing w:after="80" w:line="276"/>
      </w:pPr>
      <w:r>
        <w:rPr>
          <w:b/>
          <w:bCs/>
        </w:rPr>
        <w:t xml:space="preserve">Downsampling above ~1,000 points</w:t>
      </w:r>
      <w:r>
        <w:rPr>
          <w:b w:val="false"/>
          <w:bCs w:val="false"/>
        </w:rPr>
        <w:t xml:space="preserve">, bucketing into roughly 400 groups.</w:t>
      </w:r>
    </w:p>
    <w:p>
      <w:pPr>
        <w:spacing w:after="100" w:before="180"/>
      </w:pPr>
      <w:r>
        <w:rPr>
          <w:b/>
          <w:bCs/>
          <w:color w:val="1F4D78"/>
        </w:rPr>
        <w:t xml:space="preserve">Each bucket contributes its minimum and maximum, never its mean</w:t>
      </w:r>
    </w:p>
    <w:p>
      <w:pPr>
        <w:spacing w:after="120" w:line="276"/>
      </w:pPr>
      <w:r>
        <w:rPr>
          <w:b w:val="false"/>
          <w:bCs w:val="false"/>
        </w:rPr>
        <w:t xml:space="preserve">Averaging is the obvious implementation and it is wrong here. A twenty-minute hypo inside a two-hour bucket vanishes completely into the mean, so the chart would render a calm line across the single event the user most needs to see. Emitting both extremes in time order preserves excursions at every zoom level, at the cost of up to two points per bucket.</w:t>
      </w:r>
    </w:p>
    <w:p>
      <w:pPr>
        <w:pStyle w:val="ListParagraph"/>
        <w:numPr>
          <w:ilvl w:val="0"/>
          <w:numId w:val="2"/>
        </w:numPr>
        <w:spacing w:after="80" w:line="276"/>
      </w:pPr>
      <w:r>
        <w:rPr>
          <w:b/>
          <w:bCs/>
        </w:rPr>
        <w:t xml:space="preserve">Gap thresholds scale with the window.</w:t>
      </w:r>
      <w:r>
        <w:rPr>
          <w:b w:val="false"/>
          <w:bCs w:val="false"/>
        </w:rPr>
        <w:t xml:space="preserve"> An 11-minute break is a real gap on a 3-hour chart and sub-pixel noise on a 30-day one; applying the short-window threshold to a long window would shatter the line into thousands of one-point segments and render nothing legible.</w:t>
      </w:r>
    </w:p>
    <w:p>
      <w:pPr>
        <w:pStyle w:val="ListParagraph"/>
        <w:numPr>
          <w:ilvl w:val="0"/>
          <w:numId w:val="2"/>
        </w:numPr>
        <w:spacing w:after="80" w:line="276"/>
      </w:pPr>
      <w:r>
        <w:rPr>
          <w:b/>
          <w:bCs/>
        </w:rPr>
        <w:t xml:space="preserve">Markers are suppressed on multi-day windows</w:t>
      </w:r>
      <w:r>
        <w:rPr>
          <w:b w:val="false"/>
          <w:bCs w:val="false"/>
        </w:rPr>
        <w:t xml:space="preserve">, where they become noise rather than information. The line alone carries the shape.</w:t>
      </w:r>
    </w:p>
    <w:p>
      <w:pPr>
        <w:pStyle w:val="ListParagraph"/>
        <w:numPr>
          <w:ilvl w:val="0"/>
          <w:numId w:val="2"/>
        </w:numPr>
        <w:spacing w:after="80" w:line="276"/>
      </w:pPr>
      <w:r>
        <w:rPr>
          <w:b/>
          <w:bCs/>
        </w:rPr>
        <w:t xml:space="preserve">No unbounded </w:t>
      </w:r>
      <w:r>
        <w:rPr>
          <w:rFonts w:ascii="Consolas" w:cs="Consolas" w:eastAsia="Consolas" w:hAnsi="Consolas"/>
          <w:b/>
          <w:bCs/>
          <w:sz w:val="19"/>
          <w:szCs w:val="19"/>
        </w:rPr>
        <w:t xml:space="preserve">@Query</w:t>
      </w:r>
      <w:r>
        <w:rPr>
          <w:b/>
          <w:bCs/>
        </w:rPr>
        <w:t xml:space="preserve">.</w:t>
      </w:r>
      <w:r>
        <w:rPr>
          <w:b w:val="false"/>
          <w:bCs w:val="false"/>
        </w:rPr>
        <w:t xml:space="preserve"> Views fetch explicit bounded predicates; a query over all readings materialises the entire store into a SwiftUI view body.</w:t>
      </w:r>
    </w:p>
    <w:p>
      <w:pPr>
        <w:pStyle w:val="ListParagraph"/>
        <w:numPr>
          <w:ilvl w:val="0"/>
          <w:numId w:val="2"/>
        </w:numPr>
        <w:spacing w:after="80" w:line="276"/>
      </w:pPr>
      <w:r>
        <w:rPr>
          <w:b/>
          <w:bCs/>
        </w:rPr>
        <w:t xml:space="preserve">Charts read from the store, not from memory</w:t>
      </w:r>
      <w:r>
        <w:rPr>
          <w:b w:val="false"/>
          <w:bCs w:val="false"/>
        </w:rPr>
        <w:t xml:space="preserve">, so they populate on a cold launch before the first poll returns and function with no network.</w:t>
      </w:r>
    </w:p>
    <w:p>
      <w:pPr>
        <w:pStyle w:val="Heading2"/>
        <w:spacing w:after="140" w:before="280"/>
      </w:pPr>
      <w:r>
        <w:rPr>
          <w:b w:val="false"/>
          <w:bCs w:val="false"/>
        </w:rPr>
        <w:t xml:space="preserve">4.6 Project Structure</w:t>
      </w:r>
    </w:p>
    <w:p>
      <w:pPr>
        <w:pStyle w:val="ListParagraph"/>
        <w:numPr>
          <w:ilvl w:val="0"/>
          <w:numId w:val="2"/>
        </w:numPr>
        <w:spacing w:after="80" w:line="276"/>
      </w:pPr>
      <w:r>
        <w:rPr>
          <w:rFonts w:ascii="Consolas" w:cs="Consolas" w:eastAsia="Consolas" w:hAnsi="Consolas"/>
          <w:b w:val="false"/>
          <w:bCs w:val="false"/>
          <w:sz w:val="19"/>
          <w:szCs w:val="19"/>
        </w:rPr>
        <w:t xml:space="preserve">GlucoNoir/</w:t>
      </w:r>
      <w:r>
        <w:rPr>
          <w:b w:val="false"/>
          <w:bCs w:val="false"/>
        </w:rPr>
        <w:t xml:space="preserve"> — app target.</w:t>
      </w:r>
    </w:p>
    <w:p>
      <w:pPr>
        <w:pStyle w:val="ListParagraph"/>
        <w:numPr>
          <w:ilvl w:val="0"/>
          <w:numId w:val="2"/>
        </w:numPr>
        <w:spacing w:after="80" w:line="276"/>
      </w:pPr>
      <w:r>
        <w:rPr>
          <w:rFonts w:ascii="Consolas" w:cs="Consolas" w:eastAsia="Consolas" w:hAnsi="Consolas"/>
          <w:b w:val="false"/>
          <w:bCs w:val="false"/>
          <w:sz w:val="19"/>
          <w:szCs w:val="19"/>
        </w:rPr>
        <w:t xml:space="preserve">GlucoNoirCore/</w:t>
      </w:r>
      <w:r>
        <w:rPr>
          <w:b w:val="false"/>
          <w:bCs w:val="false"/>
        </w:rPr>
        <w:t xml:space="preserve"> (Swift Package) — models, persistence actor, prediction engine, source actors, coordinator.</w:t>
      </w:r>
    </w:p>
    <w:p>
      <w:pPr>
        <w:pStyle w:val="ListParagraph"/>
        <w:numPr>
          <w:ilvl w:val="0"/>
          <w:numId w:val="2"/>
        </w:numPr>
        <w:spacing w:after="80" w:line="276"/>
      </w:pPr>
      <w:r>
        <w:rPr>
          <w:rFonts w:ascii="Consolas" w:cs="Consolas" w:eastAsia="Consolas" w:hAnsi="Consolas"/>
          <w:b w:val="false"/>
          <w:bCs w:val="false"/>
          <w:sz w:val="19"/>
          <w:szCs w:val="19"/>
        </w:rPr>
        <w:t xml:space="preserve">G7SensorKit</w:t>
      </w:r>
      <w:r>
        <w:rPr>
          <w:b w:val="false"/>
          <w:bCs w:val="false"/>
        </w:rPr>
        <w:t xml:space="preserve"> — external Swift package dependency (LoopKit, MIT). Pinned to a specific commit, not a floating branch: it tracks a reverse-engineered protocol and an unreviewed update could break the live data path silently.</w:t>
      </w:r>
    </w:p>
    <w:p>
      <w:pPr>
        <w:pStyle w:val="ListParagraph"/>
        <w:numPr>
          <w:ilvl w:val="0"/>
          <w:numId w:val="2"/>
        </w:numPr>
        <w:spacing w:after="80" w:line="276"/>
      </w:pPr>
      <w:r>
        <w:rPr>
          <w:rFonts w:ascii="Consolas" w:cs="Consolas" w:eastAsia="Consolas" w:hAnsi="Consolas"/>
          <w:b w:val="false"/>
          <w:bCs w:val="false"/>
          <w:sz w:val="19"/>
          <w:szCs w:val="19"/>
        </w:rPr>
        <w:t xml:space="preserve">GlucoNoirUI/</w:t>
      </w:r>
      <w:r>
        <w:rPr>
          <w:b w:val="false"/>
          <w:bCs w:val="false"/>
        </w:rPr>
        <w:t xml:space="preserve"> (Swift Package) — theme system, reusable views, charts.</w:t>
      </w:r>
    </w:p>
    <w:p>
      <w:pPr>
        <w:pStyle w:val="ListParagraph"/>
        <w:numPr>
          <w:ilvl w:val="0"/>
          <w:numId w:val="2"/>
        </w:numPr>
        <w:spacing w:after="80" w:line="276"/>
      </w:pPr>
      <w:r>
        <w:rPr>
          <w:rFonts w:ascii="Consolas" w:cs="Consolas" w:eastAsia="Consolas" w:hAnsi="Consolas"/>
          <w:b w:val="false"/>
          <w:bCs w:val="false"/>
          <w:sz w:val="19"/>
          <w:szCs w:val="19"/>
        </w:rPr>
        <w:t xml:space="preserve">GlucoNoirWidgets/</w:t>
      </w:r>
      <w:r>
        <w:rPr>
          <w:b w:val="false"/>
          <w:bCs w:val="false"/>
        </w:rPr>
        <w:t xml:space="preserve"> — widget extension and Live Activity (</w:t>
      </w:r>
      <w:r>
        <w:rPr>
          <w:b/>
          <w:bCs/>
        </w:rPr>
        <w:t xml:space="preserve">Phase 9, requires paid membership</w:t>
      </w:r>
      <w:r>
        <w:rPr>
          <w:b w:val="false"/>
          <w:bCs w:val="false"/>
        </w:rPr>
        <w:t xml:space="preserve">).</w:t>
      </w:r>
    </w:p>
    <w:p>
      <w:pPr>
        <w:pStyle w:val="ListParagraph"/>
        <w:numPr>
          <w:ilvl w:val="0"/>
          <w:numId w:val="2"/>
        </w:numPr>
        <w:spacing w:after="80" w:line="276"/>
      </w:pPr>
      <w:r>
        <w:rPr>
          <w:rFonts w:ascii="Consolas" w:cs="Consolas" w:eastAsia="Consolas" w:hAnsi="Consolas"/>
          <w:b w:val="false"/>
          <w:bCs w:val="false"/>
          <w:sz w:val="19"/>
          <w:szCs w:val="19"/>
        </w:rPr>
        <w:t xml:space="preserve">GlucoNoirWatch/</w:t>
      </w:r>
      <w:r>
        <w:rPr>
          <w:b w:val="false"/>
          <w:bCs w:val="false"/>
        </w:rPr>
        <w:t xml:space="preserve"> — watchOS complication (</w:t>
      </w:r>
      <w:r>
        <w:rPr>
          <w:b/>
          <w:bCs/>
        </w:rPr>
        <w:t xml:space="preserve">Phase 9</w:t>
      </w:r>
      <w:r>
        <w:rPr>
          <w:b w:val="false"/>
          <w:bCs w:val="false"/>
        </w:rPr>
        <w:t xml:space="preserve">).</w:t>
      </w:r>
    </w:p>
    <w:p>
      <w:pPr>
        <w:pStyle w:val="ListParagraph"/>
        <w:numPr>
          <w:ilvl w:val="0"/>
          <w:numId w:val="2"/>
        </w:numPr>
        <w:spacing w:after="80" w:line="276"/>
      </w:pPr>
      <w:r>
        <w:rPr>
          <w:rFonts w:ascii="Consolas" w:cs="Consolas" w:eastAsia="Consolas" w:hAnsi="Consolas"/>
          <w:b w:val="false"/>
          <w:bCs w:val="false"/>
          <w:sz w:val="19"/>
          <w:szCs w:val="19"/>
        </w:rPr>
        <w:t xml:space="preserve">GlucoNoirIntents/</w:t>
      </w:r>
      <w:r>
        <w:rPr>
          <w:b w:val="false"/>
          <w:bCs w:val="false"/>
        </w:rPr>
        <w:t xml:space="preserve"> — App Intents extension (</w:t>
      </w:r>
      <w:r>
        <w:rPr>
          <w:b/>
          <w:bCs/>
        </w:rPr>
        <w:t xml:space="preserve">Phase 9</w:t>
      </w:r>
      <w:r>
        <w:rPr>
          <w:b w:val="false"/>
          <w:bCs w:val="false"/>
        </w:rPr>
        <w:t xml:space="preserve">).</w:t>
      </w:r>
    </w:p>
    <w:p>
      <w:pPr>
        <w:pStyle w:val="ListParagraph"/>
        <w:numPr>
          <w:ilvl w:val="0"/>
          <w:numId w:val="2"/>
        </w:numPr>
        <w:spacing w:after="80" w:line="276"/>
      </w:pPr>
      <w:r>
        <w:rPr>
          <w:rFonts w:ascii="Consolas" w:cs="Consolas" w:eastAsia="Consolas" w:hAnsi="Consolas"/>
          <w:b w:val="false"/>
          <w:bCs w:val="false"/>
          <w:sz w:val="19"/>
          <w:szCs w:val="19"/>
        </w:rPr>
        <w:t xml:space="preserve">Tests/</w:t>
      </w:r>
      <w:r>
        <w:rPr>
          <w:b w:val="false"/>
          <w:bCs w:val="false"/>
        </w:rPr>
        <w:t xml:space="preserve"> — test targets per package, including the backtesting harness and recorded BLE message fixtures.</w:t>
      </w:r>
    </w:p>
    <w:p>
      <w:pPr>
        <w:pBdr>
          <w:left w:val="single" w:color="BFD3E6" w:sz="12" w:space="8"/>
        </w:pBdr>
        <w:spacing w:after="160" w:line="260"/>
        <w:ind w:left="180"/>
      </w:pPr>
      <w:r>
        <w:rPr>
          <w:b w:val="false"/>
          <w:bCs w:val="false"/>
          <w:i/>
          <w:iCs/>
          <w:color w:val="595959"/>
          <w:sz w:val="20"/>
          <w:szCs w:val="20"/>
        </w:rPr>
        <w:t xml:space="preserve">Changed in v1.3: the App Group is no longer a Phase 0 requirement, because free-team signing cannot create one (§6.1). The SwiftData store path is therefore abstracted behind a single accessor from day one, so moving it into a shared container at Phase 9 is a one-line change plus a migration, not a refactor.</w:t>
      </w:r>
    </w:p>
    <w:p>
      <w:pPr>
        <w:pStyle w:val="Heading1"/>
        <w:spacing w:after="160" w:before="360"/>
      </w:pPr>
      <w:r>
        <w:rPr>
          <w:b w:val="false"/>
          <w:bCs w:val="false"/>
        </w:rPr>
        <w:t xml:space="preserve">5. Design System</w:t>
      </w:r>
    </w:p>
    <w:p>
      <w:pPr>
        <w:pStyle w:val="Heading2"/>
        <w:spacing w:after="140" w:before="280"/>
      </w:pPr>
      <w:r>
        <w:rPr>
          <w:b w:val="false"/>
          <w:bCs w:val="false"/>
        </w:rPr>
        <w:t xml:space="preserve">5.1 Color Tokens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1800"/>
        <w:gridCol w:w="1500"/>
        <w:gridCol w:w="1500"/>
        <w:gridCol w:w="1400"/>
        <w:gridCol w:w="3160"/>
      </w:tblGrid>
      <w:tr>
        <w:trPr>
          <w:tblHeader/>
        </w:trPr>
        <w:tc>
          <w:tcPr>
            <w:tcW w:type="dxa" w:w="1800"/>
            <w:shd w:fill="DEEAF6" w:color="auto" w:val="clear"/>
            <w:tcMar>
              <w:top w:type="dxa" w:w="60"/>
              <w:left w:type="dxa" w:w="100"/>
              <w:bottom w:type="dxa" w:w="60"/>
              <w:right w:type="dxa" w:w="100"/>
            </w:tcMar>
          </w:tcPr>
          <w:p>
            <w:pPr>
              <w:spacing w:after="0" w:line="250"/>
            </w:pPr>
            <w:r>
              <w:rPr>
                <w:b/>
                <w:bCs/>
                <w:sz w:val="20"/>
                <w:szCs w:val="20"/>
              </w:rPr>
              <w:t xml:space="preserve">Token</w:t>
            </w:r>
          </w:p>
        </w:tc>
        <w:tc>
          <w:tcPr>
            <w:tcW w:type="dxa" w:w="1500"/>
            <w:shd w:fill="DEEAF6" w:color="auto" w:val="clear"/>
            <w:tcMar>
              <w:top w:type="dxa" w:w="60"/>
              <w:left w:type="dxa" w:w="100"/>
              <w:bottom w:type="dxa" w:w="60"/>
              <w:right w:type="dxa" w:w="100"/>
            </w:tcMar>
          </w:tcPr>
          <w:p>
            <w:pPr>
              <w:spacing w:after="0" w:line="250"/>
            </w:pPr>
            <w:r>
              <w:rPr>
                <w:b/>
                <w:bCs/>
                <w:sz w:val="20"/>
                <w:szCs w:val="20"/>
              </w:rPr>
              <w:t xml:space="preserve">True Black</w:t>
            </w:r>
          </w:p>
        </w:tc>
        <w:tc>
          <w:tcPr>
            <w:tcW w:type="dxa" w:w="1500"/>
            <w:shd w:fill="DEEAF6" w:color="auto" w:val="clear"/>
            <w:tcMar>
              <w:top w:type="dxa" w:w="60"/>
              <w:left w:type="dxa" w:w="100"/>
              <w:bottom w:type="dxa" w:w="60"/>
              <w:right w:type="dxa" w:w="100"/>
            </w:tcMar>
          </w:tcPr>
          <w:p>
            <w:pPr>
              <w:spacing w:after="0" w:line="250"/>
            </w:pPr>
            <w:r>
              <w:rPr>
                <w:b/>
                <w:bCs/>
                <w:sz w:val="20"/>
                <w:szCs w:val="20"/>
              </w:rPr>
              <w:t xml:space="preserve">Soft Dark</w:t>
            </w:r>
          </w:p>
        </w:tc>
        <w:tc>
          <w:tcPr>
            <w:tcW w:type="dxa" w:w="1400"/>
            <w:shd w:fill="DEEAF6" w:color="auto" w:val="clear"/>
            <w:tcMar>
              <w:top w:type="dxa" w:w="60"/>
              <w:left w:type="dxa" w:w="100"/>
              <w:bottom w:type="dxa" w:w="60"/>
              <w:right w:type="dxa" w:w="100"/>
            </w:tcMar>
          </w:tcPr>
          <w:p>
            <w:pPr>
              <w:spacing w:after="0" w:line="250"/>
            </w:pPr>
            <w:r>
              <w:rPr>
                <w:b/>
                <w:bCs/>
                <w:sz w:val="20"/>
                <w:szCs w:val="20"/>
              </w:rPr>
              <w:t xml:space="preserve">Light</w:t>
            </w:r>
          </w:p>
        </w:tc>
        <w:tc>
          <w:tcPr>
            <w:tcW w:type="dxa" w:w="3160"/>
            <w:shd w:fill="DEEAF6" w:color="auto" w:val="clear"/>
            <w:tcMar>
              <w:top w:type="dxa" w:w="60"/>
              <w:left w:type="dxa" w:w="100"/>
              <w:bottom w:type="dxa" w:w="60"/>
              <w:right w:type="dxa" w:w="100"/>
            </w:tcMar>
          </w:tcPr>
          <w:p>
            <w:pPr>
              <w:spacing w:after="0" w:line="250"/>
            </w:pPr>
            <w:r>
              <w:rPr>
                <w:b/>
                <w:bCs/>
                <w:sz w:val="20"/>
                <w:szCs w:val="20"/>
              </w:rPr>
              <w:t xml:space="preserve">Use</w:t>
            </w:r>
          </w:p>
        </w:tc>
      </w:tr>
      <w:tr>
        <w:tc>
          <w:tcPr>
            <w:tcW w:type="dxa" w:w="1800"/>
            <w:tcMar>
              <w:top w:type="dxa" w:w="60"/>
              <w:left w:type="dxa" w:w="100"/>
              <w:bottom w:type="dxa" w:w="60"/>
              <w:right w:type="dxa" w:w="100"/>
            </w:tcMar>
          </w:tcPr>
          <w:p>
            <w:pPr>
              <w:spacing w:after="0" w:line="250"/>
            </w:pPr>
            <w:r>
              <w:rPr>
                <w:b w:val="false"/>
                <w:bCs w:val="false"/>
                <w:sz w:val="20"/>
                <w:szCs w:val="20"/>
              </w:rPr>
              <w:t xml:space="preserve">bg.primary</w:t>
            </w:r>
          </w:p>
        </w:tc>
        <w:tc>
          <w:tcPr>
            <w:tcW w:type="dxa" w:w="1500"/>
            <w:tcMar>
              <w:top w:type="dxa" w:w="60"/>
              <w:left w:type="dxa" w:w="100"/>
              <w:bottom w:type="dxa" w:w="60"/>
              <w:right w:type="dxa" w:w="100"/>
            </w:tcMar>
          </w:tcPr>
          <w:p>
            <w:pPr>
              <w:spacing w:after="0" w:line="250"/>
            </w:pPr>
            <w:r>
              <w:rPr>
                <w:b w:val="false"/>
                <w:bCs w:val="false"/>
                <w:sz w:val="20"/>
                <w:szCs w:val="20"/>
              </w:rPr>
              <w:t xml:space="preserve">#000000</w:t>
            </w:r>
          </w:p>
        </w:tc>
        <w:tc>
          <w:tcPr>
            <w:tcW w:type="dxa" w:w="1500"/>
            <w:tcMar>
              <w:top w:type="dxa" w:w="60"/>
              <w:left w:type="dxa" w:w="100"/>
              <w:bottom w:type="dxa" w:w="60"/>
              <w:right w:type="dxa" w:w="100"/>
            </w:tcMar>
          </w:tcPr>
          <w:p>
            <w:pPr>
              <w:spacing w:after="0" w:line="250"/>
            </w:pPr>
            <w:r>
              <w:rPr>
                <w:b w:val="false"/>
                <w:bCs w:val="false"/>
                <w:sz w:val="20"/>
                <w:szCs w:val="20"/>
              </w:rPr>
              <w:t xml:space="preserve">#1C1C1E</w:t>
            </w:r>
          </w:p>
        </w:tc>
        <w:tc>
          <w:tcPr>
            <w:tcW w:type="dxa" w:w="1400"/>
            <w:tcMar>
              <w:top w:type="dxa" w:w="60"/>
              <w:left w:type="dxa" w:w="100"/>
              <w:bottom w:type="dxa" w:w="60"/>
              <w:right w:type="dxa" w:w="100"/>
            </w:tcMar>
          </w:tcPr>
          <w:p>
            <w:pPr>
              <w:spacing w:after="0" w:line="250"/>
            </w:pPr>
            <w:r>
              <w:rPr>
                <w:b w:val="false"/>
                <w:bCs w:val="false"/>
                <w:sz w:val="20"/>
                <w:szCs w:val="20"/>
              </w:rPr>
              <w:t xml:space="preserve">#FFFFFF</w:t>
            </w:r>
          </w:p>
        </w:tc>
        <w:tc>
          <w:tcPr>
            <w:tcW w:type="dxa" w:w="3160"/>
            <w:tcMar>
              <w:top w:type="dxa" w:w="60"/>
              <w:left w:type="dxa" w:w="100"/>
              <w:bottom w:type="dxa" w:w="60"/>
              <w:right w:type="dxa" w:w="100"/>
            </w:tcMar>
          </w:tcPr>
          <w:p>
            <w:pPr>
              <w:spacing w:after="0" w:line="250"/>
            </w:pPr>
            <w:r>
              <w:rPr>
                <w:b w:val="false"/>
                <w:bCs w:val="false"/>
                <w:sz w:val="20"/>
                <w:szCs w:val="20"/>
              </w:rPr>
              <w:t xml:space="preserve">Screen background</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bg.secondary</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#0A0A0A</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#2C2C2E</w:t>
            </w:r>
          </w:p>
        </w:tc>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#F2F2F7</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Cards, sheets</w:t>
            </w:r>
          </w:p>
        </w:tc>
      </w:tr>
      <w:tr>
        <w:tc>
          <w:tcPr>
            <w:tcW w:type="dxa" w:w="1800"/>
            <w:tcMar>
              <w:top w:type="dxa" w:w="60"/>
              <w:left w:type="dxa" w:w="100"/>
              <w:bottom w:type="dxa" w:w="60"/>
              <w:right w:type="dxa" w:w="100"/>
            </w:tcMar>
          </w:tcPr>
          <w:p>
            <w:pPr>
              <w:spacing w:after="0" w:line="250"/>
            </w:pPr>
            <w:r>
              <w:rPr>
                <w:b w:val="false"/>
                <w:bCs w:val="false"/>
                <w:sz w:val="20"/>
                <w:szCs w:val="20"/>
              </w:rPr>
              <w:t xml:space="preserve">text.primary</w:t>
            </w:r>
          </w:p>
        </w:tc>
        <w:tc>
          <w:tcPr>
            <w:tcW w:type="dxa" w:w="1500"/>
            <w:tcMar>
              <w:top w:type="dxa" w:w="60"/>
              <w:left w:type="dxa" w:w="100"/>
              <w:bottom w:type="dxa" w:w="60"/>
              <w:right w:type="dxa" w:w="100"/>
            </w:tcMar>
          </w:tcPr>
          <w:p>
            <w:pPr>
              <w:spacing w:after="0" w:line="250"/>
            </w:pPr>
            <w:r>
              <w:rPr>
                <w:b w:val="false"/>
                <w:bCs w:val="false"/>
                <w:sz w:val="20"/>
                <w:szCs w:val="20"/>
              </w:rPr>
              <w:t xml:space="preserve">#FFFFFF</w:t>
            </w:r>
          </w:p>
        </w:tc>
        <w:tc>
          <w:tcPr>
            <w:tcW w:type="dxa" w:w="1500"/>
            <w:tcMar>
              <w:top w:type="dxa" w:w="60"/>
              <w:left w:type="dxa" w:w="100"/>
              <w:bottom w:type="dxa" w:w="60"/>
              <w:right w:type="dxa" w:w="100"/>
            </w:tcMar>
          </w:tcPr>
          <w:p>
            <w:pPr>
              <w:spacing w:after="0" w:line="250"/>
            </w:pPr>
            <w:r>
              <w:rPr>
                <w:b w:val="false"/>
                <w:bCs w:val="false"/>
                <w:sz w:val="20"/>
                <w:szCs w:val="20"/>
              </w:rPr>
              <w:t xml:space="preserve">#FFFFFF</w:t>
            </w:r>
          </w:p>
        </w:tc>
        <w:tc>
          <w:tcPr>
            <w:tcW w:type="dxa" w:w="1400"/>
            <w:tcMar>
              <w:top w:type="dxa" w:w="60"/>
              <w:left w:type="dxa" w:w="100"/>
              <w:bottom w:type="dxa" w:w="60"/>
              <w:right w:type="dxa" w:w="100"/>
            </w:tcMar>
          </w:tcPr>
          <w:p>
            <w:pPr>
              <w:spacing w:after="0" w:line="250"/>
            </w:pPr>
            <w:r>
              <w:rPr>
                <w:b w:val="false"/>
                <w:bCs w:val="false"/>
                <w:sz w:val="20"/>
                <w:szCs w:val="20"/>
              </w:rPr>
              <w:t xml:space="preserve">#000000</w:t>
            </w:r>
          </w:p>
        </w:tc>
        <w:tc>
          <w:tcPr>
            <w:tcW w:type="dxa" w:w="3160"/>
            <w:tcMar>
              <w:top w:type="dxa" w:w="60"/>
              <w:left w:type="dxa" w:w="100"/>
              <w:bottom w:type="dxa" w:w="60"/>
              <w:right w:type="dxa" w:w="100"/>
            </w:tcMar>
          </w:tcPr>
          <w:p>
            <w:pPr>
              <w:spacing w:after="0" w:line="250"/>
            </w:pPr>
            <w:r>
              <w:rPr>
                <w:b w:val="false"/>
                <w:bCs w:val="false"/>
                <w:sz w:val="20"/>
                <w:szCs w:val="20"/>
              </w:rPr>
              <w:t xml:space="preserve">Headings, hero number</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text.secondary</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#8E8E93</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#8E8E93</w:t>
            </w:r>
          </w:p>
        </w:tc>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#3C3C43</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Labels, non-critical captions</w:t>
            </w:r>
          </w:p>
        </w:tc>
      </w:tr>
      <w:tr>
        <w:tc>
          <w:tcPr>
            <w:tcW w:type="dxa" w:w="1800"/>
            <w:tcMar>
              <w:top w:type="dxa" w:w="60"/>
              <w:left w:type="dxa" w:w="100"/>
              <w:bottom w:type="dxa" w:w="60"/>
              <w:right w:type="dxa" w:w="100"/>
            </w:tcMar>
          </w:tcPr>
          <w:p>
            <w:pPr>
              <w:spacing w:after="0" w:line="250"/>
            </w:pPr>
            <w:r>
              <w:rPr>
                <w:b w:val="false"/>
                <w:bCs w:val="false"/>
                <w:sz w:val="20"/>
                <w:szCs w:val="20"/>
              </w:rPr>
              <w:t xml:space="preserve">text.freshness</w:t>
            </w:r>
          </w:p>
        </w:tc>
        <w:tc>
          <w:tcPr>
            <w:tcW w:type="dxa" w:w="1500"/>
            <w:tcMar>
              <w:top w:type="dxa" w:w="60"/>
              <w:left w:type="dxa" w:w="100"/>
              <w:bottom w:type="dxa" w:w="60"/>
              <w:right w:type="dxa" w:w="100"/>
            </w:tcMar>
          </w:tcPr>
          <w:p>
            <w:pPr>
              <w:spacing w:after="0" w:line="250"/>
            </w:pPr>
            <w:r>
              <w:rPr>
                <w:b w:val="false"/>
                <w:bCs w:val="false"/>
                <w:sz w:val="20"/>
                <w:szCs w:val="20"/>
              </w:rPr>
              <w:t xml:space="preserve">#C7C7CC</w:t>
            </w:r>
          </w:p>
        </w:tc>
        <w:tc>
          <w:tcPr>
            <w:tcW w:type="dxa" w:w="1500"/>
            <w:tcMar>
              <w:top w:type="dxa" w:w="60"/>
              <w:left w:type="dxa" w:w="100"/>
              <w:bottom w:type="dxa" w:w="60"/>
              <w:right w:type="dxa" w:w="100"/>
            </w:tcMar>
          </w:tcPr>
          <w:p>
            <w:pPr>
              <w:spacing w:after="0" w:line="250"/>
            </w:pPr>
            <w:r>
              <w:rPr>
                <w:b w:val="false"/>
                <w:bCs w:val="false"/>
                <w:sz w:val="20"/>
                <w:szCs w:val="20"/>
              </w:rPr>
              <w:t xml:space="preserve">#C7C7CC</w:t>
            </w:r>
          </w:p>
        </w:tc>
        <w:tc>
          <w:tcPr>
            <w:tcW w:type="dxa" w:w="1400"/>
            <w:tcMar>
              <w:top w:type="dxa" w:w="60"/>
              <w:left w:type="dxa" w:w="100"/>
              <w:bottom w:type="dxa" w:w="60"/>
              <w:right w:type="dxa" w:w="100"/>
            </w:tcMar>
          </w:tcPr>
          <w:p>
            <w:pPr>
              <w:spacing w:after="0" w:line="250"/>
            </w:pPr>
            <w:r>
              <w:rPr>
                <w:b w:val="false"/>
                <w:bCs w:val="false"/>
                <w:sz w:val="20"/>
                <w:szCs w:val="20"/>
              </w:rPr>
              <w:t xml:space="preserve">#1C1C1E</w:t>
            </w:r>
          </w:p>
        </w:tc>
        <w:tc>
          <w:tcPr>
            <w:tcW w:type="dxa" w:w="3160"/>
            <w:tcMar>
              <w:top w:type="dxa" w:w="60"/>
              <w:left w:type="dxa" w:w="100"/>
              <w:bottom w:type="dxa" w:w="60"/>
              <w:right w:type="dxa" w:w="100"/>
            </w:tcMar>
          </w:tcPr>
          <w:p>
            <w:pPr>
              <w:spacing w:after="0" w:line="250"/>
            </w:pPr>
            <w:r>
              <w:rPr>
                <w:b w:val="false"/>
                <w:bCs w:val="false"/>
                <w:sz w:val="20"/>
                <w:szCs w:val="20"/>
              </w:rPr>
              <w:t xml:space="preserve">New in v1.2. Data-age text only.</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accent</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#0A84FF</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#0A84FF</w:t>
            </w:r>
          </w:p>
        </w:tc>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#007AFF</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Interactive elements</w:t>
            </w:r>
          </w:p>
        </w:tc>
      </w:tr>
      <w:tr>
        <w:tc>
          <w:tcPr>
            <w:tcW w:type="dxa" w:w="1800"/>
            <w:tcMar>
              <w:top w:type="dxa" w:w="60"/>
              <w:left w:type="dxa" w:w="100"/>
              <w:bottom w:type="dxa" w:w="60"/>
              <w:right w:type="dxa" w:w="100"/>
            </w:tcMar>
          </w:tcPr>
          <w:p>
            <w:pPr>
              <w:spacing w:after="0" w:line="250"/>
            </w:pPr>
            <w:r>
              <w:rPr>
                <w:b w:val="false"/>
                <w:bCs w:val="false"/>
                <w:sz w:val="20"/>
                <w:szCs w:val="20"/>
              </w:rPr>
              <w:t xml:space="preserve">range.in</w:t>
            </w:r>
          </w:p>
        </w:tc>
        <w:tc>
          <w:tcPr>
            <w:tcW w:type="dxa" w:w="1500"/>
            <w:tcMar>
              <w:top w:type="dxa" w:w="60"/>
              <w:left w:type="dxa" w:w="100"/>
              <w:bottom w:type="dxa" w:w="60"/>
              <w:right w:type="dxa" w:w="100"/>
            </w:tcMar>
          </w:tcPr>
          <w:p>
            <w:pPr>
              <w:spacing w:after="0" w:line="250"/>
            </w:pPr>
            <w:r>
              <w:rPr>
                <w:b w:val="false"/>
                <w:bCs w:val="false"/>
                <w:sz w:val="20"/>
                <w:szCs w:val="20"/>
              </w:rPr>
              <w:t xml:space="preserve">#30D158</w:t>
            </w:r>
          </w:p>
        </w:tc>
        <w:tc>
          <w:tcPr>
            <w:tcW w:type="dxa" w:w="1500"/>
            <w:tcMar>
              <w:top w:type="dxa" w:w="60"/>
              <w:left w:type="dxa" w:w="100"/>
              <w:bottom w:type="dxa" w:w="60"/>
              <w:right w:type="dxa" w:w="100"/>
            </w:tcMar>
          </w:tcPr>
          <w:p>
            <w:pPr>
              <w:spacing w:after="0" w:line="250"/>
            </w:pPr>
            <w:r>
              <w:rPr>
                <w:b w:val="false"/>
                <w:bCs w:val="false"/>
                <w:sz w:val="20"/>
                <w:szCs w:val="20"/>
              </w:rPr>
              <w:t xml:space="preserve">#30D158</w:t>
            </w:r>
          </w:p>
        </w:tc>
        <w:tc>
          <w:tcPr>
            <w:tcW w:type="dxa" w:w="1400"/>
            <w:tcMar>
              <w:top w:type="dxa" w:w="60"/>
              <w:left w:type="dxa" w:w="100"/>
              <w:bottom w:type="dxa" w:w="60"/>
              <w:right w:type="dxa" w:w="100"/>
            </w:tcMar>
          </w:tcPr>
          <w:p>
            <w:pPr>
              <w:spacing w:after="0" w:line="250"/>
            </w:pPr>
            <w:r>
              <w:rPr>
                <w:b w:val="false"/>
                <w:bCs w:val="false"/>
                <w:sz w:val="20"/>
                <w:szCs w:val="20"/>
              </w:rPr>
              <w:t xml:space="preserve">#34C759</w:t>
            </w:r>
          </w:p>
        </w:tc>
        <w:tc>
          <w:tcPr>
            <w:tcW w:type="dxa" w:w="3160"/>
            <w:tcMar>
              <w:top w:type="dxa" w:w="60"/>
              <w:left w:type="dxa" w:w="100"/>
              <w:bottom w:type="dxa" w:w="60"/>
              <w:right w:type="dxa" w:w="100"/>
            </w:tcMar>
          </w:tcPr>
          <w:p>
            <w:pPr>
              <w:spacing w:after="0" w:line="250"/>
            </w:pPr>
            <w:r>
              <w:rPr>
                <w:b w:val="false"/>
                <w:bCs w:val="false"/>
                <w:sz w:val="20"/>
                <w:szCs w:val="20"/>
              </w:rPr>
              <w:t xml:space="preserve">In-range glucose</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range.low</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#FF453A</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#FF453A</w:t>
            </w:r>
          </w:p>
        </w:tc>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#FF3B30</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Below target</w:t>
            </w:r>
          </w:p>
        </w:tc>
      </w:tr>
      <w:tr>
        <w:tc>
          <w:tcPr>
            <w:tcW w:type="dxa" w:w="1800"/>
            <w:tcMar>
              <w:top w:type="dxa" w:w="60"/>
              <w:left w:type="dxa" w:w="100"/>
              <w:bottom w:type="dxa" w:w="60"/>
              <w:right w:type="dxa" w:w="100"/>
            </w:tcMar>
          </w:tcPr>
          <w:p>
            <w:pPr>
              <w:spacing w:after="0" w:line="250"/>
            </w:pPr>
            <w:r>
              <w:rPr>
                <w:b w:val="false"/>
                <w:bCs w:val="false"/>
                <w:sz w:val="20"/>
                <w:szCs w:val="20"/>
              </w:rPr>
              <w:t xml:space="preserve">range.high</w:t>
            </w:r>
          </w:p>
        </w:tc>
        <w:tc>
          <w:tcPr>
            <w:tcW w:type="dxa" w:w="1500"/>
            <w:tcMar>
              <w:top w:type="dxa" w:w="60"/>
              <w:left w:type="dxa" w:w="100"/>
              <w:bottom w:type="dxa" w:w="60"/>
              <w:right w:type="dxa" w:w="100"/>
            </w:tcMar>
          </w:tcPr>
          <w:p>
            <w:pPr>
              <w:spacing w:after="0" w:line="250"/>
            </w:pPr>
            <w:r>
              <w:rPr>
                <w:b w:val="false"/>
                <w:bCs w:val="false"/>
                <w:sz w:val="20"/>
                <w:szCs w:val="20"/>
              </w:rPr>
              <w:t xml:space="preserve">#FFD60A</w:t>
            </w:r>
          </w:p>
        </w:tc>
        <w:tc>
          <w:tcPr>
            <w:tcW w:type="dxa" w:w="1500"/>
            <w:tcMar>
              <w:top w:type="dxa" w:w="60"/>
              <w:left w:type="dxa" w:w="100"/>
              <w:bottom w:type="dxa" w:w="60"/>
              <w:right w:type="dxa" w:w="100"/>
            </w:tcMar>
          </w:tcPr>
          <w:p>
            <w:pPr>
              <w:spacing w:after="0" w:line="250"/>
            </w:pPr>
            <w:r>
              <w:rPr>
                <w:b w:val="false"/>
                <w:bCs w:val="false"/>
                <w:sz w:val="20"/>
                <w:szCs w:val="20"/>
              </w:rPr>
              <w:t xml:space="preserve">#FFD60A</w:t>
            </w:r>
          </w:p>
        </w:tc>
        <w:tc>
          <w:tcPr>
            <w:tcW w:type="dxa" w:w="1400"/>
            <w:tcMar>
              <w:top w:type="dxa" w:w="60"/>
              <w:left w:type="dxa" w:w="100"/>
              <w:bottom w:type="dxa" w:w="60"/>
              <w:right w:type="dxa" w:w="100"/>
            </w:tcMar>
          </w:tcPr>
          <w:p>
            <w:pPr>
              <w:spacing w:after="0" w:line="250"/>
            </w:pPr>
            <w:r>
              <w:rPr>
                <w:b w:val="false"/>
                <w:bCs w:val="false"/>
                <w:sz w:val="20"/>
                <w:szCs w:val="20"/>
              </w:rPr>
              <w:t xml:space="preserve">#FFCC00</w:t>
            </w:r>
          </w:p>
        </w:tc>
        <w:tc>
          <w:tcPr>
            <w:tcW w:type="dxa" w:w="3160"/>
            <w:tcMar>
              <w:top w:type="dxa" w:w="60"/>
              <w:left w:type="dxa" w:w="100"/>
              <w:bottom w:type="dxa" w:w="60"/>
              <w:right w:type="dxa" w:w="100"/>
            </w:tcMar>
          </w:tcPr>
          <w:p>
            <w:pPr>
              <w:spacing w:after="0" w:line="250"/>
            </w:pPr>
            <w:r>
              <w:rPr>
                <w:b w:val="false"/>
                <w:bCs w:val="false"/>
                <w:sz w:val="20"/>
                <w:szCs w:val="20"/>
              </w:rPr>
              <w:t xml:space="preserve">Above target</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range.urgent</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#FF375F</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#FF375F</w:t>
            </w:r>
          </w:p>
        </w:tc>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#FF2D55</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Urgent low/high — fill only, never text</w:t>
            </w:r>
          </w:p>
        </w:tc>
      </w:tr>
    </w:tbl>
    <w:p>
      <w:pPr>
        <w:spacing w:after="100"/>
      </w:pPr>
    </w:p>
    <w:p>
      <w:pPr>
        <w:spacing w:after="100" w:before="180"/>
      </w:pPr>
      <w:r>
        <w:rPr>
          <w:b/>
          <w:bCs/>
          <w:color w:val="1F4D78"/>
        </w:rPr>
        <w:t xml:space="preserve">Two corrections in v1.2</w:t>
      </w:r>
    </w:p>
    <w:p>
      <w:pPr>
        <w:pStyle w:val="ListParagraph"/>
        <w:numPr>
          <w:ilvl w:val="0"/>
          <w:numId w:val="2"/>
        </w:numPr>
        <w:spacing w:after="80" w:line="276"/>
      </w:pPr>
      <w:r>
        <w:rPr>
          <w:b/>
          <w:bCs/>
        </w:rPr>
        <w:t xml:space="preserve">Urgent is distinguished by treatment, not hue.</w:t>
      </w:r>
      <w:r>
        <w:rPr>
          <w:b w:val="false"/>
          <w:bCs w:val="false"/>
        </w:rPr>
        <w:t xml:space="preserve"> v1.1's </w:t>
      </w:r>
      <w:r>
        <w:rPr>
          <w:rFonts w:ascii="Consolas" w:cs="Consolas" w:eastAsia="Consolas" w:hAnsi="Consolas"/>
          <w:b w:val="false"/>
          <w:bCs w:val="false"/>
          <w:sz w:val="19"/>
          <w:szCs w:val="19"/>
        </w:rPr>
        <w:t xml:space="preserve">range.urgent</w:t>
      </w:r>
      <w:r>
        <w:rPr>
          <w:b w:val="false"/>
          <w:bCs w:val="false"/>
        </w:rPr>
        <w:t xml:space="preserve"> (#FF2D55) and </w:t>
      </w:r>
      <w:r>
        <w:rPr>
          <w:rFonts w:ascii="Consolas" w:cs="Consolas" w:eastAsia="Consolas" w:hAnsi="Consolas"/>
          <w:b w:val="false"/>
          <w:bCs w:val="false"/>
          <w:sz w:val="19"/>
          <w:szCs w:val="19"/>
        </w:rPr>
        <w:t xml:space="preserve">range.low</w:t>
      </w:r>
      <w:r>
        <w:rPr>
          <w:b w:val="false"/>
          <w:bCs w:val="false"/>
        </w:rPr>
        <w:t xml:space="preserve"> (#FF453A) are near-identical in hue, and low-versus-urgent-low is the single most safety-critical distinction the app makes. Chasing a distinguishable adjacent red is the wrong fix. Instead: </w:t>
      </w:r>
      <w:r>
        <w:rPr>
          <w:rFonts w:ascii="Consolas" w:cs="Consolas" w:eastAsia="Consolas" w:hAnsi="Consolas"/>
          <w:b/>
          <w:bCs/>
          <w:sz w:val="19"/>
          <w:szCs w:val="19"/>
        </w:rPr>
        <w:t xml:space="preserve">range.low</w:t>
      </w:r>
      <w:r>
        <w:rPr>
          <w:b/>
          <w:bCs/>
        </w:rPr>
        <w:t xml:space="preserve"> is applied as a text colour; </w:t>
      </w:r>
      <w:r>
        <w:rPr>
          <w:rFonts w:ascii="Consolas" w:cs="Consolas" w:eastAsia="Consolas" w:hAnsi="Consolas"/>
          <w:b/>
          <w:bCs/>
          <w:sz w:val="19"/>
          <w:szCs w:val="19"/>
        </w:rPr>
        <w:t xml:space="preserve">range.urgent</w:t>
      </w:r>
      <w:r>
        <w:rPr>
          <w:b/>
          <w:bCs/>
        </w:rPr>
        <w:t xml:space="preserve"> is applied only as a filled background with #FFFFFF text</w:t>
      </w:r>
      <w:r>
        <w:rPr>
          <w:b w:val="false"/>
          <w:bCs w:val="false"/>
        </w:rPr>
        <w:t xml:space="preserve">, plus a distinct glyph. The distinction becomes fill-versus-text — unmissable at a glance, at complication size, and under any colour-vision deficiency.</w:t>
      </w:r>
    </w:p>
    <w:p>
      <w:pPr>
        <w:pStyle w:val="ListParagraph"/>
        <w:numPr>
          <w:ilvl w:val="0"/>
          <w:numId w:val="2"/>
        </w:numPr>
        <w:spacing w:after="80" w:line="276"/>
      </w:pPr>
      <w:r>
        <w:rPr>
          <w:b/>
          <w:bCs/>
        </w:rPr>
        <w:t xml:space="preserve">Freshness text gets its own brighter token.</w:t>
      </w:r>
      <w:r>
        <w:rPr>
          <w:b w:val="false"/>
          <w:bCs w:val="false"/>
        </w:rPr>
        <w:t xml:space="preserve"> </w:t>
      </w:r>
      <w:r>
        <w:rPr>
          <w:rFonts w:ascii="Consolas" w:cs="Consolas" w:eastAsia="Consolas" w:hAnsi="Consolas"/>
          <w:b w:val="false"/>
          <w:bCs w:val="false"/>
          <w:sz w:val="19"/>
          <w:szCs w:val="19"/>
        </w:rPr>
        <w:t xml:space="preserve">text.secondary</w:t>
      </w:r>
      <w:r>
        <w:rPr>
          <w:b w:val="false"/>
          <w:bCs w:val="false"/>
        </w:rPr>
        <w:t xml:space="preserve"> (#8E8E93) measures roughly 6.4:1 against #000000 and 5.2:1 against #1C1C1E. Both pass WCAG AA for body text, but “Updated 3 min ago” is the most safety-relevant string on the screen and was rendering at 13pt in the dimmest colour in the system. </w:t>
      </w:r>
      <w:r>
        <w:rPr>
          <w:rFonts w:ascii="Consolas" w:cs="Consolas" w:eastAsia="Consolas" w:hAnsi="Consolas"/>
          <w:b w:val="false"/>
          <w:bCs w:val="false"/>
          <w:sz w:val="19"/>
          <w:szCs w:val="19"/>
        </w:rPr>
        <w:t xml:space="preserve">text.freshness</w:t>
      </w:r>
      <w:r>
        <w:rPr>
          <w:b w:val="false"/>
          <w:bCs w:val="false"/>
        </w:rPr>
        <w:t xml:space="preserve"> (#C7C7CC) measures roughly 12.5:1 on true black and 10.1:1 on Soft Dark.</w:t>
      </w:r>
    </w:p>
    <w:p>
      <w:pPr>
        <w:spacing w:after="120" w:line="276"/>
      </w:pPr>
      <w:r>
        <w:rPr>
          <w:b w:val="false"/>
          <w:bCs w:val="false"/>
        </w:rPr>
        <w:t xml:space="preserve">Range colouring is always paired with a glyph (§3.1.4). In-range green and low red are the deuteranopia-confusable pair, so the glyph carries the meaning and the colour reinforces it — not the other way around.</w:t>
      </w:r>
    </w:p>
    <w:p>
      <w:pPr>
        <w:pStyle w:val="Heading2"/>
        <w:spacing w:after="140" w:before="280"/>
      </w:pPr>
      <w:r>
        <w:rPr>
          <w:b w:val="false"/>
          <w:bCs w:val="false"/>
        </w:rPr>
        <w:t xml:space="preserve">5.2 Typography</w:t>
      </w:r>
    </w:p>
    <w:p>
      <w:pPr>
        <w:pStyle w:val="ListParagraph"/>
        <w:numPr>
          <w:ilvl w:val="0"/>
          <w:numId w:val="2"/>
        </w:numPr>
        <w:spacing w:after="80" w:line="276"/>
      </w:pPr>
      <w:r>
        <w:rPr>
          <w:b/>
          <w:bCs/>
        </w:rPr>
        <w:t xml:space="preserve">Hero glucose number:</w:t>
      </w:r>
      <w:r>
        <w:rPr>
          <w:b w:val="false"/>
          <w:bCs w:val="false"/>
        </w:rPr>
        <w:t xml:space="preserve"> SF Pro Rounded, 96pt, Bold at default Dynamic Type.</w:t>
      </w:r>
    </w:p>
    <w:p>
      <w:pPr>
        <w:pStyle w:val="ListParagraph"/>
        <w:numPr>
          <w:ilvl w:val="0"/>
          <w:numId w:val="2"/>
        </w:numPr>
        <w:spacing w:after="80" w:line="276"/>
      </w:pPr>
      <w:r>
        <w:rPr>
          <w:b/>
          <w:bCs/>
        </w:rPr>
        <w:t xml:space="preserve">Section titles:</w:t>
      </w:r>
      <w:r>
        <w:rPr>
          <w:b w:val="false"/>
          <w:bCs w:val="false"/>
        </w:rPr>
        <w:t xml:space="preserve"> SF Pro, 22pt, Semibold.</w:t>
      </w:r>
    </w:p>
    <w:p>
      <w:pPr>
        <w:pStyle w:val="ListParagraph"/>
        <w:numPr>
          <w:ilvl w:val="0"/>
          <w:numId w:val="2"/>
        </w:numPr>
        <w:spacing w:after="80" w:line="276"/>
      </w:pPr>
      <w:r>
        <w:rPr>
          <w:b/>
          <w:bCs/>
        </w:rPr>
        <w:t xml:space="preserve">Body:</w:t>
      </w:r>
      <w:r>
        <w:rPr>
          <w:b w:val="false"/>
          <w:bCs w:val="false"/>
        </w:rPr>
        <w:t xml:space="preserve"> SF Pro, 17pt, Regular.</w:t>
      </w:r>
    </w:p>
    <w:p>
      <w:pPr>
        <w:pStyle w:val="ListParagraph"/>
        <w:numPr>
          <w:ilvl w:val="0"/>
          <w:numId w:val="2"/>
        </w:numPr>
        <w:spacing w:after="80" w:line="276"/>
      </w:pPr>
      <w:r>
        <w:rPr>
          <w:b/>
          <w:bCs/>
        </w:rPr>
        <w:t xml:space="preserve">Captions:</w:t>
      </w:r>
      <w:r>
        <w:rPr>
          <w:b w:val="false"/>
          <w:bCs w:val="false"/>
        </w:rPr>
        <w:t xml:space="preserve"> SF Pro, 13pt, Regular, secondary colour — except data-age text, which uses </w:t>
      </w:r>
      <w:r>
        <w:rPr>
          <w:rFonts w:ascii="Consolas" w:cs="Consolas" w:eastAsia="Consolas" w:hAnsi="Consolas"/>
          <w:b w:val="false"/>
          <w:bCs w:val="false"/>
          <w:sz w:val="19"/>
          <w:szCs w:val="19"/>
        </w:rPr>
        <w:t xml:space="preserve">text.freshness</w:t>
      </w:r>
      <w:r>
        <w:rPr>
          <w:b w:val="false"/>
          <w:bCs w:val="false"/>
        </w:rPr>
        <w:t xml:space="preserve"> (§5.1).</w:t>
      </w:r>
    </w:p>
    <w:p>
      <w:pPr>
        <w:pStyle w:val="ListParagraph"/>
        <w:numPr>
          <w:ilvl w:val="0"/>
          <w:numId w:val="2"/>
        </w:numPr>
        <w:spacing w:after="80" w:line="276"/>
      </w:pPr>
      <w:r>
        <w:rPr>
          <w:b/>
          <w:bCs/>
        </w:rPr>
        <w:t xml:space="preserve">Dynamic Type:</w:t>
      </w:r>
      <w:r>
        <w:rPr>
          <w:b w:val="false"/>
          <w:bCs w:val="false"/>
        </w:rPr>
        <w:t xml:space="preserve"> all text scales. The hero number is the exception that needs a strategy rather than a rule: at accessibility sizes a scaled 96pt value will not fit on any iPhone. It scales up to a cap of roughly 120pt, then holds; the surrounding layout reflows and the 3h chart collapses to give it room. Verify at AX5.</w:t>
      </w:r>
    </w:p>
    <w:p>
      <w:pPr>
        <w:pBdr>
          <w:left w:val="single" w:color="BFD3E6" w:sz="12" w:space="8"/>
        </w:pBdr>
        <w:spacing w:after="160" w:line="260"/>
        <w:ind w:left="180"/>
      </w:pPr>
      <w:r>
        <w:rPr>
          <w:b w:val="false"/>
          <w:bCs w:val="false"/>
          <w:i/>
          <w:iCs/>
          <w:color w:val="595959"/>
          <w:sz w:val="20"/>
          <w:szCs w:val="20"/>
        </w:rPr>
        <w:t xml:space="preserve">Correction in v1.2: v1.1 justified 96pt Bold as “true OLED-friendly weight.” The rationale is backwards. A pure black background saves power on OLED because unlit pixels draw nothing; a heavy white glyph lights more pixels than a lighter one and increases glare during night checks. Bold is retained because it is the right choice for legibility at a glance — but for legibility, not for OLED efficiency. Bedside Mode (§5.3) drops the hero to Medium weight for exactly this reason.</w:t>
      </w:r>
    </w:p>
    <w:p>
      <w:pPr>
        <w:pStyle w:val="Heading2"/>
        <w:spacing w:after="140" w:before="280"/>
      </w:pPr>
      <w:r>
        <w:rPr>
          <w:b w:val="false"/>
          <w:bCs w:val="false"/>
        </w:rPr>
        <w:t xml:space="preserve">5.3 Bedside Mode Specifics</w:t>
      </w:r>
    </w:p>
    <w:p>
      <w:pPr>
        <w:pBdr>
          <w:left w:val="single" w:color="BFD3E6" w:sz="12" w:space="8"/>
        </w:pBdr>
        <w:spacing w:after="160" w:line="260"/>
        <w:ind w:left="180"/>
      </w:pPr>
      <w:r>
        <w:rPr>
          <w:b w:val="false"/>
          <w:bCs w:val="false"/>
          <w:i/>
          <w:iCs/>
          <w:color w:val="595959"/>
          <w:sz w:val="20"/>
          <w:szCs w:val="20"/>
        </w:rPr>
        <w:t xml:space="preserve">Implemented in v1.5. Activation is schedule-driven with a manual override; the override persists until explicitly returned to the schedule.</w:t>
      </w:r>
    </w:p>
    <w:p>
      <w:pPr>
        <w:pStyle w:val="ListParagraph"/>
        <w:numPr>
          <w:ilvl w:val="0"/>
          <w:numId w:val="2"/>
        </w:numPr>
        <w:spacing w:after="80" w:line="276"/>
      </w:pPr>
      <w:r>
        <w:rPr>
          <w:b/>
          <w:bCs/>
        </w:rPr>
        <w:t xml:space="preserve">Nothing in the palette is blue.</w:t>
      </w:r>
      <w:r>
        <w:rPr>
          <w:b w:val="false"/>
          <w:bCs w:val="false"/>
        </w:rPr>
        <w:t xml:space="preserve"> Blue light is what costs dark adaptation and sleep, so a nighttime theme with a blue accent defeats its own purpose. A test asserts the red channel exceeds the blue channel on every colour in this palette.</w:t>
      </w:r>
    </w:p>
    <w:p>
      <w:pPr>
        <w:pStyle w:val="ListParagraph"/>
        <w:numPr>
          <w:ilvl w:val="0"/>
          <w:numId w:val="2"/>
        </w:numPr>
        <w:spacing w:after="80" w:line="276"/>
      </w:pPr>
      <w:r>
        <w:rPr>
          <w:b/>
          <w:bCs/>
        </w:rPr>
        <w:t xml:space="preserve">The schedule crosses midnight</w:t>
      </w:r>
      <w:r>
        <w:rPr>
          <w:b w:val="false"/>
          <w:bCs w:val="false"/>
        </w:rPr>
        <w:t xml:space="preserve">, and the obvious implementation is wrong: a simple </w:t>
      </w:r>
      <w:r>
        <w:rPr>
          <w:rFonts w:ascii="Consolas" w:cs="Consolas" w:eastAsia="Consolas" w:hAnsi="Consolas"/>
          <w:b w:val="false"/>
          <w:bCs w:val="false"/>
          <w:sz w:val="19"/>
          <w:szCs w:val="19"/>
        </w:rPr>
        <w:t xml:space="preserve">now &gt;= start &amp;&amp; now &lt; end</w:t>
      </w:r>
      <w:r>
        <w:rPr>
          <w:b w:val="false"/>
          <w:bCs w:val="false"/>
        </w:rPr>
        <w:t xml:space="preserve"> comparison is false for every minute of a 22:00–07:00 window. It would compile, look correct, and silently never activate during exactly the hours the feature exists for.</w:t>
      </w:r>
    </w:p>
    <w:p>
      <w:pPr>
        <w:pStyle w:val="ListParagraph"/>
        <w:numPr>
          <w:ilvl w:val="0"/>
          <w:numId w:val="2"/>
        </w:numPr>
        <w:spacing w:after="80" w:line="276"/>
      </w:pPr>
      <w:r>
        <w:rPr>
          <w:b w:val="false"/>
          <w:bCs w:val="false"/>
        </w:rPr>
        <w:t xml:space="preserve">Background: pure #000000.</w:t>
      </w:r>
    </w:p>
    <w:p>
      <w:pPr>
        <w:pStyle w:val="ListParagraph"/>
        <w:numPr>
          <w:ilvl w:val="0"/>
          <w:numId w:val="2"/>
        </w:numPr>
        <w:spacing w:after="80" w:line="276"/>
      </w:pPr>
      <w:r>
        <w:rPr>
          <w:b w:val="false"/>
          <w:bCs w:val="false"/>
        </w:rPr>
        <w:t xml:space="preserve">All text and accents shifted toward the red end of the spectrum (#FF6B6B, #FF9F43) to preserve dark adaptation.</w:t>
      </w:r>
    </w:p>
    <w:p>
      <w:pPr>
        <w:pStyle w:val="ListParagraph"/>
        <w:numPr>
          <w:ilvl w:val="0"/>
          <w:numId w:val="2"/>
        </w:numPr>
        <w:spacing w:after="80" w:line="276"/>
      </w:pPr>
      <w:r>
        <w:rPr>
          <w:b w:val="false"/>
          <w:bCs w:val="false"/>
        </w:rPr>
        <w:t xml:space="preserve">Hero number drops from Bold to Medium weight — fewer lit pixels, less glare, still legible at 96pt.</w:t>
      </w:r>
    </w:p>
    <w:p>
      <w:pPr>
        <w:pStyle w:val="ListParagraph"/>
        <w:numPr>
          <w:ilvl w:val="0"/>
          <w:numId w:val="2"/>
        </w:numPr>
        <w:spacing w:after="80" w:line="276"/>
      </w:pPr>
      <w:r>
        <w:rPr>
          <w:b w:val="false"/>
          <w:bCs w:val="false"/>
        </w:rPr>
        <w:t xml:space="preserve">All animations disabled.</w:t>
      </w:r>
    </w:p>
    <w:p>
      <w:pPr>
        <w:spacing w:after="100" w:before="180"/>
      </w:pPr>
      <w:r>
        <w:rPr>
          <w:b/>
          <w:bCs/>
          <w:color w:val="1F4D78"/>
        </w:rPr>
        <w:t xml:space="preserve">Dimming — corrected implementation</w:t>
      </w:r>
    </w:p>
    <w:p>
      <w:pPr>
        <w:spacing w:after="120" w:line="276"/>
      </w:pPr>
      <w:r>
        <w:rPr>
          <w:b/>
          <w:bCs/>
        </w:rPr>
        <w:t xml:space="preserve">v1.1 specified “maximum brightness on screen: 30% of system brightness setting.” An iOS app cannot do this.</w:t>
      </w:r>
      <w:r>
        <w:rPr>
          <w:b w:val="false"/>
          <w:bCs w:val="false"/>
        </w:rPr>
        <w:t xml:space="preserve"> There is no per-app or per-window brightness. </w:t>
      </w:r>
      <w:r>
        <w:rPr>
          <w:rFonts w:ascii="Consolas" w:cs="Consolas" w:eastAsia="Consolas" w:hAnsi="Consolas"/>
          <w:b w:val="false"/>
          <w:bCs w:val="false"/>
          <w:sz w:val="19"/>
          <w:szCs w:val="19"/>
        </w:rPr>
        <w:t xml:space="preserve">UIScreen.main.brightness</w:t>
      </w:r>
      <w:r>
        <w:rPr>
          <w:b w:val="false"/>
          <w:bCs w:val="false"/>
        </w:rPr>
        <w:t xml:space="preserve"> sets brightness </w:t>
      </w:r>
      <w:r>
        <w:rPr>
          <w:b/>
          <w:bCs/>
        </w:rPr>
        <w:t xml:space="preserve">globally and persistently</w:t>
      </w:r>
      <w:r>
        <w:rPr>
          <w:b w:val="false"/>
          <w:bCs w:val="false"/>
        </w:rPr>
        <w:t xml:space="preserve"> for the entire device, affecting every other app and surviving until something changes it back — and any crash, force-quit, or missed lifecycle callback leaves the user's phone stuck dim.</w:t>
      </w:r>
    </w:p>
    <w:p>
      <w:pPr>
        <w:spacing w:after="120" w:line="276"/>
      </w:pPr>
      <w:r>
        <w:rPr>
          <w:b w:val="false"/>
          <w:bCs w:val="false"/>
        </w:rPr>
        <w:t xml:space="preserve">The correct implementation is a </w:t>
      </w:r>
      <w:r>
        <w:rPr>
          <w:b/>
          <w:bCs/>
        </w:rPr>
        <w:t xml:space="preserve">full-screen black overlay</w:t>
      </w:r>
      <w:r>
        <w:rPr>
          <w:b w:val="false"/>
          <w:bCs w:val="false"/>
        </w:rPr>
        <w:t xml:space="preserve"> at the top of the view hierarchy with adjustable opacity (0 to roughly 0.7), rendered above content and below the touch layer. Content dims; the system brightness setting is never touched. This is what every well-behaved night-mode app does.</w:t>
      </w:r>
    </w:p>
    <w:p>
      <w:pPr>
        <w:spacing w:after="120" w:line="276"/>
      </w:pPr>
      <w:r>
        <w:rPr>
          <w:b w:val="false"/>
          <w:bCs w:val="false"/>
        </w:rPr>
        <w:t xml:space="preserve">If the user explicitly opts in to system-level dimming as well, </w:t>
      </w:r>
      <w:r>
        <w:rPr>
          <w:rFonts w:ascii="Consolas" w:cs="Consolas" w:eastAsia="Consolas" w:hAnsi="Consolas"/>
          <w:b w:val="false"/>
          <w:bCs w:val="false"/>
          <w:sz w:val="19"/>
          <w:szCs w:val="19"/>
        </w:rPr>
        <w:t xml:space="preserve">UIScreen.main.brightness</w:t>
      </w:r>
      <w:r>
        <w:rPr>
          <w:b w:val="false"/>
          <w:bCs w:val="false"/>
        </w:rPr>
        <w:t xml:space="preserve"> may be set — but only with the prior value captured, restored on </w:t>
      </w:r>
      <w:r>
        <w:rPr>
          <w:rFonts w:ascii="Consolas" w:cs="Consolas" w:eastAsia="Consolas" w:hAnsi="Consolas"/>
          <w:b w:val="false"/>
          <w:bCs w:val="false"/>
          <w:sz w:val="19"/>
          <w:szCs w:val="19"/>
        </w:rPr>
        <w:t xml:space="preserve">scenePhase</w:t>
      </w:r>
      <w:r>
        <w:rPr>
          <w:b w:val="false"/>
          <w:bCs w:val="false"/>
        </w:rPr>
        <w:t xml:space="preserve"> change to </w:t>
      </w:r>
      <w:r>
        <w:rPr>
          <w:rFonts w:ascii="Consolas" w:cs="Consolas" w:eastAsia="Consolas" w:hAnsi="Consolas"/>
          <w:b w:val="false"/>
          <w:bCs w:val="false"/>
          <w:sz w:val="19"/>
          <w:szCs w:val="19"/>
        </w:rPr>
        <w:t xml:space="preserve">.background</w:t>
      </w:r>
      <w:r>
        <w:rPr>
          <w:b w:val="false"/>
          <w:bCs w:val="false"/>
        </w:rPr>
        <w:t xml:space="preserve"> or </w:t>
      </w:r>
      <w:r>
        <w:rPr>
          <w:rFonts w:ascii="Consolas" w:cs="Consolas" w:eastAsia="Consolas" w:hAnsi="Consolas"/>
          <w:b w:val="false"/>
          <w:bCs w:val="false"/>
          <w:sz w:val="19"/>
          <w:szCs w:val="19"/>
        </w:rPr>
        <w:t xml:space="preserve">.inactive</w:t>
      </w:r>
      <w:r>
        <w:rPr>
          <w:b w:val="false"/>
          <w:bCs w:val="false"/>
        </w:rPr>
        <w:t xml:space="preserve">, restored on termination, and restored on next launch as a safety net if the app died holding it.</w:t>
      </w:r>
    </w:p>
    <w:p>
      <w:pPr>
        <w:spacing w:after="100" w:before="180"/>
      </w:pPr>
      <w:r>
        <w:rPr>
          <w:b/>
          <w:bCs/>
          <w:color w:val="1F4D78"/>
        </w:rPr>
        <w:t xml:space="preserve">Exit gesture</w:t>
      </w:r>
    </w:p>
    <w:p>
      <w:pPr>
        <w:spacing w:after="120" w:line="276"/>
      </w:pPr>
      <w:r>
        <w:rPr>
          <w:b w:val="false"/>
          <w:bCs w:val="false"/>
        </w:rPr>
        <w:t xml:space="preserve">v1.1's “single tap anywhere returns to normal mode” conflicts with the tappable timeline (§3.2.2) and fires on accidental wake-taps. Exit is a deliberate gesture instead: a two-finger tap, or a long-press on the hero number. Reading the screen and dismissing the mode should not be the same action.</w:t>
      </w:r>
    </w:p>
    <w:p>
      <w:pPr>
        <w:pStyle w:val="Heading2"/>
        <w:spacing w:after="140" w:before="280"/>
      </w:pPr>
      <w:r>
        <w:rPr>
          <w:b w:val="false"/>
          <w:bCs w:val="false"/>
        </w:rPr>
        <w:t xml:space="preserve">5.4 Accessibility</w:t>
      </w:r>
    </w:p>
    <w:p>
      <w:pPr>
        <w:pBdr>
          <w:left w:val="single" w:color="BFD3E6" w:sz="12" w:space="8"/>
        </w:pBdr>
        <w:spacing w:after="160" w:line="260"/>
        <w:ind w:left="180"/>
      </w:pPr>
      <w:r>
        <w:rPr>
          <w:b w:val="false"/>
          <w:bCs w:val="false"/>
          <w:i/>
          <w:iCs/>
          <w:color w:val="595959"/>
          <w:sz w:val="20"/>
          <w:szCs w:val="20"/>
        </w:rPr>
        <w:t xml:space="preserve">New in v1.2. v1.1 covered Dynamic Type and colour-vision deficiency but not screen readers, which for a health app is the significant gap.</w:t>
      </w:r>
    </w:p>
    <w:p>
      <w:pPr>
        <w:pStyle w:val="ListParagraph"/>
        <w:numPr>
          <w:ilvl w:val="0"/>
          <w:numId w:val="2"/>
        </w:numPr>
        <w:spacing w:after="80" w:line="276"/>
      </w:pPr>
      <w:r>
        <w:rPr>
          <w:b/>
          <w:bCs/>
        </w:rPr>
        <w:t xml:space="preserve">VoiceOver on the hero area</w:t>
      </w:r>
      <w:r>
        <w:rPr>
          <w:b w:val="false"/>
          <w:bCs w:val="false"/>
        </w:rPr>
        <w:t xml:space="preserve"> reads value, unit, trend, and age as a single coherent label — “142 milligrams per deciliter, steady, updated 3 minutes ago” — not four fragments the user has to assemble.</w:t>
      </w:r>
    </w:p>
    <w:p>
      <w:pPr>
        <w:pStyle w:val="ListParagraph"/>
        <w:numPr>
          <w:ilvl w:val="0"/>
          <w:numId w:val="2"/>
        </w:numPr>
        <w:spacing w:after="80" w:line="276"/>
      </w:pPr>
      <w:r>
        <w:rPr>
          <w:b/>
          <w:bCs/>
        </w:rPr>
        <w:t xml:space="preserve">Charts need an </w:t>
      </w:r>
      <w:r>
        <w:rPr>
          <w:rFonts w:ascii="Consolas" w:cs="Consolas" w:eastAsia="Consolas" w:hAnsi="Consolas"/>
          <w:b/>
          <w:bCs/>
          <w:sz w:val="19"/>
          <w:szCs w:val="19"/>
        </w:rPr>
        <w:t xml:space="preserve">AXChartDescriptor</w:t>
      </w:r>
      <w:r>
        <w:rPr>
          <w:b/>
          <w:bCs/>
        </w:rPr>
        <w:t xml:space="preserve">.</w:t>
      </w:r>
      <w:r>
        <w:rPr>
          <w:b w:val="false"/>
          <w:bCs w:val="false"/>
        </w:rPr>
        <w:t xml:space="preserve"> Swift Charts is opaque to VoiceOver by default. Both the 3h chart and the AGP expose a descriptor with axes and series so the data is navigable by audio graph.</w:t>
      </w:r>
    </w:p>
    <w:p>
      <w:pPr>
        <w:pStyle w:val="ListParagraph"/>
        <w:numPr>
          <w:ilvl w:val="0"/>
          <w:numId w:val="2"/>
        </w:numPr>
        <w:spacing w:after="80" w:line="276"/>
      </w:pPr>
      <w:r>
        <w:rPr>
          <w:b/>
          <w:bCs/>
        </w:rPr>
        <w:t xml:space="preserve">Range state is announced, not just coloured.</w:t>
      </w:r>
      <w:r>
        <w:rPr>
          <w:b w:val="false"/>
          <w:bCs w:val="false"/>
        </w:rPr>
        <w:t xml:space="preserve"> The accessibility label includes “below target” or “urgent low” explicitly.</w:t>
      </w:r>
    </w:p>
    <w:p>
      <w:pPr>
        <w:pStyle w:val="ListParagraph"/>
        <w:numPr>
          <w:ilvl w:val="0"/>
          <w:numId w:val="2"/>
        </w:numPr>
        <w:spacing w:after="80" w:line="276"/>
      </w:pPr>
      <w:r>
        <w:rPr>
          <w:b/>
          <w:bCs/>
        </w:rPr>
        <w:t xml:space="preserve">Reduce Motion</w:t>
      </w:r>
      <w:r>
        <w:rPr>
          <w:b w:val="false"/>
          <w:bCs w:val="false"/>
        </w:rPr>
        <w:t xml:space="preserve"> disables chart animations and the Live Activity's transitions.</w:t>
      </w:r>
    </w:p>
    <w:p>
      <w:pPr>
        <w:pStyle w:val="ListParagraph"/>
        <w:numPr>
          <w:ilvl w:val="0"/>
          <w:numId w:val="2"/>
        </w:numPr>
        <w:spacing w:after="80" w:line="276"/>
      </w:pPr>
      <w:r>
        <w:rPr>
          <w:b/>
          <w:bCs/>
        </w:rPr>
        <w:t xml:space="preserve">Increase Contrast</w:t>
      </w:r>
      <w:r>
        <w:rPr>
          <w:b w:val="false"/>
          <w:bCs w:val="false"/>
        </w:rPr>
        <w:t xml:space="preserve"> switches </w:t>
      </w:r>
      <w:r>
        <w:rPr>
          <w:rFonts w:ascii="Consolas" w:cs="Consolas" w:eastAsia="Consolas" w:hAnsi="Consolas"/>
          <w:b w:val="false"/>
          <w:bCs w:val="false"/>
          <w:sz w:val="19"/>
          <w:szCs w:val="19"/>
        </w:rPr>
        <w:t xml:space="preserve">text.secondary</w:t>
      </w:r>
      <w:r>
        <w:rPr>
          <w:b w:val="false"/>
          <w:bCs w:val="false"/>
        </w:rPr>
        <w:t xml:space="preserve"> to </w:t>
      </w:r>
      <w:r>
        <w:rPr>
          <w:rFonts w:ascii="Consolas" w:cs="Consolas" w:eastAsia="Consolas" w:hAnsi="Consolas"/>
          <w:b w:val="false"/>
          <w:bCs w:val="false"/>
          <w:sz w:val="19"/>
          <w:szCs w:val="19"/>
        </w:rPr>
        <w:t xml:space="preserve">text.freshness</w:t>
      </w:r>
      <w:r>
        <w:rPr>
          <w:b w:val="false"/>
          <w:bCs w:val="false"/>
        </w:rPr>
        <w:t xml:space="preserve"> throughout and thickens the target-range band border.</w:t>
      </w:r>
    </w:p>
    <w:p>
      <w:pPr>
        <w:pStyle w:val="ListParagraph"/>
        <w:numPr>
          <w:ilvl w:val="0"/>
          <w:numId w:val="2"/>
        </w:numPr>
        <w:spacing w:after="80" w:line="276"/>
      </w:pPr>
      <w:r>
        <w:rPr>
          <w:b/>
          <w:bCs/>
        </w:rPr>
        <w:t xml:space="preserve">Minimum touch target of 44×44pt</w:t>
      </w:r>
      <w:r>
        <w:rPr>
          <w:b w:val="false"/>
          <w:bCs w:val="false"/>
        </w:rPr>
        <w:t xml:space="preserve"> on every quick-log control, including complication-adjacent buttons.</w:t>
      </w:r>
    </w:p>
    <w:p>
      <w:pPr>
        <w:pStyle w:val="ListParagraph"/>
        <w:numPr>
          <w:ilvl w:val="0"/>
          <w:numId w:val="2"/>
        </w:numPr>
        <w:spacing w:after="80" w:line="276"/>
      </w:pPr>
      <w:r>
        <w:rPr>
          <w:b/>
          <w:bCs/>
        </w:rPr>
        <w:t xml:space="preserve">Bedside Mode must remain accessible</w:t>
      </w:r>
      <w:r>
        <w:rPr>
          <w:b w:val="false"/>
          <w:bCs w:val="false"/>
        </w:rPr>
        <w:t xml:space="preserve"> — the red-shifted palette is verified against WCAG AA at the dimming levels actually used, not only at full opacity.</w:t>
      </w:r>
    </w:p>
    <w:p>
      <w:pPr>
        <w:pStyle w:val="Heading1"/>
        <w:spacing w:after="160" w:before="360"/>
      </w:pPr>
      <w:r>
        <w:rPr>
          <w:b w:val="false"/>
          <w:bCs w:val="false"/>
        </w:rPr>
        <w:t xml:space="preserve">6. Constraints &amp; Security</w:t>
      </w:r>
    </w:p>
    <w:p>
      <w:pPr>
        <w:pStyle w:val="Heading2"/>
        <w:spacing w:after="140" w:before="280"/>
      </w:pPr>
      <w:r>
        <w:rPr>
          <w:b w:val="false"/>
          <w:bCs w:val="false"/>
        </w:rPr>
        <w:t xml:space="preserve">6.1 Provisioning &amp; Signing</w:t>
      </w:r>
    </w:p>
    <w:p>
      <w:pPr>
        <w:pBdr>
          <w:left w:val="single" w:color="BFD3E6" w:sz="12" w:space="8"/>
        </w:pBdr>
        <w:spacing w:after="160" w:line="260"/>
        <w:ind w:left="180"/>
      </w:pPr>
      <w:r>
        <w:rPr>
          <w:b w:val="false"/>
          <w:bCs w:val="false"/>
          <w:i/>
          <w:iCs/>
          <w:color w:val="595959"/>
          <w:sz w:val="20"/>
          <w:szCs w:val="20"/>
        </w:rPr>
        <w:t xml:space="preserve">New in v1.3. Signing tier is a real constraint on scope, so it is recorded here rather than discovered mid-build.</w:t>
      </w:r>
    </w:p>
    <w:p>
      <w:pPr>
        <w:spacing w:after="120" w:line="276"/>
      </w:pPr>
      <w:r>
        <w:rPr>
          <w:b w:val="false"/>
          <w:bCs w:val="false"/>
        </w:rPr>
        <w:t xml:space="preserve">The project starts on a </w:t>
      </w:r>
      <w:r>
        <w:rPr>
          <w:b/>
          <w:bCs/>
        </w:rPr>
        <w:t xml:space="preserve">free Apple personal team</w:t>
      </w:r>
      <w:r>
        <w:rPr>
          <w:b w:val="false"/>
          <w:bCs w:val="false"/>
        </w:rPr>
        <w:t xml:space="preserve">, which costs nothing and is sufficient for the whole of v1. The Apple Developer Program membership is deferred until v2 needs it.</w:t>
      </w:r>
    </w:p>
    <w:p>
      <w:pPr>
        <w:spacing w:after="100" w:before="180"/>
      </w:pPr>
      <w:r>
        <w:rPr>
          <w:b/>
          <w:bCs/>
          <w:color w:val="1F4D78"/>
        </w:rPr>
        <w:t xml:space="preserve">What a free personal team permits</w:t>
      </w:r>
    </w:p>
    <w:p>
      <w:pPr>
        <w:pStyle w:val="ListParagraph"/>
        <w:numPr>
          <w:ilvl w:val="0"/>
          <w:numId w:val="2"/>
        </w:numPr>
        <w:spacing w:after="80" w:line="276"/>
      </w:pPr>
      <w:r>
        <w:rPr>
          <w:b w:val="false"/>
          <w:bCs w:val="false"/>
        </w:rPr>
        <w:t xml:space="preserve">Building and installing on the developer's own device.</w:t>
      </w:r>
    </w:p>
    <w:p>
      <w:pPr>
        <w:pStyle w:val="ListParagraph"/>
        <w:numPr>
          <w:ilvl w:val="0"/>
          <w:numId w:val="2"/>
        </w:numPr>
        <w:spacing w:after="80" w:line="276"/>
      </w:pPr>
      <w:r>
        <w:rPr>
          <w:b/>
          <w:bCs/>
        </w:rPr>
        <w:t xml:space="preserve">CoreBluetooth, including the </w:t>
      </w:r>
      <w:r>
        <w:rPr>
          <w:rFonts w:ascii="Consolas" w:cs="Consolas" w:eastAsia="Consolas" w:hAnsi="Consolas"/>
          <w:b/>
          <w:bCs/>
          <w:sz w:val="19"/>
          <w:szCs w:val="19"/>
        </w:rPr>
        <w:t xml:space="preserve">bluetooth-central</w:t>
      </w:r>
      <w:r>
        <w:rPr>
          <w:b/>
          <w:bCs/>
        </w:rPr>
        <w:t xml:space="preserve"> background mode</w:t>
      </w:r>
      <w:r>
        <w:rPr>
          <w:b w:val="false"/>
          <w:bCs w:val="false"/>
        </w:rPr>
        <w:t xml:space="preserve"> — background modes are Info.plist declarations, not portal-registered entitlements. The entire live data path works.</w:t>
      </w:r>
    </w:p>
    <w:p>
      <w:pPr>
        <w:pStyle w:val="ListParagraph"/>
        <w:numPr>
          <w:ilvl w:val="0"/>
          <w:numId w:val="2"/>
        </w:numPr>
        <w:spacing w:after="80" w:line="276"/>
      </w:pPr>
      <w:r>
        <w:rPr>
          <w:b/>
          <w:bCs/>
        </w:rPr>
        <w:t xml:space="preserve">HealthKit</w:t>
      </w:r>
      <w:r>
        <w:rPr>
          <w:b w:val="false"/>
          <w:bCs w:val="false"/>
        </w:rPr>
        <w:t xml:space="preserve">, for personal use on your own device. The backfill path works.</w:t>
      </w:r>
    </w:p>
    <w:p>
      <w:pPr>
        <w:pStyle w:val="ListParagraph"/>
        <w:numPr>
          <w:ilvl w:val="0"/>
          <w:numId w:val="2"/>
        </w:numPr>
        <w:spacing w:after="80" w:line="276"/>
      </w:pPr>
      <w:r>
        <w:rPr>
          <w:b w:val="false"/>
          <w:bCs w:val="false"/>
        </w:rPr>
        <w:t xml:space="preserve">SwiftData, Swift Charts, local notifications, and the whole v1 UI.</w:t>
      </w:r>
    </w:p>
    <w:p>
      <w:pPr>
        <w:spacing w:after="100" w:before="180"/>
      </w:pPr>
      <w:r>
        <w:rPr>
          <w:b/>
          <w:bCs/>
          <w:color w:val="1F4D78"/>
        </w:rPr>
        <w:t xml:space="preserve">What it does not permit</w:t>
      </w:r>
    </w:p>
    <w:p>
      <w:pPr>
        <w:pStyle w:val="ListParagraph"/>
        <w:numPr>
          <w:ilvl w:val="0"/>
          <w:numId w:val="2"/>
        </w:numPr>
        <w:spacing w:after="80" w:line="276"/>
      </w:pPr>
      <w:r>
        <w:rPr>
          <w:b/>
          <w:bCs/>
        </w:rPr>
        <w:t xml:space="preserve">App Groups.</w:t>
      </w:r>
      <w:r>
        <w:rPr>
          <w:b w:val="false"/>
          <w:bCs w:val="false"/>
        </w:rPr>
        <w:t xml:space="preserve"> This is the binding constraint: without a shared container, a widget extension cannot read the app's store. It gates §3.2.4's glanceable surfaces.</w:t>
      </w:r>
    </w:p>
    <w:p>
      <w:pPr>
        <w:pStyle w:val="ListParagraph"/>
        <w:numPr>
          <w:ilvl w:val="0"/>
          <w:numId w:val="2"/>
        </w:numPr>
        <w:spacing w:after="80" w:line="276"/>
      </w:pPr>
      <w:r>
        <w:rPr>
          <w:b/>
          <w:bCs/>
        </w:rPr>
        <w:t xml:space="preserve">Push notifications, CloudKit, Sign in with Apple, TestFlight.</w:t>
      </w:r>
      <w:r>
        <w:rPr>
          <w:b w:val="false"/>
          <w:bCs w:val="false"/>
        </w:rPr>
        <w:t xml:space="preserve"> None are needed for v1; CloudKit is a v3 concern.</w:t>
      </w:r>
    </w:p>
    <w:p>
      <w:pPr>
        <w:pStyle w:val="ListParagraph"/>
        <w:numPr>
          <w:ilvl w:val="0"/>
          <w:numId w:val="2"/>
        </w:numPr>
        <w:spacing w:after="80" w:line="276"/>
      </w:pPr>
      <w:r>
        <w:rPr>
          <w:b/>
          <w:bCs/>
        </w:rPr>
        <w:t xml:space="preserve">Longevity.</w:t>
      </w:r>
      <w:r>
        <w:rPr>
          <w:b w:val="false"/>
          <w:bCs w:val="false"/>
        </w:rPr>
        <w:t xml:space="preserve"> Provisioning profiles and App IDs expire </w:t>
      </w:r>
      <w:r>
        <w:rPr>
          <w:b/>
          <w:bCs/>
        </w:rPr>
        <w:t xml:space="preserve">after 7 days</w:t>
      </w:r>
      <w:r>
        <w:rPr>
          <w:b w:val="false"/>
          <w:bCs w:val="false"/>
        </w:rPr>
        <w:t xml:space="preserve">. The app stops launching until rebuilt from Xcode with the phone attached or on the same network — roughly a two-minute operation, but one that must actually be remembered.</w:t>
      </w:r>
    </w:p>
    <w:p>
      <w:pPr>
        <w:pStyle w:val="ListParagraph"/>
        <w:numPr>
          <w:ilvl w:val="0"/>
          <w:numId w:val="2"/>
        </w:numPr>
        <w:spacing w:after="80" w:line="276"/>
      </w:pPr>
      <w:r>
        <w:rPr>
          <w:b/>
          <w:bCs/>
        </w:rPr>
        <w:t xml:space="preserve">Certificate expiry is separate from profile expiry, and fails confusingly.</w:t>
      </w:r>
      <w:r>
        <w:rPr>
          <w:b w:val="false"/>
          <w:bCs w:val="false"/>
        </w:rPr>
        <w:t xml:space="preserve"> The signing certificate lasts a year; the provisioning profile lasts 7 days. An expired *certificate* presents on-device as “Unable to Verify App”, which is indistinguishable from a network failure and cannot be resolved by trusting, reinstalling, or changing networks. Diagnose by checking the certificate's </w:t>
      </w:r>
      <w:r>
        <w:rPr>
          <w:rFonts w:ascii="Consolas" w:cs="Consolas" w:eastAsia="Consolas" w:hAnsi="Consolas"/>
          <w:b w:val="false"/>
          <w:bCs w:val="false"/>
          <w:sz w:val="19"/>
          <w:szCs w:val="19"/>
        </w:rPr>
        <w:t xml:space="preserve">notAfter</w:t>
      </w:r>
      <w:r>
        <w:rPr>
          <w:b w:val="false"/>
          <w:bCs w:val="false"/>
        </w:rPr>
        <w:t xml:space="preserve"> date directly rather than trusting </w:t>
      </w:r>
      <w:r>
        <w:rPr>
          <w:rFonts w:ascii="Consolas" w:cs="Consolas" w:eastAsia="Consolas" w:hAnsi="Consolas"/>
          <w:b w:val="false"/>
          <w:bCs w:val="false"/>
          <w:sz w:val="19"/>
          <w:szCs w:val="19"/>
        </w:rPr>
        <w:t xml:space="preserve">security find-identity</w:t>
      </w:r>
      <w:r>
        <w:rPr>
          <w:b w:val="false"/>
          <w:bCs w:val="false"/>
        </w:rPr>
        <w:t xml:space="preserve">, which reports expired certificates as valid and lets </w:t>
      </w:r>
      <w:r>
        <w:rPr>
          <w:rFonts w:ascii="Consolas" w:cs="Consolas" w:eastAsia="Consolas" w:hAnsi="Consolas"/>
          <w:b w:val="false"/>
          <w:bCs w:val="false"/>
          <w:sz w:val="19"/>
          <w:szCs w:val="19"/>
        </w:rPr>
        <w:t xml:space="preserve">codesign</w:t>
      </w:r>
      <w:r>
        <w:rPr>
          <w:b w:val="false"/>
          <w:bCs w:val="false"/>
        </w:rPr>
        <w:t xml:space="preserve"> sign with them happily. The fix is to delete the identity and let Xcode issue a new one; the stale certificate must also be removed, since a new certificate sharing its Common Name collides with the device's existing trust record and produces “unable to trust”.</w:t>
      </w:r>
    </w:p>
    <w:p>
      <w:pPr>
        <w:pStyle w:val="ListParagraph"/>
        <w:numPr>
          <w:ilvl w:val="0"/>
          <w:numId w:val="2"/>
        </w:numPr>
        <w:spacing w:after="80" w:line="276"/>
      </w:pPr>
      <w:r>
        <w:rPr>
          <w:b w:val="false"/>
          <w:bCs w:val="false"/>
        </w:rPr>
        <w:t xml:space="preserve">Limits of 3 apps per device, 3 devices, and 10 App IDs per 7 days. Comfortable for one app; the App ID limit is worth knowing before creating extensions casually.</w:t>
      </w:r>
    </w:p>
    <w:p>
      <w:pPr>
        <w:spacing w:after="100" w:before="180"/>
      </w:pPr>
      <w:r>
        <w:rPr>
          <w:b/>
          <w:bCs/>
          <w:color w:val="1F4D78"/>
        </w:rPr>
        <w:t xml:space="preserve">Consequence for the roadmap</w:t>
      </w:r>
    </w:p>
    <w:p>
      <w:pPr>
        <w:spacing w:after="120" w:line="276"/>
      </w:pPr>
      <w:r>
        <w:rPr>
          <w:b/>
          <w:bCs/>
        </w:rPr>
        <w:t xml:space="preserve">Phases 0 through 8 — everything through v2 prediction — run on a free personal team.</w:t>
      </w:r>
      <w:r>
        <w:rPr>
          <w:b w:val="false"/>
          <w:bCs w:val="false"/>
        </w:rPr>
        <w:t xml:space="preserve"> Only Phase 9 (glanceable surfaces) requires the paid membership, because Live Activities and widgets need App Groups to read shared data.</w:t>
      </w:r>
    </w:p>
    <w:p>
      <w:pPr>
        <w:spacing w:after="120" w:line="276"/>
      </w:pPr>
      <w:r>
        <w:rPr>
          <w:b w:val="false"/>
          <w:bCs w:val="false"/>
        </w:rPr>
        <w:t xml:space="preserve">This ordering is deliberate. By the time the $99 decision arrives, the app will have been in daily use for weeks and its value will be established rather than hypothetical. The weekly rebuild is the price of deferring that decision, and it is a fair one.</w:t>
      </w:r>
    </w:p>
    <w:p>
      <w:pPr>
        <w:pBdr>
          <w:left w:val="single" w:color="BFD3E6" w:sz="12" w:space="8"/>
        </w:pBdr>
        <w:spacing w:after="160" w:line="260"/>
        <w:ind w:left="180"/>
      </w:pPr>
      <w:r>
        <w:rPr>
          <w:b w:val="false"/>
          <w:bCs w:val="false"/>
          <w:i/>
          <w:iCs/>
          <w:color w:val="595959"/>
          <w:sz w:val="20"/>
          <w:szCs w:val="20"/>
        </w:rPr>
        <w:t xml:space="preserve">The 7-day expiry has a specific failure mode worth naming: an expired profile means the app will not launch at 3am. This is an inconvenience rather than a safety problem, because the official Dexcom app is unaffected and remains the alarm source (§1.3). Rebuilding on a fixed weekly rhythm — same evening each week — is the mitigation.</w:t>
      </w:r>
    </w:p>
    <w:p>
      <w:pPr>
        <w:pStyle w:val="Heading2"/>
        <w:spacing w:after="140" w:before="280"/>
      </w:pPr>
      <w:r>
        <w:rPr>
          <w:b w:val="false"/>
          <w:bCs w:val="false"/>
        </w:rPr>
        <w:t xml:space="preserve">6.2 Privacy &amp; Security</w:t>
      </w:r>
    </w:p>
    <w:p>
      <w:pPr>
        <w:pStyle w:val="ListParagraph"/>
        <w:numPr>
          <w:ilvl w:val="0"/>
          <w:numId w:val="2"/>
        </w:numPr>
        <w:spacing w:after="80" w:line="276"/>
      </w:pPr>
      <w:r>
        <w:rPr>
          <w:b w:val="false"/>
          <w:bCs w:val="false"/>
        </w:rPr>
        <w:t xml:space="preserve">All glucose data is stored locally on device.</w:t>
      </w:r>
    </w:p>
    <w:p>
      <w:pPr>
        <w:pStyle w:val="ListParagraph"/>
        <w:numPr>
          <w:ilvl w:val="0"/>
          <w:numId w:val="2"/>
        </w:numPr>
        <w:spacing w:after="80" w:line="276"/>
      </w:pPr>
      <w:r>
        <w:rPr>
          <w:b/>
          <w:bCs/>
        </w:rPr>
        <w:t xml:space="preserve">v1 makes no network requests at all.</w:t>
      </w:r>
      <w:r>
        <w:rPr>
          <w:b w:val="false"/>
          <w:bCs w:val="false"/>
        </w:rPr>
        <w:t xml:space="preserve"> With BLE primary and HealthKit local, there is no server in the picture — not Dexcom's, not anyone's. This is a stronger privacy position than either earlier revision could claim, and it removes an entire class of failure and exposure.</w:t>
      </w:r>
    </w:p>
    <w:p>
      <w:pPr>
        <w:pStyle w:val="ListParagraph"/>
        <w:numPr>
          <w:ilvl w:val="0"/>
          <w:numId w:val="2"/>
        </w:numPr>
        <w:spacing w:after="80" w:line="276"/>
      </w:pPr>
      <w:r>
        <w:rPr>
          <w:b/>
          <w:bCs/>
        </w:rPr>
        <w:t xml:space="preserve">v1 stores no credentials.</w:t>
      </w:r>
      <w:r>
        <w:rPr>
          <w:b w:val="false"/>
          <w:bCs w:val="false"/>
        </w:rPr>
        <w:t xml:space="preserve"> The Keychain requirement arrives only if the optional Share fallback (§4.2.4) is built. Should it be, use </w:t>
      </w:r>
      <w:r>
        <w:rPr>
          <w:rFonts w:ascii="Consolas" w:cs="Consolas" w:eastAsia="Consolas" w:hAnsi="Consolas"/>
          <w:b w:val="false"/>
          <w:bCs w:val="false"/>
          <w:sz w:val="19"/>
          <w:szCs w:val="19"/>
        </w:rPr>
        <w:t xml:space="preserve">kSecAttrAccessibleAfterFirstUnlockThisDeviceOnly</w:t>
      </w:r>
      <w:r>
        <w:rPr>
          <w:b w:val="false"/>
          <w:bCs w:val="false"/>
        </w:rPr>
        <w:t xml:space="preserve"> — not </w:t>
      </w:r>
      <w:r>
        <w:rPr>
          <w:rFonts w:ascii="Consolas" w:cs="Consolas" w:eastAsia="Consolas" w:hAnsi="Consolas"/>
          <w:b w:val="false"/>
          <w:bCs w:val="false"/>
          <w:sz w:val="19"/>
          <w:szCs w:val="19"/>
        </w:rPr>
        <w:t xml:space="preserve">WhenUnlocked</w:t>
      </w:r>
      <w:r>
        <w:rPr>
          <w:b w:val="false"/>
          <w:bCs w:val="false"/>
        </w:rPr>
        <w:t xml:space="preserve">, which would make the item unreadable during background operation and after reboot.</w:t>
      </w:r>
    </w:p>
    <w:p>
      <w:pPr>
        <w:pStyle w:val="ListParagraph"/>
        <w:numPr>
          <w:ilvl w:val="0"/>
          <w:numId w:val="2"/>
        </w:numPr>
        <w:spacing w:after="80" w:line="276"/>
      </w:pPr>
      <w:r>
        <w:rPr>
          <w:b/>
          <w:bCs/>
        </w:rPr>
        <w:t xml:space="preserve">HealthKit data handling:</w:t>
      </w:r>
      <w:r>
        <w:rPr>
          <w:b w:val="false"/>
          <w:bCs w:val="false"/>
        </w:rPr>
        <w:t xml:space="preserve"> read-only, minimum types, context types requested separately. HealthKit values never leave the device, never appear in the diagnostic log, and are excluded from any crash payload.</w:t>
      </w:r>
    </w:p>
    <w:p>
      <w:pPr>
        <w:pStyle w:val="ListParagraph"/>
        <w:numPr>
          <w:ilvl w:val="0"/>
          <w:numId w:val="2"/>
        </w:numPr>
        <w:spacing w:after="80" w:line="276"/>
      </w:pPr>
      <w:r>
        <w:rPr>
          <w:b/>
          <w:bCs/>
        </w:rPr>
        <w:t xml:space="preserve">No analytics SDKs. No third-party crash reporters.</w:t>
      </w:r>
      <w:r>
        <w:rPr>
          <w:b w:val="false"/>
          <w:bCs w:val="false"/>
        </w:rPr>
        <w:t xml:space="preserve"> Diagnostics are a local-only log with a manual copy action; glucose values are redacted from it.</w:t>
      </w:r>
    </w:p>
    <w:p>
      <w:pPr>
        <w:pStyle w:val="ListParagraph"/>
        <w:numPr>
          <w:ilvl w:val="0"/>
          <w:numId w:val="2"/>
        </w:numPr>
        <w:spacing w:after="80" w:line="276"/>
      </w:pPr>
      <w:r>
        <w:rPr>
          <w:b/>
          <w:bCs/>
        </w:rPr>
        <w:t xml:space="preserve">Photos</w:t>
      </w:r>
      <w:r>
        <w:rPr>
          <w:b w:val="false"/>
          <w:bCs w:val="false"/>
        </w:rPr>
        <w:t xml:space="preserve"> attached to meals stay in the app sandbox and are never uploaded. Excluded from CSV/JSON export by default, with an opt-in.</w:t>
      </w:r>
    </w:p>
    <w:p>
      <w:pPr>
        <w:pStyle w:val="ListParagraph"/>
        <w:numPr>
          <w:ilvl w:val="0"/>
          <w:numId w:val="2"/>
        </w:numPr>
        <w:spacing w:after="80" w:line="276"/>
      </w:pPr>
      <w:r>
        <w:rPr>
          <w:b/>
          <w:bCs/>
        </w:rPr>
        <w:t xml:space="preserve">Exports leave the sandbox by user action only</w:t>
      </w:r>
      <w:r>
        <w:rPr>
          <w:b w:val="false"/>
          <w:bCs w:val="false"/>
        </w:rPr>
        <w:t xml:space="preserve">, through the share sheet. The file contains complete medical history and is labelled as such at the moment of sharing.</w:t>
      </w:r>
    </w:p>
    <w:p>
      <w:pPr>
        <w:pStyle w:val="ListParagraph"/>
        <w:numPr>
          <w:ilvl w:val="0"/>
          <w:numId w:val="2"/>
        </w:numPr>
        <w:spacing w:after="80" w:line="276"/>
      </w:pPr>
      <w:r>
        <w:rPr>
          <w:b/>
          <w:bCs/>
        </w:rPr>
        <w:t xml:space="preserve">iCloud sync (v3)</w:t>
      </w:r>
      <w:r>
        <w:rPr>
          <w:b w:val="false"/>
          <w:bCs w:val="false"/>
        </w:rPr>
        <w:t xml:space="preserve"> uses the CloudKit private database, encrypted by Apple. Opt-in, and disabling it offers deletion of the cloud copy.</w:t>
      </w:r>
    </w:p>
    <w:p>
      <w:pPr>
        <w:pStyle w:val="ListParagraph"/>
        <w:numPr>
          <w:ilvl w:val="0"/>
          <w:numId w:val="2"/>
        </w:numPr>
        <w:spacing w:after="80" w:line="276"/>
      </w:pPr>
      <w:r>
        <w:rPr>
          <w:b/>
          <w:bCs/>
        </w:rPr>
        <w:t xml:space="preserve">No passcode gate on launch</w:t>
      </w:r>
      <w:r>
        <w:rPr>
          <w:b w:val="false"/>
          <w:bCs w:val="false"/>
        </w:rPr>
        <w:t xml:space="preserve"> — a glucose check must not be gated behind authentication at 3am. Optional Face ID gating covers the log and export screens only.</w:t>
      </w:r>
    </w:p>
    <w:p>
      <w:pPr>
        <w:pStyle w:val="Heading1"/>
        <w:spacing w:after="160" w:before="360"/>
      </w:pPr>
      <w:r>
        <w:rPr>
          <w:b w:val="false"/>
          <w:bCs w:val="false"/>
        </w:rPr>
        <w:t xml:space="preserve">7. Build Roadmap</w:t>
      </w:r>
    </w:p>
    <w:p>
      <w:pPr>
        <w:spacing w:after="120" w:line="276"/>
      </w:pPr>
      <w:r>
        <w:rPr>
          <w:b w:val="false"/>
          <w:bCs w:val="false"/>
        </w:rPr>
        <w:t xml:space="preserve">Estimates assume one developer working evenings and weekends. Phases 0 to 8 run on a free personal team; only Phase 9 needs the paid membership (§6.1).</w:t>
      </w:r>
    </w:p>
    <w:p>
      <w:pPr>
        <w:pBdr>
          <w:left w:val="single" w:color="BFD3E6" w:sz="12" w:space="8"/>
        </w:pBdr>
        <w:spacing w:after="160" w:line="260"/>
        <w:ind w:left="180"/>
      </w:pPr>
      <w:r>
        <w:rPr>
          <w:b w:val="false"/>
          <w:bCs w:val="false"/>
          <w:i/>
          <w:iCs/>
          <w:color w:val="595959"/>
          <w:sz w:val="20"/>
          <w:szCs w:val="20"/>
        </w:rPr>
        <w:t xml:space="preserve">Status as of v1.5: Phases 0 to 4 are complete and Phase 5 is substantially done. The app is in daily use on device — live readings, persistent self-healing history, a chart, four themes with Bedside Mode, and consensus statistics — with 113 passing tests.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1400"/>
        <w:gridCol w:w="3500"/>
        <w:gridCol w:w="1300"/>
        <w:gridCol w:w="3160"/>
      </w:tblGrid>
      <w:tr>
        <w:trPr>
          <w:tblHeader/>
        </w:trPr>
        <w:tc>
          <w:tcPr>
            <w:tcW w:type="dxa" w:w="1400"/>
            <w:shd w:fill="DEEAF6" w:color="auto" w:val="clear"/>
            <w:tcMar>
              <w:top w:type="dxa" w:w="60"/>
              <w:left w:type="dxa" w:w="100"/>
              <w:bottom w:type="dxa" w:w="60"/>
              <w:right w:type="dxa" w:w="100"/>
            </w:tcMar>
          </w:tcPr>
          <w:p>
            <w:pPr>
              <w:spacing w:after="0" w:line="250"/>
            </w:pPr>
            <w:r>
              <w:rPr>
                <w:b/>
                <w:bCs/>
                <w:sz w:val="20"/>
                <w:szCs w:val="20"/>
              </w:rPr>
              <w:t xml:space="preserve">Phase</w:t>
            </w:r>
          </w:p>
        </w:tc>
        <w:tc>
          <w:tcPr>
            <w:tcW w:type="dxa" w:w="3500"/>
            <w:shd w:fill="DEEAF6" w:color="auto" w:val="clear"/>
            <w:tcMar>
              <w:top w:type="dxa" w:w="60"/>
              <w:left w:type="dxa" w:w="100"/>
              <w:bottom w:type="dxa" w:w="60"/>
              <w:right w:type="dxa" w:w="100"/>
            </w:tcMar>
          </w:tcPr>
          <w:p>
            <w:pPr>
              <w:spacing w:after="0" w:line="250"/>
            </w:pPr>
            <w:r>
              <w:rPr>
                <w:b/>
                <w:bCs/>
                <w:sz w:val="20"/>
                <w:szCs w:val="20"/>
              </w:rPr>
              <w:t xml:space="preserve">Scope</w:t>
            </w:r>
          </w:p>
        </w:tc>
        <w:tc>
          <w:tcPr>
            <w:tcW w:type="dxa" w:w="1300"/>
            <w:shd w:fill="DEEAF6" w:color="auto" w:val="clear"/>
            <w:tcMar>
              <w:top w:type="dxa" w:w="60"/>
              <w:left w:type="dxa" w:w="100"/>
              <w:bottom w:type="dxa" w:w="60"/>
              <w:right w:type="dxa" w:w="100"/>
            </w:tcMar>
          </w:tcPr>
          <w:p>
            <w:pPr>
              <w:spacing w:after="0" w:line="250"/>
            </w:pPr>
            <w:r>
              <w:rPr>
                <w:b/>
                <w:bCs/>
                <w:sz w:val="20"/>
                <w:szCs w:val="20"/>
              </w:rPr>
              <w:t xml:space="preserve">Status</w:t>
            </w:r>
          </w:p>
        </w:tc>
        <w:tc>
          <w:tcPr>
            <w:tcW w:type="dxa" w:w="3160"/>
            <w:shd w:fill="DEEAF6" w:color="auto" w:val="clear"/>
            <w:tcMar>
              <w:top w:type="dxa" w:w="60"/>
              <w:left w:type="dxa" w:w="100"/>
              <w:bottom w:type="dxa" w:w="60"/>
              <w:right w:type="dxa" w:w="100"/>
            </w:tcMar>
          </w:tcPr>
          <w:p>
            <w:pPr>
              <w:spacing w:after="0" w:line="250"/>
            </w:pPr>
            <w:r>
              <w:rPr>
                <w:b/>
                <w:bCs/>
                <w:sz w:val="20"/>
                <w:szCs w:val="20"/>
              </w:rPr>
              <w:t xml:space="preserve">Exit Criteria</w:t>
            </w:r>
          </w:p>
        </w:tc>
      </w:tr>
      <w:tr>
        <w:tc>
          <w:tcPr>
            <w:tcW w:type="dxa" w:w="1400"/>
            <w:tcMar>
              <w:top w:type="dxa" w:w="60"/>
              <w:left w:type="dxa" w:w="100"/>
              <w:bottom w:type="dxa" w:w="60"/>
              <w:right w:type="dxa" w:w="100"/>
            </w:tcMar>
          </w:tcPr>
          <w:p>
            <w:pPr>
              <w:spacing w:after="0" w:line="250"/>
            </w:pPr>
            <w:r>
              <w:rPr>
                <w:b w:val="false"/>
                <w:bCs w:val="false"/>
                <w:sz w:val="20"/>
                <w:szCs w:val="20"/>
              </w:rPr>
              <w:t xml:space="preserve">0. Setup</w:t>
            </w:r>
          </w:p>
        </w:tc>
        <w:tc>
          <w:tcPr>
            <w:tcW w:type="dxa" w:w="3500"/>
            <w:tcMar>
              <w:top w:type="dxa" w:w="60"/>
              <w:left w:type="dxa" w:w="100"/>
              <w:bottom w:type="dxa" w:w="60"/>
              <w:right w:type="dxa" w:w="100"/>
            </w:tcMar>
          </w:tcPr>
          <w:p>
            <w:pPr>
              <w:spacing w:after="0" w:line="250"/>
            </w:pPr>
            <w:r>
              <w:rPr>
                <w:b w:val="false"/>
                <w:bCs w:val="false"/>
                <w:sz w:val="20"/>
                <w:szCs w:val="20"/>
              </w:rPr>
              <w:t xml:space="preserve">Xcode project, free personal-team signing, test target.</w:t>
            </w:r>
          </w:p>
        </w:tc>
        <w:tc>
          <w:tcPr>
            <w:tcW w:type="dxa" w:w="1300"/>
            <w:tcMar>
              <w:top w:type="dxa" w:w="60"/>
              <w:left w:type="dxa" w:w="100"/>
              <w:bottom w:type="dxa" w:w="60"/>
              <w:right w:type="dxa" w:w="100"/>
            </w:tcMar>
          </w:tcPr>
          <w:p>
            <w:pPr>
              <w:spacing w:after="0" w:line="250"/>
            </w:pPr>
            <w:r>
              <w:rPr>
                <w:b/>
                <w:bCs/>
                <w:sz w:val="20"/>
                <w:szCs w:val="20"/>
              </w:rPr>
              <w:t xml:space="preserve">Done</w:t>
            </w:r>
          </w:p>
        </w:tc>
        <w:tc>
          <w:tcPr>
            <w:tcW w:type="dxa" w:w="3160"/>
            <w:tcMar>
              <w:top w:type="dxa" w:w="60"/>
              <w:left w:type="dxa" w:w="100"/>
              <w:bottom w:type="dxa" w:w="60"/>
              <w:right w:type="dxa" w:w="100"/>
            </w:tcMar>
          </w:tcPr>
          <w:p>
            <w:pPr>
              <w:spacing w:after="0" w:line="250"/>
            </w:pPr>
            <w:r>
              <w:rPr>
                <w:b w:val="false"/>
                <w:bCs w:val="false"/>
                <w:sz w:val="20"/>
                <w:szCs w:val="20"/>
              </w:rPr>
              <w:t xml:space="preserve">Builds and runs on device.</w:t>
            </w:r>
          </w:p>
        </w:tc>
      </w:tr>
      <w:tr>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1. BLE spike</w:t>
            </w:r>
          </w:p>
        </w:tc>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Determine whether a third app can read the sensor alongside the official app.</w:t>
            </w:r>
          </w:p>
        </w:tc>
        <w:tc>
          <w:tcPr>
            <w:tcW w:type="dxa" w:w="1300"/>
            <w:shd w:fill="F5F8FC" w:color="auto" w:val="clear"/>
            <w:tcMar>
              <w:top w:type="dxa" w:w="60"/>
              <w:left w:type="dxa" w:w="100"/>
              <w:bottom w:type="dxa" w:w="60"/>
              <w:right w:type="dxa" w:w="100"/>
            </w:tcMar>
          </w:tcPr>
          <w:p>
            <w:pPr>
              <w:spacing w:after="0" w:line="250"/>
            </w:pPr>
            <w:r>
              <w:rPr>
                <w:b/>
                <w:bCs/>
                <w:sz w:val="20"/>
                <w:szCs w:val="20"/>
              </w:rPr>
              <w:t xml:space="preserve">Done — negative</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Answered definitively: it cannot (§3.1.1).</w:t>
            </w:r>
          </w:p>
        </w:tc>
      </w:tr>
      <w:tr>
        <w:tc>
          <w:tcPr>
            <w:tcW w:type="dxa" w:w="1400"/>
            <w:tcMar>
              <w:top w:type="dxa" w:w="60"/>
              <w:left w:type="dxa" w:w="100"/>
              <w:bottom w:type="dxa" w:w="60"/>
              <w:right w:type="dxa" w:w="100"/>
            </w:tcMar>
          </w:tcPr>
          <w:p>
            <w:pPr>
              <w:spacing w:after="0" w:line="250"/>
            </w:pPr>
            <w:r>
              <w:rPr>
                <w:b w:val="false"/>
                <w:bCs w:val="false"/>
                <w:sz w:val="20"/>
                <w:szCs w:val="20"/>
              </w:rPr>
              <w:t xml:space="preserve">2. Share client</w:t>
            </w:r>
          </w:p>
        </w:tc>
        <w:tc>
          <w:tcPr>
            <w:tcW w:type="dxa" w:w="3500"/>
            <w:tcMar>
              <w:top w:type="dxa" w:w="60"/>
              <w:left w:type="dxa" w:w="100"/>
              <w:bottom w:type="dxa" w:w="60"/>
              <w:right w:type="dxa" w:w="100"/>
            </w:tcMar>
          </w:tcPr>
          <w:p>
            <w:pPr>
              <w:spacing w:after="0" w:line="250"/>
            </w:pPr>
            <w:r>
              <w:rPr>
                <w:b w:val="false"/>
                <w:bCs w:val="false"/>
                <w:sz w:val="20"/>
                <w:szCs w:val="20"/>
              </w:rPr>
              <w:t xml:space="preserve">Two-step auth, session refresh, date and trend parsing, terminal-vs-transient error split, Keychain, sensor-anchored polling, unit conversion.</w:t>
            </w:r>
          </w:p>
        </w:tc>
        <w:tc>
          <w:tcPr>
            <w:tcW w:type="dxa" w:w="1300"/>
            <w:tcMar>
              <w:top w:type="dxa" w:w="60"/>
              <w:left w:type="dxa" w:w="100"/>
              <w:bottom w:type="dxa" w:w="60"/>
              <w:right w:type="dxa" w:w="100"/>
            </w:tcMar>
          </w:tcPr>
          <w:p>
            <w:pPr>
              <w:spacing w:after="0" w:line="250"/>
            </w:pPr>
            <w:r>
              <w:rPr>
                <w:b/>
                <w:bCs/>
                <w:sz w:val="20"/>
                <w:szCs w:val="20"/>
              </w:rPr>
              <w:t xml:space="preserve">Done</w:t>
            </w:r>
          </w:p>
        </w:tc>
        <w:tc>
          <w:tcPr>
            <w:tcW w:type="dxa" w:w="3160"/>
            <w:tcMar>
              <w:top w:type="dxa" w:w="60"/>
              <w:left w:type="dxa" w:w="100"/>
              <w:bottom w:type="dxa" w:w="60"/>
              <w:right w:type="dxa" w:w="100"/>
            </w:tcMar>
          </w:tcPr>
          <w:p>
            <w:pPr>
              <w:spacing w:after="0" w:line="250"/>
            </w:pPr>
            <w:r>
              <w:rPr>
                <w:b w:val="false"/>
                <w:bCs w:val="false"/>
                <w:sz w:val="20"/>
                <w:szCs w:val="20"/>
              </w:rPr>
              <w:t xml:space="preserve">Live readings matching the official app.</w:t>
            </w:r>
          </w:p>
        </w:tc>
      </w:tr>
      <w:tr>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3. Persistence</w:t>
            </w:r>
          </w:p>
        </w:tc>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Versioned schema, @ModelActor store, upsert, adaptive gap-filling fetch window, migration test.</w:t>
            </w:r>
          </w:p>
        </w:tc>
        <w:tc>
          <w:tcPr>
            <w:tcW w:type="dxa" w:w="1300"/>
            <w:shd w:fill="F5F8FC" w:color="auto" w:val="clear"/>
            <w:tcMar>
              <w:top w:type="dxa" w:w="60"/>
              <w:left w:type="dxa" w:w="100"/>
              <w:bottom w:type="dxa" w:w="60"/>
              <w:right w:type="dxa" w:w="100"/>
            </w:tcMar>
          </w:tcPr>
          <w:p>
            <w:pPr>
              <w:spacing w:after="0" w:line="250"/>
            </w:pPr>
            <w:r>
              <w:rPr>
                <w:b/>
                <w:bCs/>
                <w:sz w:val="20"/>
                <w:szCs w:val="20"/>
              </w:rPr>
              <w:t xml:space="preserve">Done</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History survives relaunch and a V1→V2 migration with no loss.</w:t>
            </w:r>
          </w:p>
        </w:tc>
      </w:tr>
      <w:tr>
        <w:tc>
          <w:tcPr>
            <w:tcW w:type="dxa" w:w="1400"/>
            <w:tcMar>
              <w:top w:type="dxa" w:w="60"/>
              <w:left w:type="dxa" w:w="100"/>
              <w:bottom w:type="dxa" w:w="60"/>
              <w:right w:type="dxa" w:w="100"/>
            </w:tcMar>
          </w:tcPr>
          <w:p>
            <w:pPr>
              <w:spacing w:after="0" w:line="250"/>
            </w:pPr>
            <w:r>
              <w:rPr>
                <w:b w:val="false"/>
                <w:bCs w:val="false"/>
                <w:sz w:val="20"/>
                <w:szCs w:val="20"/>
              </w:rPr>
              <w:t xml:space="preserve">4. v1 UI</w:t>
            </w:r>
          </w:p>
        </w:tc>
        <w:tc>
          <w:tcPr>
            <w:tcW w:type="dxa" w:w="3500"/>
            <w:tcMar>
              <w:top w:type="dxa" w:w="60"/>
              <w:left w:type="dxa" w:w="100"/>
              <w:bottom w:type="dxa" w:w="60"/>
              <w:right w:type="dxa" w:w="100"/>
            </w:tcMar>
          </w:tcPr>
          <w:p>
            <w:pPr>
              <w:spacing w:after="0" w:line="250"/>
            </w:pPr>
            <w:r>
              <w:rPr>
                <w:b w:val="false"/>
                <w:bCs w:val="false"/>
                <w:sz w:val="20"/>
                <w:szCs w:val="20"/>
              </w:rPr>
              <w:t xml:space="preserve">Chart with seven windows, target band, gap-aware lines, downsampling. Four themes, Bedside Mode, settings.</w:t>
            </w:r>
          </w:p>
        </w:tc>
        <w:tc>
          <w:tcPr>
            <w:tcW w:type="dxa" w:w="1300"/>
            <w:tcMar>
              <w:top w:type="dxa" w:w="60"/>
              <w:left w:type="dxa" w:w="100"/>
              <w:bottom w:type="dxa" w:w="60"/>
              <w:right w:type="dxa" w:w="100"/>
            </w:tcMar>
          </w:tcPr>
          <w:p>
            <w:pPr>
              <w:spacing w:after="0" w:line="250"/>
            </w:pPr>
            <w:r>
              <w:rPr>
                <w:b/>
                <w:bCs/>
                <w:sz w:val="20"/>
                <w:szCs w:val="20"/>
              </w:rPr>
              <w:t xml:space="preserve">Done</w:t>
            </w:r>
          </w:p>
        </w:tc>
        <w:tc>
          <w:tcPr>
            <w:tcW w:type="dxa" w:w="3160"/>
            <w:tcMar>
              <w:top w:type="dxa" w:w="60"/>
              <w:left w:type="dxa" w:w="100"/>
              <w:bottom w:type="dxa" w:w="60"/>
              <w:right w:type="dxa" w:w="100"/>
            </w:tcMar>
          </w:tcPr>
          <w:p>
            <w:pPr>
              <w:spacing w:after="0" w:line="250"/>
            </w:pPr>
            <w:r>
              <w:rPr>
                <w:b w:val="false"/>
                <w:bCs w:val="false"/>
                <w:sz w:val="20"/>
                <w:szCs w:val="20"/>
              </w:rPr>
              <w:t xml:space="preserve">Daily-usable as a dark-mode G7 display.</w:t>
            </w:r>
          </w:p>
        </w:tc>
      </w:tr>
      <w:tr>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5. Statistics &amp; history</w:t>
            </w:r>
          </w:p>
        </w:tc>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Five-band TIR, CV, GMI gating, coverage. </w:t>
            </w:r>
            <w:r>
              <w:rPr>
                <w:b/>
                <w:bCs/>
                <w:sz w:val="20"/>
                <w:szCs w:val="20"/>
              </w:rPr>
              <w:t xml:space="preserve">Remaining:</w:t>
            </w:r>
            <w:r>
              <w:rPr>
                <w:b w:val="false"/>
                <w:bCs w:val="false"/>
                <w:sz w:val="20"/>
                <w:szCs w:val="20"/>
              </w:rPr>
              <w:t xml:space="preserve"> HealthKit 90-day backfill, percentile AGP.</w:t>
            </w:r>
          </w:p>
        </w:tc>
        <w:tc>
          <w:tcPr>
            <w:tcW w:type="dxa" w:w="1300"/>
            <w:shd w:fill="F5F8FC" w:color="auto" w:val="clear"/>
            <w:tcMar>
              <w:top w:type="dxa" w:w="60"/>
              <w:left w:type="dxa" w:w="100"/>
              <w:bottom w:type="dxa" w:w="60"/>
              <w:right w:type="dxa" w:w="100"/>
            </w:tcMar>
          </w:tcPr>
          <w:p>
            <w:pPr>
              <w:spacing w:after="0" w:line="250"/>
            </w:pPr>
            <w:r>
              <w:rPr>
                <w:b w:val="false"/>
                <w:bCs w:val="false"/>
                <w:sz w:val="20"/>
                <w:szCs w:val="20"/>
              </w:rPr>
              <w:t xml:space="preserve">In progress</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90-day window renders under 500ms; statistics match a hand-computed reference.</w:t>
            </w:r>
          </w:p>
        </w:tc>
      </w:tr>
      <w:tr>
        <w:tc>
          <w:tcPr>
            <w:tcW w:type="dxa" w:w="1400"/>
            <w:tcMar>
              <w:top w:type="dxa" w:w="60"/>
              <w:left w:type="dxa" w:w="100"/>
              <w:bottom w:type="dxa" w:w="60"/>
              <w:right w:type="dxa" w:w="100"/>
            </w:tcMar>
          </w:tcPr>
          <w:p>
            <w:pPr>
              <w:spacing w:after="0" w:line="250"/>
            </w:pPr>
            <w:r>
              <w:rPr>
                <w:b w:val="false"/>
                <w:bCs w:val="false"/>
                <w:sz w:val="20"/>
                <w:szCs w:val="20"/>
              </w:rPr>
              <w:t xml:space="preserve">6. Export &amp; backup</w:t>
            </w:r>
          </w:p>
        </w:tc>
        <w:tc>
          <w:tcPr>
            <w:tcW w:type="dxa" w:w="3500"/>
            <w:tcMar>
              <w:top w:type="dxa" w:w="60"/>
              <w:left w:type="dxa" w:w="100"/>
              <w:bottom w:type="dxa" w:w="60"/>
              <w:right w:type="dxa" w:w="100"/>
            </w:tcMar>
          </w:tcPr>
          <w:p>
            <w:pPr>
              <w:spacing w:after="0" w:line="250"/>
            </w:pPr>
            <w:r>
              <w:rPr>
                <w:b w:val="false"/>
                <w:bCs w:val="false"/>
                <w:sz w:val="20"/>
                <w:szCs w:val="20"/>
              </w:rPr>
              <w:t xml:space="preserve">CSV/JSON export, database backup and restore, Nightscout format.</w:t>
            </w:r>
          </w:p>
        </w:tc>
        <w:tc>
          <w:tcPr>
            <w:tcW w:type="dxa" w:w="1300"/>
            <w:tcMar>
              <w:top w:type="dxa" w:w="60"/>
              <w:left w:type="dxa" w:w="100"/>
              <w:bottom w:type="dxa" w:w="60"/>
              <w:right w:type="dxa" w:w="100"/>
            </w:tcMar>
          </w:tcPr>
          <w:p>
            <w:pPr>
              <w:spacing w:after="0" w:line="250"/>
            </w:pPr>
            <w:r>
              <w:rPr>
                <w:b w:val="false"/>
                <w:bCs w:val="false"/>
                <w:sz w:val="20"/>
                <w:szCs w:val="20"/>
              </w:rPr>
              <w:t xml:space="preserve">3 to 4 days</w:t>
            </w:r>
          </w:p>
        </w:tc>
        <w:tc>
          <w:tcPr>
            <w:tcW w:type="dxa" w:w="3160"/>
            <w:tcMar>
              <w:top w:type="dxa" w:w="60"/>
              <w:left w:type="dxa" w:w="100"/>
              <w:bottom w:type="dxa" w:w="60"/>
              <w:right w:type="dxa" w:w="100"/>
            </w:tcMar>
          </w:tcPr>
          <w:p>
            <w:pPr>
              <w:spacing w:after="0" w:line="250"/>
            </w:pPr>
            <w:r>
              <w:rPr>
                <w:b w:val="false"/>
                <w:bCs w:val="false"/>
                <w:sz w:val="20"/>
                <w:szCs w:val="20"/>
              </w:rPr>
              <w:t xml:space="preserve">A backup restores cleanly onto a fresh install.</w:t>
            </w:r>
          </w:p>
        </w:tc>
      </w:tr>
      <w:tr>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7. v1 self-test</w:t>
            </w:r>
          </w:p>
        </w:tc>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Daily use, including the weekly re-signing rhythm.</w:t>
            </w:r>
          </w:p>
        </w:tc>
        <w:tc>
          <w:tcPr>
            <w:tcW w:type="dxa" w:w="1300"/>
            <w:shd w:fill="F5F8FC" w:color="auto" w:val="clear"/>
            <w:tcMar>
              <w:top w:type="dxa" w:w="60"/>
              <w:left w:type="dxa" w:w="100"/>
              <w:bottom w:type="dxa" w:w="60"/>
              <w:right w:type="dxa" w:w="100"/>
            </w:tcMar>
          </w:tcPr>
          <w:p>
            <w:pPr>
              <w:spacing w:after="0" w:line="250"/>
            </w:pPr>
            <w:r>
              <w:rPr>
                <w:b w:val="false"/>
                <w:bCs w:val="false"/>
                <w:sz w:val="20"/>
                <w:szCs w:val="20"/>
              </w:rPr>
              <w:t xml:space="preserve">2 to 4 weeks</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Opened in preference to the official app for routine checks.</w:t>
            </w:r>
          </w:p>
        </w:tc>
      </w:tr>
      <w:tr>
        <w:tc>
          <w:tcPr>
            <w:tcW w:type="dxa" w:w="1400"/>
            <w:tcMar>
              <w:top w:type="dxa" w:w="60"/>
              <w:left w:type="dxa" w:w="100"/>
              <w:bottom w:type="dxa" w:w="60"/>
              <w:right w:type="dxa" w:w="100"/>
            </w:tcMar>
          </w:tcPr>
          <w:p>
            <w:pPr>
              <w:spacing w:after="0" w:line="250"/>
            </w:pPr>
            <w:r>
              <w:rPr>
                <w:b w:val="false"/>
                <w:bCs w:val="false"/>
                <w:sz w:val="20"/>
                <w:szCs w:val="20"/>
              </w:rPr>
              <w:t xml:space="preserve">8. v2 logging &amp; prediction</w:t>
            </w:r>
          </w:p>
        </w:tc>
        <w:tc>
          <w:tcPr>
            <w:tcW w:type="dxa" w:w="3500"/>
            <w:tcMar>
              <w:top w:type="dxa" w:w="60"/>
              <w:left w:type="dxa" w:w="100"/>
              <w:bottom w:type="dxa" w:w="60"/>
              <w:right w:type="dxa" w:w="100"/>
            </w:tcMar>
          </w:tcPr>
          <w:p>
            <w:pPr>
              <w:spacing w:after="0" w:line="250"/>
            </w:pPr>
            <w:r>
              <w:rPr>
                <w:b w:val="false"/>
                <w:bCs w:val="false"/>
                <w:sz w:val="20"/>
                <w:szCs w:val="20"/>
              </w:rPr>
              <w:t xml:space="preserve">Event model, log UI, meal fingerprinting, IOB/COB, damped forecaster, backtesting harness.</w:t>
            </w:r>
          </w:p>
        </w:tc>
        <w:tc>
          <w:tcPr>
            <w:tcW w:type="dxa" w:w="1300"/>
            <w:tcMar>
              <w:top w:type="dxa" w:w="60"/>
              <w:left w:type="dxa" w:w="100"/>
              <w:bottom w:type="dxa" w:w="60"/>
              <w:right w:type="dxa" w:w="100"/>
            </w:tcMar>
          </w:tcPr>
          <w:p>
            <w:pPr>
              <w:spacing w:after="0" w:line="250"/>
            </w:pPr>
            <w:r>
              <w:rPr>
                <w:b w:val="false"/>
                <w:bCs w:val="false"/>
                <w:sz w:val="20"/>
                <w:szCs w:val="20"/>
              </w:rPr>
              <w:t xml:space="preserve">4 to 6 weeks</w:t>
            </w:r>
          </w:p>
        </w:tc>
        <w:tc>
          <w:tcPr>
            <w:tcW w:type="dxa" w:w="3160"/>
            <w:tcMar>
              <w:top w:type="dxa" w:w="60"/>
              <w:left w:type="dxa" w:w="100"/>
              <w:bottom w:type="dxa" w:w="60"/>
              <w:right w:type="dxa" w:w="100"/>
            </w:tcMar>
          </w:tcPr>
          <w:p>
            <w:pPr>
              <w:spacing w:after="0" w:line="250"/>
            </w:pPr>
            <w:r>
              <w:rPr>
                <w:b w:val="false"/>
                <w:bCs w:val="false"/>
                <w:sz w:val="20"/>
                <w:szCs w:val="20"/>
              </w:rPr>
              <w:t xml:space="preserve">Beats the persistence baseline by the §4.4 margins.</w:t>
            </w:r>
          </w:p>
        </w:tc>
      </w:tr>
      <w:tr>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9. Glanceable surfaces [paid]</w:t>
            </w:r>
          </w:p>
        </w:tc>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Developer Program enrolment, App Group, Live Activity, Watch complication, App Intents.</w:t>
            </w:r>
          </w:p>
        </w:tc>
        <w:tc>
          <w:tcPr>
            <w:tcW w:type="dxa" w:w="1300"/>
            <w:shd w:fill="F5F8FC" w:color="auto" w:val="clear"/>
            <w:tcMar>
              <w:top w:type="dxa" w:w="60"/>
              <w:left w:type="dxa" w:w="100"/>
              <w:bottom w:type="dxa" w:w="60"/>
              <w:right w:type="dxa" w:w="100"/>
            </w:tcMar>
          </w:tcPr>
          <w:p>
            <w:pPr>
              <w:spacing w:after="0" w:line="250"/>
            </w:pPr>
            <w:r>
              <w:rPr>
                <w:b w:val="false"/>
                <w:bCs w:val="false"/>
                <w:sz w:val="20"/>
                <w:szCs w:val="20"/>
              </w:rPr>
              <w:t xml:space="preserve">2 to 3 weeks</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Live surfaces stay within one poll cycle of the in-app value.</w:t>
            </w:r>
          </w:p>
        </w:tc>
      </w:tr>
      <w:tr>
        <w:tc>
          <w:tcPr>
            <w:tcW w:type="dxa" w:w="1400"/>
            <w:tcMar>
              <w:top w:type="dxa" w:w="60"/>
              <w:left w:type="dxa" w:w="100"/>
              <w:bottom w:type="dxa" w:w="60"/>
              <w:right w:type="dxa" w:w="100"/>
            </w:tcMar>
          </w:tcPr>
          <w:p>
            <w:pPr>
              <w:spacing w:after="0" w:line="250"/>
            </w:pPr>
            <w:r>
              <w:rPr>
                <w:b w:val="false"/>
                <w:bCs w:val="false"/>
                <w:sz w:val="20"/>
                <w:szCs w:val="20"/>
              </w:rPr>
              <w:t xml:space="preserve">10. v3</w:t>
            </w:r>
          </w:p>
        </w:tc>
        <w:tc>
          <w:tcPr>
            <w:tcW w:type="dxa" w:w="3500"/>
            <w:tcMar>
              <w:top w:type="dxa" w:w="60"/>
              <w:left w:type="dxa" w:w="100"/>
              <w:bottom w:type="dxa" w:w="60"/>
              <w:right w:type="dxa" w:w="100"/>
            </w:tcMar>
          </w:tcPr>
          <w:p>
            <w:pPr>
              <w:spacing w:after="0" w:line="250"/>
            </w:pPr>
            <w:r>
              <w:rPr>
                <w:b w:val="false"/>
                <w:bCs w:val="false"/>
                <w:sz w:val="20"/>
                <w:szCs w:val="20"/>
              </w:rPr>
              <w:t xml:space="preserve">AGP PDF, endo prep, widgets, HealthKit write-back, iCloud sync.</w:t>
            </w:r>
          </w:p>
        </w:tc>
        <w:tc>
          <w:tcPr>
            <w:tcW w:type="dxa" w:w="1300"/>
            <w:tcMar>
              <w:top w:type="dxa" w:w="60"/>
              <w:left w:type="dxa" w:w="100"/>
              <w:bottom w:type="dxa" w:w="60"/>
              <w:right w:type="dxa" w:w="100"/>
            </w:tcMar>
          </w:tcPr>
          <w:p>
            <w:pPr>
              <w:spacing w:after="0" w:line="250"/>
            </w:pPr>
            <w:r>
              <w:rPr>
                <w:b w:val="false"/>
                <w:bCs w:val="false"/>
                <w:sz w:val="20"/>
                <w:szCs w:val="20"/>
              </w:rPr>
              <w:t xml:space="preserve">Ongoing</w:t>
            </w:r>
          </w:p>
        </w:tc>
        <w:tc>
          <w:tcPr>
            <w:tcW w:type="dxa" w:w="3160"/>
            <w:tcMar>
              <w:top w:type="dxa" w:w="60"/>
              <w:left w:type="dxa" w:w="100"/>
              <w:bottom w:type="dxa" w:w="60"/>
              <w:right w:type="dxa" w:w="100"/>
            </w:tcMar>
          </w:tcPr>
          <w:p>
            <w:pPr>
              <w:spacing w:after="0" w:line="250"/>
            </w:pPr>
            <w:r>
              <w:rPr>
                <w:b w:val="false"/>
                <w:bCs w:val="false"/>
                <w:sz w:val="20"/>
                <w:szCs w:val="20"/>
              </w:rPr>
              <w:t xml:space="preserve">Each shipped as ready.</w:t>
            </w:r>
          </w:p>
        </w:tc>
      </w:tr>
    </w:tbl>
    <w:p>
      <w:pPr>
        <w:spacing w:after="100"/>
      </w:pPr>
    </w:p>
    <w:p>
      <w:pPr>
        <w:spacing w:after="120" w:line="276"/>
      </w:pPr>
      <w:r>
        <w:rPr>
          <w:b w:val="false"/>
          <w:bCs w:val="false"/>
        </w:rPr>
        <w:t xml:space="preserve">Roughly 3 to 6 weeks of evenings remain to a daily-usable v1 — down from 6 to 11 at v1.4, with Phases 3 and 4 completed in two sessions.</w:t>
      </w:r>
    </w:p>
    <w:p>
      <w:pPr>
        <w:pStyle w:val="Heading1"/>
        <w:spacing w:after="160" w:before="360"/>
      </w:pPr>
      <w:r>
        <w:rPr>
          <w:b w:val="false"/>
          <w:bCs w:val="false"/>
        </w:rPr>
        <w:t xml:space="preserve">8. Resolved Decisions</w:t>
      </w:r>
    </w:p>
    <w:p>
      <w:pPr>
        <w:pBdr>
          <w:left w:val="single" w:color="BFD3E6" w:sz="12" w:space="8"/>
        </w:pBdr>
        <w:spacing w:after="160" w:line="260"/>
        <w:ind w:left="180"/>
      </w:pPr>
      <w:r>
        <w:rPr>
          <w:b w:val="false"/>
          <w:bCs w:val="false"/>
          <w:i/>
          <w:iCs/>
          <w:color w:val="595959"/>
          <w:sz w:val="20"/>
          <w:szCs w:val="20"/>
        </w:rPr>
        <w:t xml:space="preserve">New in v1.2. These were §8 “Open Questions” in v1.1; each is now decided, with the reasoning recorded so it is not relitigated.</w:t>
      </w:r>
    </w:p>
    <w:p>
      <w:pPr>
        <w:spacing w:after="100" w:before="180"/>
      </w:pPr>
      <w:r>
        <w:rPr>
          <w:b/>
          <w:bCs/>
          <w:color w:val="1F4D78"/>
        </w:rPr>
        <w:t xml:space="preserve">Carbs: grams only, or also “meal size” (S/M/L)?</w:t>
      </w:r>
    </w:p>
    <w:p>
      <w:pPr>
        <w:spacing w:after="120" w:line="276"/>
      </w:pPr>
      <w:r>
        <w:rPr>
          <w:b/>
          <w:bCs/>
        </w:rPr>
        <w:t xml:space="preserve">Grams only.</w:t>
      </w:r>
      <w:r>
        <w:rPr>
          <w:b w:val="false"/>
          <w:bCs w:val="false"/>
        </w:rPr>
        <w:t xml:space="preserve"> S/M/L is a second unit system that would have to be reconciled with ICR arithmetic (§4.4) to produce a forecast, and any mapping from it to grams is a guess the user cannot inspect. The speed benefit S/M/L was meant to provide is delivered instead by a quick-pick row of the user's own recent and frequent gram entries, which is faster than a size picker and keeps the math exact.</w:t>
      </w:r>
    </w:p>
    <w:p>
      <w:pPr>
        <w:spacing w:after="100" w:before="180"/>
      </w:pPr>
      <w:r>
        <w:rPr>
          <w:b/>
          <w:bCs/>
          <w:color w:val="1F4D78"/>
        </w:rPr>
        <w:t xml:space="preserve">Insulin types: pre-seeded or free-text?</w:t>
      </w:r>
    </w:p>
    <w:p>
      <w:pPr>
        <w:spacing w:after="120" w:line="276"/>
      </w:pPr>
      <w:r>
        <w:rPr>
          <w:b/>
          <w:bCs/>
        </w:rPr>
        <w:t xml:space="preserve">Both, but neither is the point.</w:t>
      </w:r>
      <w:r>
        <w:rPr>
          <w:b w:val="false"/>
          <w:bCs w:val="false"/>
        </w:rPr>
        <w:t xml:space="preserve"> A short pre-seeded list is offered and free-text entry is allowed. What actually matters is the pair of curve parameters (peak, duration) each type carries, because that is the only property the IOB calculation consumes. Every type — seeded or user-created — maps to an editable peak/duration pair with the §4.4 defaults pre-filled. A brand name with no curve attached is decoration.</w:t>
      </w:r>
    </w:p>
    <w:p>
      <w:pPr>
        <w:spacing w:after="100" w:before="180"/>
      </w:pPr>
      <w:r>
        <w:rPr>
          <w:b/>
          <w:bCs/>
          <w:color w:val="1F4D78"/>
        </w:rPr>
        <w:t xml:space="preserve">Confidence band: ±1 SD or ±2 SD?</w:t>
      </w:r>
    </w:p>
    <w:p>
      <w:pPr>
        <w:spacing w:after="120" w:line="276"/>
      </w:pPr>
      <w:r>
        <w:rPr>
          <w:b/>
          <w:bCs/>
        </w:rPr>
        <w:t xml:space="preserve">Neither.</w:t>
      </w:r>
      <w:r>
        <w:rPr>
          <w:b w:val="false"/>
          <w:bCs w:val="false"/>
        </w:rPr>
        <w:t xml:space="preserve"> Both options assume forecast residuals are stationary and normally distributed. They are strongly heteroscedastic — errors are several times larger when glucose is moving fast than when it is flat, which is exactly when the band is consulted. GlucoNoir uses </w:t>
      </w:r>
      <w:r>
        <w:rPr>
          <w:b/>
          <w:bCs/>
        </w:rPr>
        <w:t xml:space="preserve">empirical 10th/90th percentiles of the app's own realised errors</w:t>
      </w:r>
      <w:r>
        <w:rPr>
          <w:b w:val="false"/>
          <w:bCs w:val="false"/>
        </w:rPr>
        <w:t xml:space="preserve"> at each horizon, backtested on the user's own data and recomputed weekly. It is no harder to compute, it needs no distributional assumption, and it widens automatically in the conditions where it should.</w:t>
      </w:r>
    </w:p>
    <w:p>
      <w:pPr>
        <w:spacing w:after="100" w:before="180"/>
      </w:pPr>
      <w:r>
        <w:rPr>
          <w:b/>
          <w:bCs/>
          <w:color w:val="1F4D78"/>
        </w:rPr>
        <w:t xml:space="preserve">Bedside Mode trigger: ambient light, time, or both?</w:t>
      </w:r>
    </w:p>
    <w:p>
      <w:pPr>
        <w:spacing w:after="120" w:line="276"/>
      </w:pPr>
      <w:r>
        <w:rPr>
          <w:b/>
          <w:bCs/>
        </w:rPr>
        <w:t xml:space="preserve">Schedule primary, ambient light as a modifier.</w:t>
      </w:r>
      <w:r>
        <w:rPr>
          <w:b w:val="false"/>
          <w:bCs w:val="false"/>
        </w:rPr>
        <w:t xml:space="preserve"> Pure ambient-light triggering flips modes when walking past a window or into a dark room mid-afternoon, and mode flapping is worse than either mode. The schedule decides whether Bedside Mode is eligible; ambient light within that window modulates the dimming opacity.</w:t>
      </w:r>
    </w:p>
    <w:p>
      <w:pPr>
        <w:spacing w:after="100" w:before="180"/>
      </w:pPr>
      <w:r>
        <w:rPr>
          <w:b/>
          <w:bCs/>
          <w:color w:val="1F4D78"/>
        </w:rPr>
        <w:t xml:space="preserve">v3 closed-loop integration?</w:t>
      </w:r>
    </w:p>
    <w:p>
      <w:pPr>
        <w:spacing w:after="120" w:line="276"/>
      </w:pPr>
      <w:r>
        <w:rPr>
          <w:b/>
          <w:bCs/>
        </w:rPr>
        <w:t xml:space="preserve">No — stay strictly observational, permanently.</w:t>
      </w:r>
      <w:r>
        <w:rPr>
          <w:b w:val="false"/>
          <w:bCs w:val="false"/>
        </w:rPr>
        <w:t xml:space="preserve"> v1.1 recommended this and the recommendation is upgraded to a non-goal (§1.2). The subtler risk worth naming: a prediction curve displayed adjacent to a dose entry field functions as dose guidance regardless of labelling. The §3.2.3 requirement that predictions and dose entry never share a screen region exists for this reason.</w:t>
      </w:r>
    </w:p>
    <w:p>
      <w:pPr>
        <w:pStyle w:val="Heading1"/>
        <w:spacing w:after="160" w:before="360"/>
      </w:pPr>
      <w:r>
        <w:rPr>
          <w:b w:val="false"/>
          <w:bCs w:val="false"/>
        </w:rPr>
        <w:t xml:space="preserve">9. Open Questions</w:t>
      </w:r>
    </w:p>
    <w:p>
      <w:pPr>
        <w:spacing w:after="120" w:line="276"/>
      </w:pPr>
      <w:r>
        <w:rPr>
          <w:b w:val="false"/>
          <w:bCs w:val="false"/>
        </w:rPr>
        <w:t xml:space="preserve">v1.3's first two questions are closed. Direct BLE does not work (§3.1.1). HealthKit's lag is a documented three hours, and the mechanism is unused.</w:t>
      </w:r>
    </w:p>
    <w:p>
      <w:pPr>
        <w:pStyle w:val="ListParagraph"/>
        <w:numPr>
          <w:ilvl w:val="0"/>
          <w:numId w:val="3"/>
        </w:numPr>
        <w:spacing w:after="80" w:line="276"/>
      </w:pPr>
      <w:r>
        <w:rPr>
          <w:b/>
          <w:bCs/>
        </w:rPr>
        <w:t xml:space="preserve">How often does the Share dependency chain actually break in normal use?</w:t>
      </w:r>
      <w:r>
        <w:rPr>
          <w:b w:val="false"/>
          <w:bCs w:val="false"/>
        </w:rPr>
        <w:t xml:space="preserve"> Overnight wifi drops, cloud hiccups, the official app failing to upload. Instrument during Phase 7 and record the real figure — it determines whether the §10 resilience criterion is realistic.</w:t>
      </w:r>
    </w:p>
    <w:p>
      <w:pPr>
        <w:pStyle w:val="ListParagraph"/>
        <w:numPr>
          <w:ilvl w:val="0"/>
          <w:numId w:val="3"/>
        </w:numPr>
        <w:spacing w:after="80" w:line="276"/>
      </w:pPr>
      <w:r>
        <w:rPr>
          <w:b/>
          <w:bCs/>
        </w:rPr>
        <w:t xml:space="preserve">Is background polling worth keeping at all?</w:t>
      </w:r>
      <w:r>
        <w:rPr>
          <w:b w:val="false"/>
          <w:bCs w:val="false"/>
        </w:rPr>
        <w:t xml:space="preserve"> If </w:t>
      </w:r>
      <w:r>
        <w:rPr>
          <w:rFonts w:ascii="Consolas" w:cs="Consolas" w:eastAsia="Consolas" w:hAnsi="Consolas"/>
          <w:b w:val="false"/>
          <w:bCs w:val="false"/>
          <w:sz w:val="19"/>
          <w:szCs w:val="19"/>
        </w:rPr>
        <w:t xml:space="preserve">BGAppRefreshTask</w:t>
      </w:r>
      <w:r>
        <w:rPr>
          <w:b w:val="false"/>
          <w:bCs w:val="false"/>
        </w:rPr>
        <w:t xml:space="preserve"> almost never fires, the code is complexity with no benefit, and freshness-on-open is the honest model. Measure before deciding.</w:t>
      </w:r>
    </w:p>
    <w:p>
      <w:pPr>
        <w:pStyle w:val="ListParagraph"/>
        <w:numPr>
          <w:ilvl w:val="0"/>
          <w:numId w:val="3"/>
        </w:numPr>
        <w:spacing w:after="80" w:line="276"/>
      </w:pPr>
      <w:r>
        <w:rPr>
          <w:b/>
          <w:bCs/>
        </w:rPr>
        <w:t xml:space="preserve">Should sensor session tracking be attempted from gap inference?</w:t>
      </w:r>
      <w:r>
        <w:rPr>
          <w:b w:val="false"/>
          <w:bCs w:val="false"/>
        </w:rPr>
        <w:t xml:space="preserve"> v1.3 could read session state directly over BLE. Via Share it is guesswork, and a wrong “sensor expiring” prompt is worse than none.</w:t>
      </w:r>
    </w:p>
    <w:p>
      <w:pPr>
        <w:pStyle w:val="ListParagraph"/>
        <w:numPr>
          <w:ilvl w:val="0"/>
          <w:numId w:val="3"/>
        </w:numPr>
        <w:spacing w:after="80" w:line="276"/>
      </w:pPr>
      <w:r>
        <w:rPr>
          <w:b/>
          <w:bCs/>
        </w:rPr>
        <w:t xml:space="preserve">Does the weekly re-signing rhythm hold,</w:t>
      </w:r>
      <w:r>
        <w:rPr>
          <w:b w:val="false"/>
          <w:bCs w:val="false"/>
        </w:rPr>
        <w:t xml:space="preserve"> or does the app die often enough to justify the $99 before Phase 9?</w:t>
      </w:r>
    </w:p>
    <w:p>
      <w:pPr>
        <w:pStyle w:val="ListParagraph"/>
        <w:numPr>
          <w:ilvl w:val="0"/>
          <w:numId w:val="3"/>
        </w:numPr>
        <w:spacing w:after="80" w:line="276"/>
      </w:pPr>
      <w:r>
        <w:rPr>
          <w:b/>
          <w:bCs/>
        </w:rPr>
        <w:t xml:space="preserve">Default exercise sensitivity multiplier.</w:t>
      </w:r>
      <w:r>
        <w:rPr>
          <w:b w:val="false"/>
          <w:bCs w:val="false"/>
        </w:rPr>
        <w:t xml:space="preserve"> 1.5 is a placeholder; derive from the user's own logged events once Phase 8 has data.</w:t>
      </w:r>
    </w:p>
    <w:p>
      <w:pPr>
        <w:pStyle w:val="ListParagraph"/>
        <w:numPr>
          <w:ilvl w:val="0"/>
          <w:numId w:val="3"/>
        </w:numPr>
        <w:spacing w:after="80" w:line="276"/>
      </w:pPr>
      <w:r>
        <w:rPr>
          <w:b/>
          <w:bCs/>
        </w:rPr>
        <w:t xml:space="preserve">How many samples make a meal fingerprint trustworthy?</w:t>
      </w:r>
      <w:r>
        <w:rPr>
          <w:b w:val="false"/>
          <w:bCs w:val="false"/>
        </w:rPr>
        <w:t xml:space="preserve"> Provisional: individual curves from the first instance, median suppressed until four.</w:t>
      </w:r>
    </w:p>
    <w:p>
      <w:pPr>
        <w:pStyle w:val="Heading1"/>
        <w:spacing w:after="160" w:before="360"/>
      </w:pPr>
      <w:r>
        <w:rPr>
          <w:b w:val="false"/>
          <w:bCs w:val="false"/>
        </w:rPr>
        <w:t xml:space="preserve">10. Success Criteria</w:t>
      </w:r>
    </w:p>
    <w:p>
      <w:pPr>
        <w:spacing w:after="120" w:line="276"/>
      </w:pPr>
      <w:r>
        <w:rPr>
          <w:b w:val="false"/>
          <w:bCs w:val="false"/>
        </w:rPr>
        <w:t xml:space="preserve">This is a personal-use app, so success is measured against the user's own daily experience, not market metrics. v1.1's criteria are retained where they were measurable and tightened where they were not.</w:t>
      </w:r>
    </w:p>
    <w:p>
      <w:pPr>
        <w:pStyle w:val="ListParagraph"/>
        <w:numPr>
          <w:ilvl w:val="0"/>
          <w:numId w:val="2"/>
        </w:numPr>
        <w:spacing w:after="80" w:line="276"/>
      </w:pPr>
      <w:r>
        <w:rPr>
          <w:b/>
          <w:bCs/>
        </w:rPr>
        <w:t xml:space="preserve">Preference.</w:t>
      </w:r>
      <w:r>
        <w:rPr>
          <w:b w:val="false"/>
          <w:bCs w:val="false"/>
        </w:rPr>
        <w:t xml:space="preserve"> The user opens GlucoNoir before the official Dexcom app for routine checks within 30 days of v1. Measurable directly, since the app can count its own launches against a self-reported baseline.</w:t>
      </w:r>
    </w:p>
    <w:p>
      <w:pPr>
        <w:pStyle w:val="ListParagraph"/>
        <w:numPr>
          <w:ilvl w:val="0"/>
          <w:numId w:val="2"/>
        </w:numPr>
        <w:spacing w:after="80" w:line="276"/>
      </w:pPr>
      <w:r>
        <w:rPr>
          <w:b/>
          <w:bCs/>
        </w:rPr>
        <w:t xml:space="preserve">Glance displacement (new).</w:t>
      </w:r>
      <w:r>
        <w:rPr>
          <w:b w:val="false"/>
          <w:bCs w:val="false"/>
        </w:rPr>
        <w:t xml:space="preserve"> After v2, at least half of daily glucose checks are satisfied by the Live Activity, Lock Screen, or Watch complication without opening the app. This is the criterion that reflects §2.2's dominant use case.</w:t>
      </w:r>
    </w:p>
    <w:p>
      <w:pPr>
        <w:pStyle w:val="ListParagraph"/>
        <w:numPr>
          <w:ilvl w:val="0"/>
          <w:numId w:val="2"/>
        </w:numPr>
        <w:spacing w:after="80" w:line="276"/>
      </w:pPr>
      <w:r>
        <w:rPr>
          <w:b/>
          <w:bCs/>
        </w:rPr>
        <w:t xml:space="preserve">Eye strain.</w:t>
      </w:r>
      <w:r>
        <w:rPr>
          <w:b w:val="false"/>
          <w:bCs w:val="false"/>
        </w:rPr>
        <w:t xml:space="preserve"> Nighttime checks are subjectively less unpleasant. Deliberately subjective; a weekly one-tap self-rating in the app makes it trackable without pretending it is objective.</w:t>
      </w:r>
    </w:p>
    <w:p>
      <w:pPr>
        <w:pStyle w:val="ListParagraph"/>
        <w:numPr>
          <w:ilvl w:val="0"/>
          <w:numId w:val="2"/>
        </w:numPr>
        <w:spacing w:after="80" w:line="276"/>
      </w:pPr>
      <w:r>
        <w:rPr>
          <w:b/>
          <w:bCs/>
        </w:rPr>
        <w:t xml:space="preserve">Logging speed.</w:t>
      </w:r>
      <w:r>
        <w:rPr>
          <w:b w:val="false"/>
          <w:bCs w:val="false"/>
        </w:rPr>
        <w:t xml:space="preserve"> Median time from intent to logged event stays under 30 seconds, measured by the app instrumenting its own log flows. Under 10 seconds via App Intents.</w:t>
      </w:r>
    </w:p>
    <w:p>
      <w:pPr>
        <w:pStyle w:val="ListParagraph"/>
        <w:numPr>
          <w:ilvl w:val="0"/>
          <w:numId w:val="2"/>
        </w:numPr>
        <w:spacing w:after="80" w:line="276"/>
      </w:pPr>
      <w:r>
        <w:rPr>
          <w:b/>
          <w:bCs/>
        </w:rPr>
        <w:t xml:space="preserve">Forecast quality.</w:t>
      </w:r>
      <w:r>
        <w:rPr>
          <w:b w:val="false"/>
          <w:bCs w:val="false"/>
        </w:rPr>
        <w:t xml:space="preserve"> The §4.4 validation gate: beats the persistence baseline by at least 15% RMSE at 15 minutes, with zero points in Parkes zones C/D/E. This replaces v1.1's ±20 mg/dL threshold, which a naive baseline passes.</w:t>
      </w:r>
    </w:p>
    <w:p>
      <w:pPr>
        <w:pStyle w:val="ListParagraph"/>
        <w:numPr>
          <w:ilvl w:val="0"/>
          <w:numId w:val="2"/>
        </w:numPr>
        <w:spacing w:after="80" w:line="276"/>
      </w:pPr>
      <w:r>
        <w:rPr>
          <w:b/>
          <w:bCs/>
        </w:rPr>
        <w:t xml:space="preserve">Resilience (new).</w:t>
      </w:r>
      <w:r>
        <w:rPr>
          <w:b w:val="false"/>
          <w:bCs w:val="false"/>
        </w:rPr>
        <w:t xml:space="preserve"> Over any 30-day period after v1, no more than 1% of expected 5-minute samples are permanently missing from the local store, and no single gap exceeds 2 hours while the phone had network. This is the criterion for whether the dual-source architecture actually earned its complexity — v1.1 rewrote the architecture and then never measured whether it worked.</w:t>
      </w:r>
    </w:p>
    <w:p>
      <w:pPr>
        <w:pStyle w:val="ListParagraph"/>
        <w:numPr>
          <w:ilvl w:val="0"/>
          <w:numId w:val="2"/>
        </w:numPr>
        <w:spacing w:after="80" w:line="276"/>
      </w:pPr>
      <w:r>
        <w:rPr>
          <w:b/>
          <w:bCs/>
        </w:rPr>
        <w:t xml:space="preserve">Time in range.</w:t>
      </w:r>
      <w:r>
        <w:rPr>
          <w:b w:val="false"/>
          <w:bCs w:val="false"/>
        </w:rPr>
        <w:t xml:space="preserve"> TIR improves by at least 5 percentage points, sustained over a 30-day window, compared against the 90 days preceding v1 install. v1.1's “any measurable amount” is not a criterion — TIR routinely swings several points week to week on its own, so any threshold below the noise floor will be met by chance. Attribution to the app is explicitly not claimed; this measures whether things got better, not why.</w:t>
      </w:r>
    </w:p>
    <w:p>
      <w:pPr>
        <w:pStyle w:val="Heading1"/>
        <w:spacing w:after="160" w:before="360"/>
      </w:pPr>
      <w:r>
        <w:rPr>
          <w:b w:val="false"/>
          <w:bCs w:val="false"/>
        </w:rPr>
        <w:t xml:space="preserve">Appendix A: Glossary</w:t>
      </w:r>
    </w:p>
    <w:p>
      <w:pPr>
        <w:pStyle w:val="ListParagraph"/>
        <w:numPr>
          <w:ilvl w:val="0"/>
          <w:numId w:val="2"/>
        </w:numPr>
        <w:spacing w:after="80" w:line="276"/>
      </w:pPr>
      <w:r>
        <w:rPr>
          <w:b/>
          <w:bCs/>
        </w:rPr>
        <w:t xml:space="preserve">AGP</w:t>
      </w:r>
      <w:r>
        <w:rPr>
          <w:b w:val="false"/>
          <w:bCs w:val="false"/>
        </w:rPr>
        <w:t xml:space="preserve"> — Ambulatory Glucose Profile. A standardised CGM chart format showing percentile bands of glucose by time of day.</w:t>
      </w:r>
    </w:p>
    <w:p>
      <w:pPr>
        <w:pStyle w:val="ListParagraph"/>
        <w:numPr>
          <w:ilvl w:val="0"/>
          <w:numId w:val="2"/>
        </w:numPr>
        <w:spacing w:after="80" w:line="276"/>
      </w:pPr>
      <w:r>
        <w:rPr>
          <w:b/>
          <w:bCs/>
        </w:rPr>
        <w:t xml:space="preserve">BLE</w:t>
      </w:r>
      <w:r>
        <w:rPr>
          <w:b w:val="false"/>
          <w:bCs w:val="false"/>
        </w:rPr>
        <w:t xml:space="preserve"> — Bluetooth Low Energy. The radio protocol the G7 sensor broadcasts on, and GlucoNoir's primary data path.</w:t>
      </w:r>
    </w:p>
    <w:p>
      <w:pPr>
        <w:pStyle w:val="ListParagraph"/>
        <w:numPr>
          <w:ilvl w:val="0"/>
          <w:numId w:val="2"/>
        </w:numPr>
        <w:spacing w:after="80" w:line="276"/>
      </w:pPr>
      <w:r>
        <w:rPr>
          <w:b/>
          <w:bCs/>
        </w:rPr>
        <w:t xml:space="preserve">CGM</w:t>
      </w:r>
      <w:r>
        <w:rPr>
          <w:b w:val="false"/>
          <w:bCs w:val="false"/>
        </w:rPr>
        <w:t xml:space="preserve"> — Continuous Glucose Monitor (e.g. Dexcom G7).</w:t>
      </w:r>
    </w:p>
    <w:p>
      <w:pPr>
        <w:pStyle w:val="ListParagraph"/>
        <w:numPr>
          <w:ilvl w:val="0"/>
          <w:numId w:val="2"/>
        </w:numPr>
        <w:spacing w:after="80" w:line="276"/>
      </w:pPr>
      <w:r>
        <w:rPr>
          <w:b/>
          <w:bCs/>
        </w:rPr>
        <w:t xml:space="preserve">Direct to Watch</w:t>
      </w:r>
      <w:r>
        <w:rPr>
          <w:b w:val="false"/>
          <w:bCs w:val="false"/>
        </w:rPr>
        <w:t xml:space="preserve"> — Dexcom feature connecting the G7 sensor straight to an Apple Watch, consuming one of the sensor's three Bluetooth channels.</w:t>
      </w:r>
    </w:p>
    <w:p>
      <w:pPr>
        <w:pStyle w:val="ListParagraph"/>
        <w:numPr>
          <w:ilvl w:val="0"/>
          <w:numId w:val="2"/>
        </w:numPr>
        <w:spacing w:after="80" w:line="276"/>
      </w:pPr>
      <w:r>
        <w:rPr>
          <w:b/>
          <w:bCs/>
        </w:rPr>
        <w:t xml:space="preserve">Free personal team</w:t>
      </w:r>
      <w:r>
        <w:rPr>
          <w:b w:val="false"/>
          <w:bCs w:val="false"/>
        </w:rPr>
        <w:t xml:space="preserve"> — Apple's no-cost signing tier. Sufficient for all of GlucoNoir v1; provisioning expires every 7 days (§6.1).</w:t>
      </w:r>
    </w:p>
    <w:p>
      <w:pPr>
        <w:pStyle w:val="ListParagraph"/>
        <w:numPr>
          <w:ilvl w:val="0"/>
          <w:numId w:val="2"/>
        </w:numPr>
        <w:spacing w:after="80" w:line="276"/>
      </w:pPr>
      <w:r>
        <w:rPr>
          <w:b/>
          <w:bCs/>
        </w:rPr>
        <w:t xml:space="preserve">G7SensorKit</w:t>
      </w:r>
      <w:r>
        <w:rPr>
          <w:b w:val="false"/>
          <w:bCs w:val="false"/>
        </w:rPr>
        <w:t xml:space="preserve"> — LoopKit's MIT-licensed Swift package implementing the G7 BLE protocol. GlucoNoir's transport layer.</w:t>
      </w:r>
    </w:p>
    <w:p>
      <w:pPr>
        <w:pStyle w:val="ListParagraph"/>
        <w:numPr>
          <w:ilvl w:val="0"/>
          <w:numId w:val="2"/>
        </w:numPr>
        <w:spacing w:after="80" w:line="276"/>
      </w:pPr>
      <w:r>
        <w:rPr>
          <w:b/>
          <w:bCs/>
        </w:rPr>
        <w:t xml:space="preserve">COB</w:t>
      </w:r>
      <w:r>
        <w:rPr>
          <w:b w:val="false"/>
          <w:bCs w:val="false"/>
        </w:rPr>
        <w:t xml:space="preserve"> — Carbs On Board. Ingested carbohydrate not yet absorbed.</w:t>
      </w:r>
    </w:p>
    <w:p>
      <w:pPr>
        <w:pStyle w:val="ListParagraph"/>
        <w:numPr>
          <w:ilvl w:val="0"/>
          <w:numId w:val="2"/>
        </w:numPr>
        <w:spacing w:after="80" w:line="276"/>
      </w:pPr>
      <w:r>
        <w:rPr>
          <w:b/>
          <w:bCs/>
        </w:rPr>
        <w:t xml:space="preserve">Compression low</w:t>
      </w:r>
      <w:r>
        <w:rPr>
          <w:b w:val="false"/>
          <w:bCs w:val="false"/>
        </w:rPr>
        <w:t xml:space="preserve"> — a falsely low reading caused by physical pressure on the sensor, typically from lying on it. A sensor artifact, not a physiological event.</w:t>
      </w:r>
    </w:p>
    <w:p>
      <w:pPr>
        <w:pStyle w:val="ListParagraph"/>
        <w:numPr>
          <w:ilvl w:val="0"/>
          <w:numId w:val="2"/>
        </w:numPr>
        <w:spacing w:after="80" w:line="276"/>
      </w:pPr>
      <w:r>
        <w:rPr>
          <w:b/>
          <w:bCs/>
        </w:rPr>
        <w:t xml:space="preserve">CV</w:t>
      </w:r>
      <w:r>
        <w:rPr>
          <w:b w:val="false"/>
          <w:bCs w:val="false"/>
        </w:rPr>
        <w:t xml:space="preserve"> — Coefficient of Variation. SD divided by mean, expressed as a percentage. The standard glycaemic variability metric; target below 36%.</w:t>
      </w:r>
    </w:p>
    <w:p>
      <w:pPr>
        <w:pStyle w:val="ListParagraph"/>
        <w:numPr>
          <w:ilvl w:val="0"/>
          <w:numId w:val="2"/>
        </w:numPr>
        <w:spacing w:after="80" w:line="276"/>
      </w:pPr>
      <w:r>
        <w:rPr>
          <w:b/>
          <w:bCs/>
        </w:rPr>
        <w:t xml:space="preserve">DIA</w:t>
      </w:r>
      <w:r>
        <w:rPr>
          <w:b w:val="false"/>
          <w:bCs w:val="false"/>
        </w:rPr>
        <w:t xml:space="preserve"> — Duration of Insulin Action. How long a dose remains active; 5 to 6 hours for rapid analogues.</w:t>
      </w:r>
    </w:p>
    <w:p>
      <w:pPr>
        <w:pStyle w:val="ListParagraph"/>
        <w:numPr>
          <w:ilvl w:val="0"/>
          <w:numId w:val="2"/>
        </w:numPr>
        <w:spacing w:after="80" w:line="276"/>
      </w:pPr>
      <w:r>
        <w:rPr>
          <w:b/>
          <w:bCs/>
        </w:rPr>
        <w:t xml:space="preserve">GMI</w:t>
      </w:r>
      <w:r>
        <w:rPr>
          <w:b w:val="false"/>
          <w:bCs w:val="false"/>
        </w:rPr>
        <w:t xml:space="preserve"> — Glucose Management Indicator. An A1C estimate derived from mean CGM glucose. Requires at least 14 days at 70% capture to be meaningful.</w:t>
      </w:r>
    </w:p>
    <w:p>
      <w:pPr>
        <w:pStyle w:val="ListParagraph"/>
        <w:numPr>
          <w:ilvl w:val="0"/>
          <w:numId w:val="2"/>
        </w:numPr>
        <w:spacing w:after="80" w:line="276"/>
      </w:pPr>
      <w:r>
        <w:rPr>
          <w:b/>
          <w:bCs/>
        </w:rPr>
        <w:t xml:space="preserve">ICR</w:t>
      </w:r>
      <w:r>
        <w:rPr>
          <w:b w:val="false"/>
          <w:bCs w:val="false"/>
        </w:rPr>
        <w:t xml:space="preserve"> — Insulin-to-Carb Ratio. Grams of carbohydrate covered by one unit of insulin.</w:t>
      </w:r>
    </w:p>
    <w:p>
      <w:pPr>
        <w:pStyle w:val="ListParagraph"/>
        <w:numPr>
          <w:ilvl w:val="0"/>
          <w:numId w:val="2"/>
        </w:numPr>
        <w:spacing w:after="80" w:line="276"/>
      </w:pPr>
      <w:r>
        <w:rPr>
          <w:b/>
          <w:bCs/>
        </w:rPr>
        <w:t xml:space="preserve">IOB</w:t>
      </w:r>
      <w:r>
        <w:rPr>
          <w:b w:val="false"/>
          <w:bCs w:val="false"/>
        </w:rPr>
        <w:t xml:space="preserve"> — Insulin On Board. Active insulin still working in the body.</w:t>
      </w:r>
    </w:p>
    <w:p>
      <w:pPr>
        <w:pStyle w:val="ListParagraph"/>
        <w:numPr>
          <w:ilvl w:val="0"/>
          <w:numId w:val="2"/>
        </w:numPr>
        <w:spacing w:after="80" w:line="276"/>
      </w:pPr>
      <w:r>
        <w:rPr>
          <w:b/>
          <w:bCs/>
        </w:rPr>
        <w:t xml:space="preserve">ISF</w:t>
      </w:r>
      <w:r>
        <w:rPr>
          <w:b w:val="false"/>
          <w:bCs w:val="false"/>
        </w:rPr>
        <w:t xml:space="preserve"> — Insulin Sensitivity Factor. Expected mg/dL drop per unit of insulin. Also called correction factor.</w:t>
      </w:r>
    </w:p>
    <w:p>
      <w:pPr>
        <w:pStyle w:val="ListParagraph"/>
        <w:numPr>
          <w:ilvl w:val="0"/>
          <w:numId w:val="2"/>
        </w:numPr>
        <w:spacing w:after="80" w:line="276"/>
      </w:pPr>
      <w:r>
        <w:rPr>
          <w:b/>
          <w:bCs/>
        </w:rPr>
        <w:t xml:space="preserve">MDI</w:t>
      </w:r>
      <w:r>
        <w:rPr>
          <w:b w:val="false"/>
          <w:bCs w:val="false"/>
        </w:rPr>
        <w:t xml:space="preserve"> — Multiple Daily Injections. A non-pump insulin regimen.</w:t>
      </w:r>
    </w:p>
    <w:p>
      <w:pPr>
        <w:pStyle w:val="ListParagraph"/>
        <w:numPr>
          <w:ilvl w:val="0"/>
          <w:numId w:val="2"/>
        </w:numPr>
        <w:spacing w:after="80" w:line="276"/>
      </w:pPr>
      <w:r>
        <w:rPr>
          <w:b/>
          <w:bCs/>
        </w:rPr>
        <w:t xml:space="preserve">Parkes error grid</w:t>
      </w:r>
      <w:r>
        <w:rPr>
          <w:b w:val="false"/>
          <w:bCs w:val="false"/>
        </w:rPr>
        <w:t xml:space="preserve"> — a clinical-significance plot for glucose estimates, dividing predicted-versus-actual space into zones by the severity of the consequence of the error.</w:t>
      </w:r>
    </w:p>
    <w:p>
      <w:pPr>
        <w:pStyle w:val="ListParagraph"/>
        <w:numPr>
          <w:ilvl w:val="0"/>
          <w:numId w:val="2"/>
        </w:numPr>
        <w:spacing w:after="80" w:line="276"/>
      </w:pPr>
      <w:r>
        <w:rPr>
          <w:b/>
          <w:bCs/>
        </w:rPr>
        <w:t xml:space="preserve">Persistence baseline</w:t>
      </w:r>
      <w:r>
        <w:rPr>
          <w:b w:val="false"/>
          <w:bCs w:val="false"/>
        </w:rPr>
        <w:t xml:space="preserve"> — the trivial forecast “the next value equals the current value.” The benchmark any real forecaster must beat.</w:t>
      </w:r>
    </w:p>
    <w:p>
      <w:pPr>
        <w:pStyle w:val="ListParagraph"/>
        <w:numPr>
          <w:ilvl w:val="0"/>
          <w:numId w:val="2"/>
        </w:numPr>
        <w:spacing w:after="80" w:line="276"/>
      </w:pPr>
      <w:r>
        <w:rPr>
          <w:b/>
          <w:bCs/>
        </w:rPr>
        <w:t xml:space="preserve">T1D</w:t>
      </w:r>
      <w:r>
        <w:rPr>
          <w:b w:val="false"/>
          <w:bCs w:val="false"/>
        </w:rPr>
        <w:t xml:space="preserve"> — Type 1 Diabetes.</w:t>
      </w:r>
    </w:p>
    <w:p>
      <w:pPr>
        <w:pStyle w:val="ListParagraph"/>
        <w:numPr>
          <w:ilvl w:val="0"/>
          <w:numId w:val="2"/>
        </w:numPr>
        <w:spacing w:after="80" w:line="276"/>
      </w:pPr>
      <w:r>
        <w:rPr>
          <w:b/>
          <w:bCs/>
        </w:rPr>
        <w:t xml:space="preserve">Time in Range (TIR)</w:t>
      </w:r>
      <w:r>
        <w:rPr>
          <w:b w:val="false"/>
          <w:bCs w:val="false"/>
        </w:rPr>
        <w:t xml:space="preserve"> — percentage of CGM readings within the target range, conventionally 70 to 180 mg/dL.</w:t>
      </w:r>
    </w:p>
    <w:p>
      <w:r>
        <w:br w:type="page"/>
      </w:r>
    </w:p>
    <w:p>
      <w:pPr>
        <w:pStyle w:val="Heading1"/>
        <w:spacing w:after="160" w:before="360"/>
      </w:pPr>
      <w:r>
        <w:rPr>
          <w:b w:val="false"/>
          <w:bCs w:val="false"/>
        </w:rPr>
        <w:t xml:space="preserve">Appendix B: Review Findings Log</w:t>
      </w:r>
    </w:p>
    <w:p>
      <w:pPr>
        <w:spacing w:after="120" w:line="276"/>
      </w:pPr>
      <w:r>
        <w:rPr>
          <w:b w:val="false"/>
          <w:bCs w:val="false"/>
        </w:rPr>
        <w:t xml:space="preserve">Every change made across both review passes, with the finding that prompted it. Ordered by severity within each pass so the material changes can be reviewed first. “Blocking” means the app would not have worked as specified.</w:t>
      </w:r>
    </w:p>
    <w:p>
      <w:pPr>
        <w:pBdr>
          <w:left w:val="single" w:color="BFD3E6" w:sz="12" w:space="8"/>
        </w:pBdr>
        <w:spacing w:after="160" w:line="260"/>
        <w:ind w:left="180"/>
      </w:pPr>
      <w:r>
        <w:rPr>
          <w:b w:val="false"/>
          <w:bCs w:val="false"/>
          <w:i/>
          <w:iCs/>
          <w:color w:val="595959"/>
          <w:sz w:val="20"/>
          <w:szCs w:val="20"/>
        </w:rPr>
        <w:t xml:space="preserve">Section references in B.1 to B.6 use the numbering of v1.2, the revision in which those changes were made. Sections were renumbered in v1.3 when the source layer was restructured; B.7 uses current numbering. Where the two conflict, B.7 supersedes — several v1.2 fixes were to a HealthKit-primary design that v1.3 discarded outright.</w:t>
      </w:r>
    </w:p>
    <w:p>
      <w:pPr>
        <w:pStyle w:val="Heading2"/>
        <w:spacing w:after="140" w:before="280"/>
      </w:pPr>
      <w:r>
        <w:rPr>
          <w:b w:val="false"/>
          <w:bCs w:val="false"/>
        </w:rPr>
        <w:t xml:space="preserve">B.1 Blocking Technical Errors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val="false"/>
                <w:bCs w:val="false"/>
                <w:sz w:val="20"/>
                <w:szCs w:val="20"/>
              </w:rPr>
              <w:t xml:space="preserve">BGAppRefreshTask cannot deliver a 15-minute background poll; earliestBeginDate is a floor, not a schedule, and is least likely to fire overnight.</w:t>
            </w:r>
          </w:p>
        </w:tc>
        <w:tc>
          <w:tcPr>
            <w:tcW w:type="dxa" w:w="4100"/>
            <w:tcMar>
              <w:top w:type="dxa" w:w="60"/>
              <w:left w:type="dxa" w:w="100"/>
              <w:bottom w:type="dxa" w:w="60"/>
              <w:right w:type="dxa" w:w="100"/>
            </w:tcMar>
          </w:tcPr>
          <w:p>
            <w:pPr>
              <w:spacing w:after="0" w:line="250"/>
            </w:pPr>
            <w:r>
              <w:rPr>
                <w:b w:val="false"/>
                <w:bCs w:val="false"/>
                <w:sz w:val="20"/>
                <w:szCs w:val="20"/>
              </w:rPr>
              <w:t xml:space="preserve">Background architecture inverted: HealthKit background delivery is the wake mechanism; Share polled opportunistically inside each wake; BGAppRefreshTask demoted to a daily janitor.</w:t>
            </w:r>
          </w:p>
        </w:tc>
        <w:tc>
          <w:tcPr>
            <w:tcW w:type="dxa" w:w="1760"/>
            <w:tcMar>
              <w:top w:type="dxa" w:w="60"/>
              <w:left w:type="dxa" w:w="100"/>
              <w:bottom w:type="dxa" w:w="60"/>
              <w:right w:type="dxa" w:w="100"/>
            </w:tcMar>
          </w:tcPr>
          <w:p>
            <w:pPr>
              <w:spacing w:after="0" w:line="250"/>
            </w:pPr>
            <w:r>
              <w:rPr>
                <w:b w:val="false"/>
                <w:bCs w:val="false"/>
                <w:sz w:val="20"/>
                <w:szCs w:val="20"/>
              </w:rPr>
              <w:t xml:space="preserve">§3.1.1, §4.1, §4.2.1, §7</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HealthKit background delivery entitlement was never mentioned; without it the observer does not fire when backgrounded.</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Entitlement added to the stack table and the source spec; verified in Phase 0.</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§4.1, §4.2.2</w:t>
            </w:r>
          </w:p>
        </w:tc>
      </w:tr>
      <w:tr>
        <w:tc>
          <w:tcPr>
            <w:tcW w:type="dxa" w:w="3500"/>
            <w:tcMar>
              <w:top w:type="dxa" w:w="60"/>
              <w:left w:type="dxa" w:w="100"/>
              <w:bottom w:type="dxa" w:w="60"/>
              <w:right w:type="dxa" w:w="100"/>
            </w:tcMar>
          </w:tcPr>
          <w:p>
            <w:pPr>
              <w:spacing w:after="0" w:line="250"/>
            </w:pPr>
            <w:r>
              <w:rPr>
                <w:b w:val="false"/>
                <w:bCs w:val="false"/>
                <w:sz w:val="20"/>
                <w:szCs w:val="20"/>
              </w:rPr>
              <w:t xml:space="preserve">kSecAttrAccessibleWhenUnlockedThisDeviceOnly makes credentials unreadable while the device is locked, breaking every background Share poll and all operation after reboot until first unlock.</w:t>
            </w:r>
          </w:p>
        </w:tc>
        <w:tc>
          <w:tcPr>
            <w:tcW w:type="dxa" w:w="4100"/>
            <w:tcMar>
              <w:top w:type="dxa" w:w="60"/>
              <w:left w:type="dxa" w:w="100"/>
              <w:bottom w:type="dxa" w:w="60"/>
              <w:right w:type="dxa" w:w="100"/>
            </w:tcMar>
          </w:tcPr>
          <w:p>
            <w:pPr>
              <w:spacing w:after="0" w:line="250"/>
            </w:pPr>
            <w:r>
              <w:rPr>
                <w:b w:val="false"/>
                <w:bCs w:val="false"/>
                <w:sz w:val="20"/>
                <w:szCs w:val="20"/>
              </w:rPr>
              <w:t xml:space="preserve">Changed to kSecAttrAccessibleAfterFirstUnlockThisDeviceOnly.</w:t>
            </w:r>
          </w:p>
        </w:tc>
        <w:tc>
          <w:tcPr>
            <w:tcW w:type="dxa" w:w="1760"/>
            <w:tcMar>
              <w:top w:type="dxa" w:w="60"/>
              <w:left w:type="dxa" w:w="100"/>
              <w:bottom w:type="dxa" w:w="60"/>
              <w:right w:type="dxa" w:w="100"/>
            </w:tcMar>
          </w:tcPr>
          <w:p>
            <w:pPr>
              <w:spacing w:after="0" w:line="250"/>
            </w:pPr>
            <w:r>
              <w:rPr>
                <w:b w:val="false"/>
                <w:bCs w:val="false"/>
                <w:sz w:val="20"/>
                <w:szCs w:val="20"/>
              </w:rPr>
              <w:t xml:space="preserve">§6</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A unique syncId attribute is incompatible with SwiftData's CloudKit backing, which v3 commits to.</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No unique attributes anywhere; dedup enforced in the coordinator with an indexed non-unique dedupKey and explicit upsert. CloudKit's optional-property and delete-rule constraints adopted from v1.</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§4.2.4, §4.3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No App Group container; widgets, Live Activity, and Watch cannot read the default store, and retrofitting means migrating the whole history.</w:t>
            </w:r>
          </w:p>
        </w:tc>
        <w:tc>
          <w:tcPr>
            <w:tcW w:type="dxa" w:w="4100"/>
            <w:tcMar>
              <w:top w:type="dxa" w:w="60"/>
              <w:left w:type="dxa" w:w="100"/>
              <w:bottom w:type="dxa" w:w="60"/>
              <w:right w:type="dxa" w:w="100"/>
            </w:tcMar>
          </w:tcPr>
          <w:p>
            <w:pPr>
              <w:spacing w:after="0" w:line="250"/>
            </w:pPr>
            <w:r>
              <w:rPr>
                <w:b w:val="false"/>
                <w:bCs w:val="false"/>
                <w:sz w:val="20"/>
                <w:szCs w:val="20"/>
              </w:rPr>
              <w:t xml:space="preserve">App Group mandated from Phase 0, including the HealthKit anchor.</w:t>
            </w:r>
          </w:p>
        </w:tc>
        <w:tc>
          <w:tcPr>
            <w:tcW w:type="dxa" w:w="1760"/>
            <w:tcMar>
              <w:top w:type="dxa" w:w="60"/>
              <w:left w:type="dxa" w:w="100"/>
              <w:bottom w:type="dxa" w:w="60"/>
              <w:right w:type="dxa" w:w="100"/>
            </w:tcMar>
          </w:tcPr>
          <w:p>
            <w:pPr>
              <w:spacing w:after="0" w:line="250"/>
            </w:pPr>
            <w:r>
              <w:rPr>
                <w:b w:val="false"/>
                <w:bCs w:val="false"/>
                <w:sz w:val="20"/>
                <w:szCs w:val="20"/>
              </w:rPr>
              <w:t xml:space="preserve">§4.1, §4.2.2, §4.3, §4.6, §7</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Blanket exponential backoff applied to a 401 retries bad credentials indefinitely and can lock the Dexcom account the official app depends on.</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Auth failures stop immediately and prompt; only transient failures back off.</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§3.1.1, §4.2.3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An app cannot set brightness for its own window; UIScreen.main.brightness is global and persistent, and a crash leaves the device stuck dim.</w:t>
            </w:r>
          </w:p>
        </w:tc>
        <w:tc>
          <w:tcPr>
            <w:tcW w:type="dxa" w:w="4100"/>
            <w:tcMar>
              <w:top w:type="dxa" w:w="60"/>
              <w:left w:type="dxa" w:w="100"/>
              <w:bottom w:type="dxa" w:w="60"/>
              <w:right w:type="dxa" w:w="100"/>
            </w:tcMar>
          </w:tcPr>
          <w:p>
            <w:pPr>
              <w:spacing w:after="0" w:line="250"/>
            </w:pPr>
            <w:r>
              <w:rPr>
                <w:b w:val="false"/>
                <w:bCs w:val="false"/>
                <w:sz w:val="20"/>
                <w:szCs w:val="20"/>
              </w:rPr>
              <w:t xml:space="preserve">Bedside dimming reimplemented as a black overlay with adjustable opacity; optional system dimming requires capture and guaranteed restore.</w:t>
            </w:r>
          </w:p>
        </w:tc>
        <w:tc>
          <w:tcPr>
            <w:tcW w:type="dxa" w:w="1760"/>
            <w:tcMar>
              <w:top w:type="dxa" w:w="60"/>
              <w:left w:type="dxa" w:w="100"/>
              <w:bottom w:type="dxa" w:w="60"/>
              <w:right w:type="dxa" w:w="100"/>
            </w:tcMar>
          </w:tcPr>
          <w:p>
            <w:pPr>
              <w:spacing w:after="0" w:line="250"/>
            </w:pPr>
            <w:r>
              <w:rPr>
                <w:b w:val="false"/>
                <w:bCs w:val="false"/>
                <w:sz w:val="20"/>
                <w:szCs w:val="20"/>
              </w:rPr>
              <w:t xml:space="preserve">§5.3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Share auth flow, applicationId, Microsoft date format, and integer/string trend polymorphism were unspecified — each an established breakage source.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Full protocol spec added, with an instruction to pin against a maintained reference implementation.</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§4.2.3</w:t>
            </w:r>
          </w:p>
        </w:tc>
      </w:tr>
    </w:tbl>
    <w:p>
      <w:pPr>
        <w:pStyle w:val="Heading2"/>
        <w:spacing w:after="140" w:before="280"/>
      </w:pPr>
      <w:r>
        <w:rPr>
          <w:b w:val="false"/>
          <w:bCs w:val="false"/>
        </w:rPr>
        <w:t xml:space="preserve">B.2 Clinical &amp; Mathematical Errors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val="false"/>
                <w:bCs w:val="false"/>
                <w:sz w:val="20"/>
                <w:szCs w:val="20"/>
              </w:rPr>
              <w:t xml:space="preserve">Linear 4-hour IOB decay is wrong in shape (activity peaks, it does not decline linearly) and duration (5–6 hours, not 4). The error propagated into every prediction via the meal estimator.</w:t>
            </w:r>
          </w:p>
        </w:tc>
        <w:tc>
          <w:tcPr>
            <w:tcW w:type="dxa" w:w="4100"/>
            <w:tcMar>
              <w:top w:type="dxa" w:w="60"/>
              <w:left w:type="dxa" w:w="100"/>
              <w:bottom w:type="dxa" w:w="60"/>
              <w:right w:type="dxa" w:w="100"/>
            </w:tcMar>
          </w:tcPr>
          <w:p>
            <w:pPr>
              <w:spacing w:after="0" w:line="250"/>
            </w:pPr>
            <w:r>
              <w:rPr>
                <w:b w:val="false"/>
                <w:bCs w:val="false"/>
                <w:sz w:val="20"/>
                <w:szCs w:val="20"/>
              </w:rPr>
              <w:t xml:space="preserve">Bi-exponential LoopKit model with explicit formula; defaults peak 75 min / duration 360 min for rapid, 55/300 for ultra-rapid; all editable.</w:t>
            </w:r>
          </w:p>
        </w:tc>
        <w:tc>
          <w:tcPr>
            <w:tcW w:type="dxa" w:w="1760"/>
            <w:tcMar>
              <w:top w:type="dxa" w:w="60"/>
              <w:left w:type="dxa" w:w="100"/>
              <w:bottom w:type="dxa" w:w="60"/>
              <w:right w:type="dxa" w:w="100"/>
            </w:tcMar>
          </w:tcPr>
          <w:p>
            <w:pPr>
              <w:spacing w:after="0" w:line="250"/>
            </w:pPr>
            <w:r>
              <w:rPr>
                <w:b w:val="false"/>
                <w:bCs w:val="false"/>
                <w:sz w:val="20"/>
                <w:szCs w:val="20"/>
              </w:rPr>
              <w:t xml:space="preserve">§3.2.3, §4.4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Long-acting insulin was logged and fed into IOB undifferentiated, making the IOB figure meaningless.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Basal explicitly excluded from IOB; logged and displayed separately.</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§3.2.1, §4.3, §4.4</w:t>
            </w:r>
          </w:p>
        </w:tc>
      </w:tr>
      <w:tr>
        <w:tc>
          <w:tcPr>
            <w:tcW w:type="dxa" w:w="3500"/>
            <w:tcMar>
              <w:top w:type="dxa" w:w="60"/>
              <w:left w:type="dxa" w:w="100"/>
              <w:bottom w:type="dxa" w:w="60"/>
              <w:right w:type="dxa" w:w="100"/>
            </w:tcMar>
          </w:tcPr>
          <w:p>
            <w:pPr>
              <w:spacing w:after="0" w:line="250"/>
            </w:pPr>
            <w:r>
              <w:rPr>
                <w:b w:val="false"/>
                <w:bCs w:val="false"/>
                <w:sz w:val="20"/>
                <w:szCs w:val="20"/>
              </w:rPr>
              <w:t xml:space="preserve">MealResponseEstimator was mathematically impossible as specified — carbs-to-mg/dL needs ICR and insulin-to-mg/dL needs ISF, and neither existed in the settings or the data model.</w:t>
            </w:r>
          </w:p>
        </w:tc>
        <w:tc>
          <w:tcPr>
            <w:tcW w:type="dxa" w:w="4100"/>
            <w:tcMar>
              <w:top w:type="dxa" w:w="60"/>
              <w:left w:type="dxa" w:w="100"/>
              <w:bottom w:type="dxa" w:w="60"/>
              <w:right w:type="dxa" w:w="100"/>
            </w:tcMar>
          </w:tcPr>
          <w:p>
            <w:pPr>
              <w:spacing w:after="0" w:line="250"/>
            </w:pPr>
            <w:r>
              <w:rPr>
                <w:b w:val="false"/>
                <w:bCs w:val="false"/>
                <w:sz w:val="20"/>
                <w:szCs w:val="20"/>
              </w:rPr>
              <w:t xml:space="preserve">ISF and ICR added as required settings and model fields; explicit prediction formula; forecast disabled until both are entered.</w:t>
            </w:r>
          </w:p>
        </w:tc>
        <w:tc>
          <w:tcPr>
            <w:tcW w:type="dxa" w:w="1760"/>
            <w:tcMar>
              <w:top w:type="dxa" w:w="60"/>
              <w:left w:type="dxa" w:w="100"/>
              <w:bottom w:type="dxa" w:w="60"/>
              <w:right w:type="dxa" w:w="100"/>
            </w:tcMar>
          </w:tcPr>
          <w:p>
            <w:pPr>
              <w:spacing w:after="0" w:line="250"/>
            </w:pPr>
            <w:r>
              <w:rPr>
                <w:b w:val="false"/>
                <w:bCs w:val="false"/>
                <w:sz w:val="20"/>
                <w:szCs w:val="20"/>
              </w:rPr>
              <w:t xml:space="preserve">§3.1.6, §4.3, §4.4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GMI would have been computed for 3-hour windows, where it is meaningless.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Gated to windows ≥14 days with ≥70% capture; hidden otherwise. Formula stated explicitly.</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§3.1.5</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Three-band time-in-range does not match the consensus definition or any AGP report, despite AGP export being a stated goal.</w:t>
            </w:r>
          </w:p>
        </w:tc>
        <w:tc>
          <w:tcPr>
            <w:tcW w:type="dxa" w:w="4100"/>
            <w:tcMar>
              <w:top w:type="dxa" w:w="60"/>
              <w:left w:type="dxa" w:w="100"/>
              <w:bottom w:type="dxa" w:w="60"/>
              <w:right w:type="dxa" w:w="100"/>
            </w:tcMar>
          </w:tcPr>
          <w:p>
            <w:pPr>
              <w:spacing w:after="0" w:line="250"/>
            </w:pPr>
            <w:r>
              <w:rPr>
                <w:b w:val="false"/>
                <w:bCs w:val="false"/>
                <w:sz w:val="20"/>
                <w:szCs w:val="20"/>
              </w:rPr>
              <w:t xml:space="preserve">Five-band TIR with consensus thresholds and targets.</w:t>
            </w:r>
          </w:p>
        </w:tc>
        <w:tc>
          <w:tcPr>
            <w:tcW w:type="dxa" w:w="1760"/>
            <w:tcMar>
              <w:top w:type="dxa" w:w="60"/>
              <w:left w:type="dxa" w:w="100"/>
              <w:bottom w:type="dxa" w:w="60"/>
              <w:right w:type="dxa" w:w="100"/>
            </w:tcMar>
          </w:tcPr>
          <w:p>
            <w:pPr>
              <w:spacing w:after="0" w:line="250"/>
            </w:pPr>
            <w:r>
              <w:rPr>
                <w:b w:val="false"/>
                <w:bCs w:val="false"/>
                <w:sz w:val="20"/>
                <w:szCs w:val="20"/>
              </w:rPr>
              <w:t xml:space="preserve">§3.1.5</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Coefficient of variation — the standard variability metric — was absent; raw SD was reported instead.</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CV added and emphasised; SD retained but de-emphasised. Data-capture percentage added.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§3.1.5</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The described “AGP overlay” is a spaghetti plot, not an AGP; v3 then promised an AGP-styled PDF.</w:t>
            </w:r>
          </w:p>
        </w:tc>
        <w:tc>
          <w:tcPr>
            <w:tcW w:type="dxa" w:w="4100"/>
            <w:tcMar>
              <w:top w:type="dxa" w:w="60"/>
              <w:left w:type="dxa" w:w="100"/>
              <w:bottom w:type="dxa" w:w="60"/>
              <w:right w:type="dxa" w:w="100"/>
            </w:tcMar>
          </w:tcPr>
          <w:p>
            <w:pPr>
              <w:spacing w:after="0" w:line="250"/>
            </w:pPr>
            <w:r>
              <w:rPr>
                <w:b w:val="false"/>
                <w:bCs w:val="false"/>
                <w:sz w:val="20"/>
                <w:szCs w:val="20"/>
              </w:rPr>
              <w:t xml:space="preserve">Percentile-band computation (5/25/50/75/95 in 30-minute bins) specified in v1, making the v3 export a rendering task.</w:t>
            </w:r>
          </w:p>
        </w:tc>
        <w:tc>
          <w:tcPr>
            <w:tcW w:type="dxa" w:w="1760"/>
            <w:tcMar>
              <w:top w:type="dxa" w:w="60"/>
              <w:left w:type="dxa" w:w="100"/>
              <w:bottom w:type="dxa" w:w="60"/>
              <w:right w:type="dxa" w:w="100"/>
            </w:tcMar>
          </w:tcPr>
          <w:p>
            <w:pPr>
              <w:spacing w:after="0" w:line="250"/>
            </w:pPr>
            <w:r>
              <w:rPr>
                <w:b w:val="false"/>
                <w:bCs w:val="false"/>
                <w:sz w:val="20"/>
                <w:szCs w:val="20"/>
              </w:rPr>
              <w:t xml:space="preserve">§3.1.5, §3.3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The ±20 mg/dL / 80% accuracy target is passed by a naive persistence baseline, so it demonstrates nothing.</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Replaced with mandatory persistence-baseline comparison, zone-stratified error, and a Parkes error grid gate.</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§4.4, §10</w:t>
            </w:r>
          </w:p>
        </w:tc>
      </w:tr>
      <w:tr>
        <w:tc>
          <w:tcPr>
            <w:tcW w:type="dxa" w:w="3500"/>
            <w:tcMar>
              <w:top w:type="dxa" w:w="60"/>
              <w:left w:type="dxa" w:w="100"/>
              <w:bottom w:type="dxa" w:w="60"/>
              <w:right w:type="dxa" w:w="100"/>
            </w:tcMar>
          </w:tcPr>
          <w:p>
            <w:pPr>
              <w:spacing w:after="0" w:line="250"/>
            </w:pPr>
            <w:r>
              <w:rPr>
                <w:b w:val="false"/>
                <w:bCs w:val="false"/>
                <w:sz w:val="20"/>
                <w:szCs w:val="20"/>
              </w:rPr>
              <w:t xml:space="preserve">Undamped linear extrapolation overshoots at post-meal peaks and post-correction nadirs — the moments a forecast is actually consulted.</w:t>
            </w:r>
          </w:p>
        </w:tc>
        <w:tc>
          <w:tcPr>
            <w:tcW w:type="dxa" w:w="4100"/>
            <w:tcMar>
              <w:top w:type="dxa" w:w="60"/>
              <w:left w:type="dxa" w:w="100"/>
              <w:bottom w:type="dxa" w:w="60"/>
              <w:right w:type="dxa" w:w="100"/>
            </w:tcMar>
          </w:tcPr>
          <w:p>
            <w:pPr>
              <w:spacing w:after="0" w:line="250"/>
            </w:pPr>
            <w:r>
              <w:rPr>
                <w:b w:val="false"/>
                <w:bCs w:val="false"/>
                <w:sz w:val="20"/>
                <w:szCs w:val="20"/>
              </w:rPr>
              <w:t xml:space="preserve">Exponentially damped projection with a ±4 mg/dL/min slope clamp.</w:t>
            </w:r>
          </w:p>
        </w:tc>
        <w:tc>
          <w:tcPr>
            <w:tcW w:type="dxa" w:w="1760"/>
            <w:tcMar>
              <w:top w:type="dxa" w:w="60"/>
              <w:left w:type="dxa" w:w="100"/>
              <w:bottom w:type="dxa" w:w="60"/>
              <w:right w:type="dxa" w:w="100"/>
            </w:tcMar>
          </w:tcPr>
          <w:p>
            <w:pPr>
              <w:spacing w:after="0" w:line="250"/>
            </w:pPr>
            <w:r>
              <w:rPr>
                <w:b w:val="false"/>
                <w:bCs w:val="false"/>
                <w:sz w:val="20"/>
                <w:szCs w:val="20"/>
              </w:rPr>
              <w:t xml:space="preserve">§3.2.3, §4.4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A ±1 SD confidence band assumes stationary normal residuals; glucose forecast residuals are strongly heteroscedastic.</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Empirical 10th/90th percentile band from backtested errors, recomputed weekly.</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§3.2.3, §4.4, §8</w:t>
            </w:r>
          </w:p>
        </w:tc>
      </w:tr>
    </w:tbl>
    <w:p>
      <w:pPr>
        <w:pStyle w:val="Heading2"/>
        <w:spacing w:after="140" w:before="280"/>
      </w:pPr>
      <w:r>
        <w:rPr>
          <w:b w:val="false"/>
          <w:bCs w:val="false"/>
        </w:rPr>
        <w:t xml:space="preserve">B.3 Internal Contradictions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val="false"/>
                <w:bCs w:val="false"/>
                <w:sz w:val="20"/>
                <w:szCs w:val="20"/>
              </w:rPr>
              <w:t xml:space="preserve">Dedup rule contradicted itself: §3.1.1 said the earlier timestamp wins, §4.2.3 said the record with the most metadata wins.</w:t>
            </w:r>
          </w:p>
        </w:tc>
        <w:tc>
          <w:tcPr>
            <w:tcW w:type="dxa" w:w="4100"/>
            <w:tcMar>
              <w:top w:type="dxa" w:w="60"/>
              <w:left w:type="dxa" w:w="100"/>
              <w:bottom w:type="dxa" w:w="60"/>
              <w:right w:type="dxa" w:w="100"/>
            </w:tcMar>
          </w:tcPr>
          <w:p>
            <w:pPr>
              <w:spacing w:after="0" w:line="250"/>
            </w:pPr>
            <w:r>
              <w:rPr>
                <w:b w:val="false"/>
                <w:bCs w:val="false"/>
                <w:sz w:val="20"/>
                <w:szCs w:val="20"/>
              </w:rPr>
              <w:t xml:space="preserve">Neither — the records are merged, taking HealthKit's timestamp and Share's trend. Window widened from 60s to ±2.5 min.</w:t>
            </w:r>
          </w:p>
        </w:tc>
        <w:tc>
          <w:tcPr>
            <w:tcW w:type="dxa" w:w="1760"/>
            <w:tcMar>
              <w:top w:type="dxa" w:w="60"/>
              <w:left w:type="dxa" w:w="100"/>
              <w:bottom w:type="dxa" w:w="60"/>
              <w:right w:type="dxa" w:w="100"/>
            </w:tcMar>
          </w:tcPr>
          <w:p>
            <w:pPr>
              <w:spacing w:after="0" w:line="250"/>
            </w:pPr>
            <w:r>
              <w:rPr>
                <w:b w:val="false"/>
                <w:bCs w:val="false"/>
                <w:sz w:val="20"/>
                <w:szCs w:val="20"/>
              </w:rPr>
              <w:t xml:space="preserve">§3.1.1, §4.2.4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Widget and Watch complication appeared in v2 (§3.2.1) and v3 (§3.3, §4.5) simultaneously.</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Consolidated into v2 as §3.2.4 Glanceable Surfaces, with only the full Watch app and StandBy widgets left in v3.</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§3.2.4, §3.3, §4.6, §7</w:t>
            </w:r>
          </w:p>
        </w:tc>
      </w:tr>
      <w:tr>
        <w:tc>
          <w:tcPr>
            <w:tcW w:type="dxa" w:w="3500"/>
            <w:tcMar>
              <w:top w:type="dxa" w:w="60"/>
              <w:left w:type="dxa" w:w="100"/>
              <w:bottom w:type="dxa" w:w="60"/>
              <w:right w:type="dxa" w:w="100"/>
            </w:tcMar>
          </w:tcPr>
          <w:p>
            <w:pPr>
              <w:spacing w:after="0" w:line="250"/>
            </w:pPr>
            <w:r>
              <w:rPr>
                <w:b w:val="false"/>
                <w:bCs w:val="false"/>
                <w:sz w:val="20"/>
                <w:szCs w:val="20"/>
              </w:rPr>
              <w:t xml:space="preserve">§1.3 enforced a safety boundary on glucose alarms, but no alarm feature was specified anywhere in §3.</w:t>
            </w:r>
          </w:p>
        </w:tc>
        <w:tc>
          <w:tcPr>
            <w:tcW w:type="dxa" w:w="4100"/>
            <w:tcMar>
              <w:top w:type="dxa" w:w="60"/>
              <w:left w:type="dxa" w:w="100"/>
              <w:bottom w:type="dxa" w:w="60"/>
              <w:right w:type="dxa" w:w="100"/>
            </w:tcMar>
          </w:tcPr>
          <w:p>
            <w:pPr>
              <w:spacing w:after="0" w:line="250"/>
            </w:pPr>
            <w:r>
              <w:rPr>
                <w:b w:val="false"/>
                <w:bCs w:val="false"/>
                <w:sz w:val="20"/>
                <w:szCs w:val="20"/>
              </w:rPr>
              <w:t xml:space="preserve">Alarms excluded permanently, with the Critical Alerts entitlement as the concrete reason. Replaced by a pull-only predicted-low heads-up.</w:t>
            </w:r>
          </w:p>
        </w:tc>
        <w:tc>
          <w:tcPr>
            <w:tcW w:type="dxa" w:w="1760"/>
            <w:tcMar>
              <w:top w:type="dxa" w:w="60"/>
              <w:left w:type="dxa" w:w="100"/>
              <w:bottom w:type="dxa" w:w="60"/>
              <w:right w:type="dxa" w:w="100"/>
            </w:tcMar>
          </w:tcPr>
          <w:p>
            <w:pPr>
              <w:spacing w:after="0" w:line="250"/>
            </w:pPr>
            <w:r>
              <w:rPr>
                <w:b w:val="false"/>
                <w:bCs w:val="false"/>
                <w:sz w:val="20"/>
                <w:szCs w:val="20"/>
              </w:rPr>
              <w:t xml:space="preserve">§1.2, §1.3, §3.2.3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§2.1 defined the target user as someone maintaining a Share follower account; §4.2.4 defined a fully supported HealthKit-only mode.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Share described as optional throughout.</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§2.1, §4.2.5</w:t>
            </w:r>
          </w:p>
        </w:tc>
      </w:tr>
      <w:tr>
        <w:tc>
          <w:tcPr>
            <w:tcW w:type="dxa" w:w="3500"/>
            <w:tcMar>
              <w:top w:type="dxa" w:w="60"/>
              <w:left w:type="dxa" w:w="100"/>
              <w:bottom w:type="dxa" w:w="60"/>
              <w:right w:type="dxa" w:w="100"/>
            </w:tcMar>
          </w:tcPr>
          <w:p>
            <w:pPr>
              <w:spacing w:after="0" w:line="250"/>
            </w:pPr>
            <w:r>
              <w:rPr>
                <w:b w:val="false"/>
                <w:bCs w:val="false"/>
                <w:sz w:val="20"/>
                <w:szCs w:val="20"/>
              </w:rPr>
              <w:t xml:space="preserve">§3.1.2 omitted the source badge that §3.1.1 mandates — a v1.1 revision leftover.</w:t>
            </w:r>
          </w:p>
        </w:tc>
        <w:tc>
          <w:tcPr>
            <w:tcW w:type="dxa" w:w="4100"/>
            <w:tcMar>
              <w:top w:type="dxa" w:w="60"/>
              <w:left w:type="dxa" w:w="100"/>
              <w:bottom w:type="dxa" w:w="60"/>
              <w:right w:type="dxa" w:w="100"/>
            </w:tcMar>
          </w:tcPr>
          <w:p>
            <w:pPr>
              <w:spacing w:after="0" w:line="250"/>
            </w:pPr>
            <w:r>
              <w:rPr>
                <w:b w:val="false"/>
                <w:bCs w:val="false"/>
                <w:sz w:val="20"/>
                <w:szCs w:val="20"/>
              </w:rPr>
              <w:t xml:space="preserve">Badge added to the screen spec.</w:t>
            </w:r>
          </w:p>
        </w:tc>
        <w:tc>
          <w:tcPr>
            <w:tcW w:type="dxa" w:w="1760"/>
            <w:tcMar>
              <w:top w:type="dxa" w:w="60"/>
              <w:left w:type="dxa" w:w="100"/>
              <w:bottom w:type="dxa" w:w="60"/>
              <w:right w:type="dxa" w:w="100"/>
            </w:tcMar>
          </w:tcPr>
          <w:p>
            <w:pPr>
              <w:spacing w:after="0" w:line="250"/>
            </w:pPr>
            <w:r>
              <w:rPr>
                <w:b w:val="false"/>
                <w:bCs w:val="false"/>
                <w:sz w:val="20"/>
                <w:szCs w:val="20"/>
              </w:rPr>
              <w:t xml:space="preserve">§3.1.2</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§6 Privacy was never updated for the v1.1 dual-source change and said nothing about HealthKit.</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HealthKit handling, export handling, and diagnostics redaction specified.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§6</w:t>
            </w:r>
          </w:p>
        </w:tc>
      </w:tr>
      <w:tr>
        <w:tc>
          <w:tcPr>
            <w:tcW w:type="dxa" w:w="3500"/>
            <w:tcMar>
              <w:top w:type="dxa" w:w="60"/>
              <w:left w:type="dxa" w:w="100"/>
              <w:bottom w:type="dxa" w:w="60"/>
              <w:right w:type="dxa" w:w="100"/>
            </w:tcMar>
          </w:tcPr>
          <w:p>
            <w:pPr>
              <w:spacing w:after="0" w:line="250"/>
            </w:pPr>
            <w:r>
              <w:rPr>
                <w:b w:val="false"/>
                <w:bCs w:val="false"/>
                <w:sz w:val="20"/>
                <w:szCs w:val="20"/>
              </w:rPr>
              <w:t xml:space="preserve">§9 had no success criterion for source failover — the capability the v1.1 architecture rewrite existed to deliver.</w:t>
            </w:r>
          </w:p>
        </w:tc>
        <w:tc>
          <w:tcPr>
            <w:tcW w:type="dxa" w:w="4100"/>
            <w:tcMar>
              <w:top w:type="dxa" w:w="60"/>
              <w:left w:type="dxa" w:w="100"/>
              <w:bottom w:type="dxa" w:w="60"/>
              <w:right w:type="dxa" w:w="100"/>
            </w:tcMar>
          </w:tcPr>
          <w:p>
            <w:pPr>
              <w:spacing w:after="0" w:line="250"/>
            </w:pPr>
            <w:r>
              <w:rPr>
                <w:b w:val="false"/>
                <w:bCs w:val="false"/>
                <w:sz w:val="20"/>
                <w:szCs w:val="20"/>
              </w:rPr>
              <w:t xml:space="preserve">Resilience criterion added: sample completeness and maximum gap duration.</w:t>
            </w:r>
          </w:p>
        </w:tc>
        <w:tc>
          <w:tcPr>
            <w:tcW w:type="dxa" w:w="1760"/>
            <w:tcMar>
              <w:top w:type="dxa" w:w="60"/>
              <w:left w:type="dxa" w:w="100"/>
              <w:bottom w:type="dxa" w:w="60"/>
              <w:right w:type="dxa" w:w="100"/>
            </w:tcMar>
          </w:tcPr>
          <w:p>
            <w:pPr>
              <w:spacing w:after="0" w:line="250"/>
            </w:pPr>
            <w:r>
              <w:rPr>
                <w:b w:val="false"/>
                <w:bCs w:val="false"/>
                <w:sz w:val="20"/>
                <w:szCs w:val="20"/>
              </w:rPr>
              <w:t xml:space="preserve">§10</w:t>
            </w:r>
          </w:p>
        </w:tc>
      </w:tr>
    </w:tbl>
    <w:p>
      <w:pPr>
        <w:pStyle w:val="Heading2"/>
        <w:spacing w:after="140" w:before="280"/>
      </w:pPr>
      <w:r>
        <w:rPr>
          <w:b w:val="false"/>
          <w:bCs w:val="false"/>
        </w:rPr>
        <w:t xml:space="preserve">B.4 Specification Gaps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val="false"/>
                <w:bCs w:val="false"/>
                <w:sz w:val="20"/>
                <w:szCs w:val="20"/>
              </w:rPr>
              <w:t xml:space="preserve">No sensor lifecycle model; a routine 30-minute G7 warmup would have rendered as a staleness failure every 10 days.</w:t>
            </w:r>
          </w:p>
        </w:tc>
        <w:tc>
          <w:tcPr>
            <w:tcW w:type="dxa" w:w="4100"/>
            <w:tcMar>
              <w:top w:type="dxa" w:w="60"/>
              <w:left w:type="dxa" w:w="100"/>
              <w:bottom w:type="dxa" w:w="60"/>
              <w:right w:type="dxa" w:w="100"/>
            </w:tcMar>
          </w:tcPr>
          <w:p>
            <w:pPr>
              <w:spacing w:after="0" w:line="250"/>
            </w:pPr>
            <w:r>
              <w:rPr>
                <w:b w:val="false"/>
                <w:bCs w:val="false"/>
                <w:sz w:val="20"/>
                <w:szCs w:val="20"/>
              </w:rPr>
              <w:t xml:space="preserve">New §3.1.3 with six explicit states, plus a sensor session dashboard.</w:t>
            </w:r>
          </w:p>
        </w:tc>
        <w:tc>
          <w:tcPr>
            <w:tcW w:type="dxa" w:w="1760"/>
            <w:tcMar>
              <w:top w:type="dxa" w:w="60"/>
              <w:left w:type="dxa" w:w="100"/>
              <w:bottom w:type="dxa" w:w="60"/>
              <w:right w:type="dxa" w:w="100"/>
            </w:tcMar>
          </w:tcPr>
          <w:p>
            <w:pPr>
              <w:spacing w:after="0" w:line="250"/>
            </w:pPr>
            <w:r>
              <w:rPr>
                <w:b w:val="false"/>
                <w:bCs w:val="false"/>
                <w:sz w:val="20"/>
                <w:szCs w:val="20"/>
              </w:rPr>
              <w:t xml:space="preserve">§3.1.2, §3.1.3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No handling for values at the G7's 40–400 mg/dL rails; a bounded sentinel would display as a measurement.</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LOW/HIGH sentinel rendering and model flags.</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§3.1.2, §4.2.3, §4.3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Dexcom backfills and revises readings; insert-only persistence accumulates duplicates that corrupt every aggregate.</w:t>
            </w:r>
          </w:p>
        </w:tc>
        <w:tc>
          <w:tcPr>
            <w:tcW w:type="dxa" w:w="4100"/>
            <w:tcMar>
              <w:top w:type="dxa" w:w="60"/>
              <w:left w:type="dxa" w:w="100"/>
              <w:bottom w:type="dxa" w:w="60"/>
              <w:right w:type="dxa" w:w="100"/>
            </w:tcMar>
          </w:tcPr>
          <w:p>
            <w:pPr>
              <w:spacing w:after="0" w:line="250"/>
            </w:pPr>
            <w:r>
              <w:rPr>
                <w:b w:val="false"/>
                <w:bCs w:val="false"/>
                <w:sz w:val="20"/>
                <w:szCs w:val="20"/>
              </w:rPr>
              <w:t xml:space="preserve">Upsert-by-sample-time semantics; HealthKit deletions handled.</w:t>
            </w:r>
          </w:p>
        </w:tc>
        <w:tc>
          <w:tcPr>
            <w:tcW w:type="dxa" w:w="1760"/>
            <w:tcMar>
              <w:top w:type="dxa" w:w="60"/>
              <w:left w:type="dxa" w:w="100"/>
              <w:bottom w:type="dxa" w:w="60"/>
              <w:right w:type="dxa" w:w="100"/>
            </w:tcMar>
          </w:tcPr>
          <w:p>
            <w:pPr>
              <w:spacing w:after="0" w:line="250"/>
            </w:pPr>
            <w:r>
              <w:rPr>
                <w:b w:val="false"/>
                <w:bCs w:val="false"/>
                <w:sz w:val="20"/>
                <w:szCs w:val="20"/>
              </w:rPr>
              <w:t xml:space="preserve">§3.1.1, §4.2.2, §4.2.4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A 90-day window is ~26,000 points; handing that to Swift Charts stutters, and an unbounded @Query materialises the store into a view body.</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New §4.5: downsampling with min/max preservation, DailyAggregate, bounded predicates.</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§4.5</w:t>
            </w:r>
          </w:p>
        </w:tc>
      </w:tr>
      <w:tr>
        <w:tc>
          <w:tcPr>
            <w:tcW w:type="dxa" w:w="3500"/>
            <w:tcMar>
              <w:top w:type="dxa" w:w="60"/>
              <w:left w:type="dxa" w:w="100"/>
              <w:bottom w:type="dxa" w:w="60"/>
              <w:right w:type="dxa" w:w="100"/>
            </w:tcMar>
          </w:tcPr>
          <w:p>
            <w:pPr>
              <w:spacing w:after="0" w:line="250"/>
            </w:pPr>
            <w:r>
              <w:rPr>
                <w:b w:val="false"/>
                <w:bCs w:val="false"/>
                <w:sz w:val="20"/>
                <w:szCs w:val="20"/>
              </w:rPr>
              <w:t xml:space="preserve">SwiftData was chosen for migrations, then no migration plan was given despite committed model changes at v2 and v3.</w:t>
            </w:r>
          </w:p>
        </w:tc>
        <w:tc>
          <w:tcPr>
            <w:tcW w:type="dxa" w:w="4100"/>
            <w:tcMar>
              <w:top w:type="dxa" w:w="60"/>
              <w:left w:type="dxa" w:w="100"/>
              <w:bottom w:type="dxa" w:w="60"/>
              <w:right w:type="dxa" w:w="100"/>
            </w:tcMar>
          </w:tcPr>
          <w:p>
            <w:pPr>
              <w:spacing w:after="0" w:line="250"/>
            </w:pPr>
            <w:r>
              <w:rPr>
                <w:b w:val="false"/>
                <w:bCs w:val="false"/>
                <w:sz w:val="20"/>
                <w:szCs w:val="20"/>
              </w:rPr>
              <w:t xml:space="preserve">VersionedSchema and SchemaMigrationPlan from v1, with per-version migration tests.</w:t>
            </w:r>
          </w:p>
        </w:tc>
        <w:tc>
          <w:tcPr>
            <w:tcW w:type="dxa" w:w="1760"/>
            <w:tcMar>
              <w:top w:type="dxa" w:w="60"/>
              <w:left w:type="dxa" w:w="100"/>
              <w:bottom w:type="dxa" w:w="60"/>
              <w:right w:type="dxa" w:w="100"/>
            </w:tcMar>
          </w:tcPr>
          <w:p>
            <w:pPr>
              <w:spacing w:after="0" w:line="250"/>
            </w:pPr>
            <w:r>
              <w:rPr>
                <w:b w:val="false"/>
                <w:bCs w:val="false"/>
                <w:sz w:val="20"/>
                <w:szCs w:val="20"/>
              </w:rPr>
              <w:t xml:space="preserve">§4.3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No retention policy, and the 90-day backfill window means older data exists only if the app was running.</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Retention policy defined; nothing auto-deleted.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No export or backup before v3 iCloud — a single point of failure for years of irreplaceable medical history.</w:t>
            </w:r>
          </w:p>
        </w:tc>
        <w:tc>
          <w:tcPr>
            <w:tcW w:type="dxa" w:w="4100"/>
            <w:tcMar>
              <w:top w:type="dxa" w:w="60"/>
              <w:left w:type="dxa" w:w="100"/>
              <w:bottom w:type="dxa" w:w="60"/>
              <w:right w:type="dxa" w:w="100"/>
            </w:tcMar>
          </w:tcPr>
          <w:p>
            <w:pPr>
              <w:spacing w:after="0" w:line="250"/>
            </w:pPr>
            <w:r>
              <w:rPr>
                <w:b w:val="false"/>
                <w:bCs w:val="false"/>
                <w:sz w:val="20"/>
                <w:szCs w:val="20"/>
              </w:rPr>
              <w:t xml:space="preserve">New §3.1.7 shipping in v1: CSV/JSON, database backup/restore, Nightscout format.</w:t>
            </w:r>
          </w:p>
        </w:tc>
        <w:tc>
          <w:tcPr>
            <w:tcW w:type="dxa" w:w="1760"/>
            <w:tcMar>
              <w:top w:type="dxa" w:w="60"/>
              <w:left w:type="dxa" w:w="100"/>
              <w:bottom w:type="dxa" w:w="60"/>
              <w:right w:type="dxa" w:w="100"/>
            </w:tcMar>
          </w:tcPr>
          <w:p>
            <w:pPr>
              <w:spacing w:after="0" w:line="250"/>
            </w:pPr>
            <w:r>
              <w:rPr>
                <w:b w:val="false"/>
                <w:bCs w:val="false"/>
                <w:sz w:val="20"/>
                <w:szCs w:val="20"/>
              </w:rPr>
              <w:t xml:space="preserve">§3.1.7, §7</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Exercise was logged with type, duration, and intensity, then used only as a timeline glyph despite being a major driver of glucose response.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Exercise sensitivity multiplier feeds the forecast; HealthKit workouts auto-suggest entries.</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§3.2.1, §3.2.3, §4.4</w:t>
            </w:r>
          </w:p>
        </w:tc>
      </w:tr>
      <w:tr>
        <w:tc>
          <w:tcPr>
            <w:tcW w:type="dxa" w:w="3500"/>
            <w:tcMar>
              <w:top w:type="dxa" w:w="60"/>
              <w:left w:type="dxa" w:w="100"/>
              <w:bottom w:type="dxa" w:w="60"/>
              <w:right w:type="dxa" w:w="100"/>
            </w:tcMar>
          </w:tcPr>
          <w:p>
            <w:pPr>
              <w:spacing w:after="0" w:line="250"/>
            </w:pPr>
            <w:r>
              <w:rPr>
                <w:b w:val="false"/>
                <w:bCs w:val="false"/>
                <w:sz w:val="20"/>
                <w:szCs w:val="20"/>
              </w:rPr>
              <w:t xml:space="preserve">Client-side trend thresholds were unspecified, so computed arrows would have disagreed with the official app.</w:t>
            </w:r>
          </w:p>
        </w:tc>
        <w:tc>
          <w:tcPr>
            <w:tcW w:type="dxa" w:w="4100"/>
            <w:tcMar>
              <w:top w:type="dxa" w:w="60"/>
              <w:left w:type="dxa" w:w="100"/>
              <w:bottom w:type="dxa" w:w="60"/>
              <w:right w:type="dxa" w:w="100"/>
            </w:tcMar>
          </w:tcPr>
          <w:p>
            <w:pPr>
              <w:spacing w:after="0" w:line="250"/>
            </w:pPr>
            <w:r>
              <w:rPr>
                <w:b w:val="false"/>
                <w:bCs w:val="false"/>
                <w:sz w:val="20"/>
                <w:szCs w:val="20"/>
              </w:rPr>
              <w:t xml:space="preserve">New §4.2.6 with Dexcom's published rate bands and the non-computable cases.</w:t>
            </w:r>
          </w:p>
        </w:tc>
        <w:tc>
          <w:tcPr>
            <w:tcW w:type="dxa" w:w="1760"/>
            <w:tcMar>
              <w:top w:type="dxa" w:w="60"/>
              <w:left w:type="dxa" w:w="100"/>
              <w:bottom w:type="dxa" w:w="60"/>
              <w:right w:type="dxa" w:w="100"/>
            </w:tcMar>
          </w:tcPr>
          <w:p>
            <w:pPr>
              <w:spacing w:after="0" w:line="250"/>
            </w:pPr>
            <w:r>
              <w:rPr>
                <w:b w:val="false"/>
                <w:bCs w:val="false"/>
                <w:sz w:val="20"/>
                <w:szCs w:val="20"/>
              </w:rPr>
              <w:t xml:space="preserve">§4.2.6</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Trend was described as seven states; the Share API returns ten, including None, NotComputable, and RateOutOfRange.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Non-arrow states specified and given a neutral glyph.</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§3.1.2, §4.2.6</w:t>
            </w:r>
          </w:p>
        </w:tc>
      </w:tr>
      <w:tr>
        <w:tc>
          <w:tcPr>
            <w:tcW w:type="dxa" w:w="3500"/>
            <w:tcMar>
              <w:top w:type="dxa" w:w="60"/>
              <w:left w:type="dxa" w:w="100"/>
              <w:bottom w:type="dxa" w:w="60"/>
              <w:right w:type="dxa" w:w="100"/>
            </w:tcMar>
          </w:tcPr>
          <w:p>
            <w:pPr>
              <w:spacing w:after="0" w:line="250"/>
            </w:pPr>
            <w:r>
              <w:rPr>
                <w:b w:val="false"/>
                <w:bCs w:val="false"/>
                <w:sz w:val="20"/>
                <w:szCs w:val="20"/>
              </w:rPr>
              <w:t xml:space="preserve">VoiceOver and chart accessibility unaddressed; Swift Charts is opaque to screen readers by default.</w:t>
            </w:r>
          </w:p>
        </w:tc>
        <w:tc>
          <w:tcPr>
            <w:tcW w:type="dxa" w:w="4100"/>
            <w:tcMar>
              <w:top w:type="dxa" w:w="60"/>
              <w:left w:type="dxa" w:w="100"/>
              <w:bottom w:type="dxa" w:w="60"/>
              <w:right w:type="dxa" w:w="100"/>
            </w:tcMar>
          </w:tcPr>
          <w:p>
            <w:pPr>
              <w:spacing w:after="0" w:line="250"/>
            </w:pPr>
            <w:r>
              <w:rPr>
                <w:b w:val="false"/>
                <w:bCs w:val="false"/>
                <w:sz w:val="20"/>
                <w:szCs w:val="20"/>
              </w:rPr>
              <w:t xml:space="preserve">New §5.4, including AXChartDescriptor, composed hero labels, and Reduce Motion / Increase Contrast behaviour.</w:t>
            </w:r>
          </w:p>
        </w:tc>
        <w:tc>
          <w:tcPr>
            <w:tcW w:type="dxa" w:w="1760"/>
            <w:tcMar>
              <w:top w:type="dxa" w:w="60"/>
              <w:left w:type="dxa" w:w="100"/>
              <w:bottom w:type="dxa" w:w="60"/>
              <w:right w:type="dxa" w:w="100"/>
            </w:tcMar>
          </w:tcPr>
          <w:p>
            <w:pPr>
              <w:spacing w:after="0" w:line="250"/>
            </w:pPr>
            <w:r>
              <w:rPr>
                <w:b w:val="false"/>
                <w:bCs w:val="false"/>
                <w:sz w:val="20"/>
                <w:szCs w:val="20"/>
              </w:rPr>
              <w:t xml:space="preserve">§5.4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A 96pt hero number cannot survive accessibility Dynamic Type sizes.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Scaling cap with layout reflow, verified at AX5.</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§5.2</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The claim that HealthKit glucose lags 15–30 minutes was a G6-era figure driving the entire architecture, and was never verified for G7.</w:t>
            </w:r>
          </w:p>
        </w:tc>
        <w:tc>
          <w:tcPr>
            <w:tcW w:type="dxa" w:w="4100"/>
            <w:tcMar>
              <w:top w:type="dxa" w:w="60"/>
              <w:left w:type="dxa" w:w="100"/>
              <w:bottom w:type="dxa" w:w="60"/>
              <w:right w:type="dxa" w:w="100"/>
            </w:tcMar>
          </w:tcPr>
          <w:p>
            <w:pPr>
              <w:spacing w:after="0" w:line="250"/>
            </w:pPr>
            <w:r>
              <w:rPr>
                <w:b w:val="false"/>
                <w:bCs w:val="false"/>
                <w:sz w:val="20"/>
                <w:szCs w:val="20"/>
              </w:rPr>
              <w:t xml:space="preserve">Made an explicit Phase 1 measurement with a defined method and a blocking exit criterion; downstream product decisions named.</w:t>
            </w:r>
          </w:p>
        </w:tc>
        <w:tc>
          <w:tcPr>
            <w:tcW w:type="dxa" w:w="1760"/>
            <w:tcMar>
              <w:top w:type="dxa" w:w="60"/>
              <w:left w:type="dxa" w:w="100"/>
              <w:bottom w:type="dxa" w:w="60"/>
              <w:right w:type="dxa" w:w="100"/>
            </w:tcMar>
          </w:tcPr>
          <w:p>
            <w:pPr>
              <w:spacing w:after="0" w:line="250"/>
            </w:pPr>
            <w:r>
              <w:rPr>
                <w:b w:val="false"/>
                <w:bCs w:val="false"/>
                <w:sz w:val="20"/>
                <w:szCs w:val="20"/>
              </w:rPr>
              <w:t xml:space="preserve">§1.3, §4.2.2, §7, §9</w:t>
            </w:r>
          </w:p>
        </w:tc>
      </w:tr>
    </w:tbl>
    <w:p>
      <w:pPr>
        <w:pStyle w:val="Heading2"/>
        <w:spacing w:after="140" w:before="280"/>
      </w:pPr>
      <w:r>
        <w:rPr>
          <w:b w:val="false"/>
          <w:bCs w:val="false"/>
        </w:rPr>
        <w:t xml:space="preserve">B.5 Corrections &amp; Refinements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val="false"/>
                <w:bCs w:val="false"/>
                <w:sz w:val="20"/>
                <w:szCs w:val="20"/>
              </w:rPr>
              <w:t xml:space="preserve">range.low (#FF453A) and range.urgent (#FF2D55) are near-identical hues, and that is the most safety-critical distinction in the app.</w:t>
            </w:r>
          </w:p>
        </w:tc>
        <w:tc>
          <w:tcPr>
            <w:tcW w:type="dxa" w:w="4100"/>
            <w:tcMar>
              <w:top w:type="dxa" w:w="60"/>
              <w:left w:type="dxa" w:w="100"/>
              <w:bottom w:type="dxa" w:w="60"/>
              <w:right w:type="dxa" w:w="100"/>
            </w:tcMar>
          </w:tcPr>
          <w:p>
            <w:pPr>
              <w:spacing w:after="0" w:line="250"/>
            </w:pPr>
            <w:r>
              <w:rPr>
                <w:b w:val="false"/>
                <w:bCs w:val="false"/>
                <w:sz w:val="20"/>
                <w:szCs w:val="20"/>
              </w:rPr>
              <w:t xml:space="preserve">Urgent distinguished by treatment rather than hue: fill-plus-white-text versus coloured text, plus a distinct glyph.</w:t>
            </w:r>
          </w:p>
        </w:tc>
        <w:tc>
          <w:tcPr>
            <w:tcW w:type="dxa" w:w="1760"/>
            <w:tcMar>
              <w:top w:type="dxa" w:w="60"/>
              <w:left w:type="dxa" w:w="100"/>
              <w:bottom w:type="dxa" w:w="60"/>
              <w:right w:type="dxa" w:w="100"/>
            </w:tcMar>
          </w:tcPr>
          <w:p>
            <w:pPr>
              <w:spacing w:after="0" w:line="250"/>
            </w:pPr>
            <w:r>
              <w:rPr>
                <w:b w:val="false"/>
                <w:bCs w:val="false"/>
                <w:sz w:val="20"/>
                <w:szCs w:val="20"/>
              </w:rPr>
              <w:t xml:space="preserve">§5.1</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Freshness text — the most safety-relevant string on screen — used the dimmest token in the system at 13pt.</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New text.freshness token; measured contrast reported.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§5.1</w:t>
            </w:r>
          </w:p>
        </w:tc>
      </w:tr>
      <w:tr>
        <w:tc>
          <w:tcPr>
            <w:tcW w:type="dxa" w:w="3500"/>
            <w:tcMar>
              <w:top w:type="dxa" w:w="60"/>
              <w:left w:type="dxa" w:w="100"/>
              <w:bottom w:type="dxa" w:w="60"/>
              <w:right w:type="dxa" w:w="100"/>
            </w:tcMar>
          </w:tcPr>
          <w:p>
            <w:pPr>
              <w:spacing w:after="0" w:line="250"/>
            </w:pPr>
            <w:r>
              <w:rPr>
                <w:b w:val="false"/>
                <w:bCs w:val="false"/>
                <w:sz w:val="20"/>
                <w:szCs w:val="20"/>
              </w:rPr>
              <w:t xml:space="preserve">“96pt Bold is a true OLED-friendly weight” is backwards; a heavier glyph lights more pixels and increases night glare.</w:t>
            </w:r>
          </w:p>
        </w:tc>
        <w:tc>
          <w:tcPr>
            <w:tcW w:type="dxa" w:w="4100"/>
            <w:tcMar>
              <w:top w:type="dxa" w:w="60"/>
              <w:left w:type="dxa" w:w="100"/>
              <w:bottom w:type="dxa" w:w="60"/>
              <w:right w:type="dxa" w:w="100"/>
            </w:tcMar>
          </w:tcPr>
          <w:p>
            <w:pPr>
              <w:spacing w:after="0" w:line="250"/>
            </w:pPr>
            <w:r>
              <w:rPr>
                <w:b w:val="false"/>
                <w:bCs w:val="false"/>
                <w:sz w:val="20"/>
                <w:szCs w:val="20"/>
              </w:rPr>
              <w:t xml:space="preserve">Rationale corrected; Bold retained for legibility; Bedside Mode drops to Medium.</w:t>
            </w:r>
          </w:p>
        </w:tc>
        <w:tc>
          <w:tcPr>
            <w:tcW w:type="dxa" w:w="1760"/>
            <w:tcMar>
              <w:top w:type="dxa" w:w="60"/>
              <w:left w:type="dxa" w:w="100"/>
              <w:bottom w:type="dxa" w:w="60"/>
              <w:right w:type="dxa" w:w="100"/>
            </w:tcMar>
          </w:tcPr>
          <w:p>
            <w:pPr>
              <w:spacing w:after="0" w:line="250"/>
            </w:pPr>
            <w:r>
              <w:rPr>
                <w:b w:val="false"/>
                <w:bCs w:val="false"/>
                <w:sz w:val="20"/>
                <w:szCs w:val="20"/>
              </w:rPr>
              <w:t xml:space="preserve">§5.2, §5.3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“Single tap anywhere exits Bedside Mode” conflicts with the tappable timeline and fires on accidental wake-taps.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Deliberate exit gesture: two-finger tap or long-press on the hero number.</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§5.3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Staleness amber at 10 minutes fires on a single missed reading — routine — and trains the user to ignore it.</w:t>
            </w:r>
          </w:p>
        </w:tc>
        <w:tc>
          <w:tcPr>
            <w:tcW w:type="dxa" w:w="4100"/>
            <w:tcMar>
              <w:top w:type="dxa" w:w="60"/>
              <w:left w:type="dxa" w:w="100"/>
              <w:bottom w:type="dxa" w:w="60"/>
              <w:right w:type="dxa" w:w="100"/>
            </w:tcMar>
          </w:tcPr>
          <w:p>
            <w:pPr>
              <w:spacing w:after="0" w:line="250"/>
            </w:pPr>
            <w:r>
              <w:rPr>
                <w:b w:val="false"/>
                <w:bCs w:val="false"/>
                <w:sz w:val="20"/>
                <w:szCs w:val="20"/>
              </w:rPr>
              <w:t xml:space="preserve">Thresholds moved to 12 and 30 minutes; arrow and forecast hidden in the critical state.</w:t>
            </w:r>
          </w:p>
        </w:tc>
        <w:tc>
          <w:tcPr>
            <w:tcW w:type="dxa" w:w="1760"/>
            <w:tcMar>
              <w:top w:type="dxa" w:w="60"/>
              <w:left w:type="dxa" w:w="100"/>
              <w:bottom w:type="dxa" w:w="60"/>
              <w:right w:type="dxa" w:w="100"/>
            </w:tcMar>
          </w:tcPr>
          <w:p>
            <w:pPr>
              <w:spacing w:after="0" w:line="250"/>
            </w:pPr>
            <w:r>
              <w:rPr>
                <w:b w:val="false"/>
                <w:bCs w:val="false"/>
                <w:sz w:val="20"/>
                <w:szCs w:val="20"/>
              </w:rPr>
              <w:t xml:space="preserve">§1.3, §3.1.2</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“No third-party servers” is inaccurate while Share is a data source.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Reworded to “no servers beyond Dexcom's own.”</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§6</w:t>
            </w:r>
          </w:p>
        </w:tc>
      </w:tr>
      <w:tr>
        <w:tc>
          <w:tcPr>
            <w:tcW w:type="dxa" w:w="3500"/>
            <w:tcMar>
              <w:top w:type="dxa" w:w="60"/>
              <w:left w:type="dxa" w:w="100"/>
              <w:bottom w:type="dxa" w:w="60"/>
              <w:right w:type="dxa" w:w="100"/>
            </w:tcMar>
          </w:tcPr>
          <w:p>
            <w:pPr>
              <w:spacing w:after="0" w:line="250"/>
            </w:pPr>
            <w:r>
              <w:rPr>
                <w:b w:val="false"/>
                <w:bCs w:val="false"/>
                <w:sz w:val="20"/>
                <w:szCs w:val="20"/>
              </w:rPr>
              <w:t xml:space="preserve">photoData stored inline in SwiftData bloats the store and slows unrelated queries.</w:t>
            </w:r>
          </w:p>
        </w:tc>
        <w:tc>
          <w:tcPr>
            <w:tcW w:type="dxa" w:w="4100"/>
            <w:tcMar>
              <w:top w:type="dxa" w:w="60"/>
              <w:left w:type="dxa" w:w="100"/>
              <w:bottom w:type="dxa" w:w="60"/>
              <w:right w:type="dxa" w:w="100"/>
            </w:tcMar>
          </w:tcPr>
          <w:p>
            <w:pPr>
              <w:spacing w:after="0" w:line="250"/>
            </w:pPr>
            <w:r>
              <w:rPr>
                <w:b w:val="false"/>
                <w:bCs w:val="false"/>
                <w:sz w:val="20"/>
                <w:szCs w:val="20"/>
              </w:rPr>
              <w:t xml:space="preserve">@Attribute(.externalStorage).</w:t>
            </w:r>
          </w:p>
        </w:tc>
        <w:tc>
          <w:tcPr>
            <w:tcW w:type="dxa" w:w="1760"/>
            <w:tcMar>
              <w:top w:type="dxa" w:w="60"/>
              <w:left w:type="dxa" w:w="100"/>
              <w:bottom w:type="dxa" w:w="60"/>
              <w:right w:type="dxa" w:w="100"/>
            </w:tcMar>
          </w:tcPr>
          <w:p>
            <w:pPr>
              <w:spacing w:after="0" w:line="250"/>
            </w:pPr>
            <w:r>
              <w:rPr>
                <w:b w:val="false"/>
                <w:bCs w:val="false"/>
                <w:sz w:val="20"/>
                <w:szCs w:val="20"/>
              </w:rPr>
              <w:t xml:space="preserve">§4.3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iOS 17 minimum is conservative for a single-user app with no market, and inherits iOS 17 SwiftData's known problems.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Minimum raised to the current major release, with the rationale stated.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§4.1</w:t>
            </w:r>
          </w:p>
        </w:tc>
      </w:tr>
      <w:tr>
        <w:tc>
          <w:tcPr>
            <w:tcW w:type="dxa" w:w="3500"/>
            <w:tcMar>
              <w:top w:type="dxa" w:w="60"/>
              <w:left w:type="dxa" w:w="100"/>
              <w:bottom w:type="dxa" w:w="60"/>
              <w:right w:type="dxa" w:w="100"/>
            </w:tcMar>
          </w:tcPr>
          <w:p>
            <w:pPr>
              <w:spacing w:after="0" w:line="250"/>
            </w:pPr>
            <w:r>
              <w:rPr>
                <w:b w:val="false"/>
                <w:bCs w:val="false"/>
                <w:sz w:val="20"/>
                <w:szCs w:val="20"/>
              </w:rPr>
              <w:t xml:space="preserve">Swift 6 strict concurrency and SwiftData interact badly; ModelContext is not Sendable.</w:t>
            </w:r>
          </w:p>
        </w:tc>
        <w:tc>
          <w:tcPr>
            <w:tcW w:type="dxa" w:w="4100"/>
            <w:tcMar>
              <w:top w:type="dxa" w:w="60"/>
              <w:left w:type="dxa" w:w="100"/>
              <w:bottom w:type="dxa" w:w="60"/>
              <w:right w:type="dxa" w:w="100"/>
            </w:tcMar>
          </w:tcPr>
          <w:p>
            <w:pPr>
              <w:spacing w:after="0" w:line="250"/>
            </w:pPr>
            <w:r>
              <w:rPr>
                <w:b w:val="false"/>
                <w:bCs w:val="false"/>
                <w:sz w:val="20"/>
                <w:szCs w:val="20"/>
              </w:rPr>
              <w:t xml:space="preserve">All writes routed through a @ModelActor; noted in the stack table.</w:t>
            </w:r>
          </w:p>
        </w:tc>
        <w:tc>
          <w:tcPr>
            <w:tcW w:type="dxa" w:w="1760"/>
            <w:tcMar>
              <w:top w:type="dxa" w:w="60"/>
              <w:left w:type="dxa" w:w="100"/>
              <w:bottom w:type="dxa" w:w="60"/>
              <w:right w:type="dxa" w:w="100"/>
            </w:tcMar>
          </w:tcPr>
          <w:p>
            <w:pPr>
              <w:spacing w:after="0" w:line="250"/>
            </w:pPr>
            <w:r>
              <w:rPr>
                <w:b w:val="false"/>
                <w:bCs w:val="false"/>
                <w:sz w:val="20"/>
                <w:szCs w:val="20"/>
              </w:rPr>
              <w:t xml:space="preserve">§4.1, §4.3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CI signing in a one-weekend Phase 0 is a disproportionate time sink for a personal app.</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CI does build and test only; signing deferred until TestFlight is actually needed.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§7</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“TIR improves by any measurable amount” is not measurable — TIR swings several points week to week on its own.</w:t>
            </w:r>
          </w:p>
        </w:tc>
        <w:tc>
          <w:tcPr>
            <w:tcW w:type="dxa" w:w="4100"/>
            <w:tcMar>
              <w:top w:type="dxa" w:w="60"/>
              <w:left w:type="dxa" w:w="100"/>
              <w:bottom w:type="dxa" w:w="60"/>
              <w:right w:type="dxa" w:w="100"/>
            </w:tcMar>
          </w:tcPr>
          <w:p>
            <w:pPr>
              <w:spacing w:after="0" w:line="250"/>
            </w:pPr>
            <w:r>
              <w:rPr>
                <w:b w:val="false"/>
                <w:bCs w:val="false"/>
                <w:sz w:val="20"/>
                <w:szCs w:val="20"/>
              </w:rPr>
              <w:t xml:space="preserve">Threshold set at 5 percentage points sustained over 30 days against a defined pre-install baseline; attribution explicitly not claimed.</w:t>
            </w:r>
          </w:p>
        </w:tc>
        <w:tc>
          <w:tcPr>
            <w:tcW w:type="dxa" w:w="1760"/>
            <w:tcMar>
              <w:top w:type="dxa" w:w="60"/>
              <w:left w:type="dxa" w:w="100"/>
              <w:bottom w:type="dxa" w:w="60"/>
              <w:right w:type="dxa" w:w="100"/>
            </w:tcMar>
          </w:tcPr>
          <w:p>
            <w:pPr>
              <w:spacing w:after="0" w:line="250"/>
            </w:pPr>
            <w:r>
              <w:rPr>
                <w:b w:val="false"/>
                <w:bCs w:val="false"/>
                <w:sz w:val="20"/>
                <w:szCs w:val="20"/>
              </w:rPr>
              <w:t xml:space="preserve">§10</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The Japan Share endpoint was missing from the region toggle.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share.dexcom.jp added.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§3.1.1, §4.2.3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The regulatory position was framed as intent-based; the actual boundary is distribution.</w:t>
            </w:r>
          </w:p>
        </w:tc>
        <w:tc>
          <w:tcPr>
            <w:tcW w:type="dxa" w:w="4100"/>
            <w:tcMar>
              <w:top w:type="dxa" w:w="60"/>
              <w:left w:type="dxa" w:w="100"/>
              <w:bottom w:type="dxa" w:w="60"/>
              <w:right w:type="dxa" w:w="100"/>
            </w:tcMar>
          </w:tcPr>
          <w:p>
            <w:pPr>
              <w:spacing w:after="0" w:line="250"/>
            </w:pPr>
            <w:r>
              <w:rPr>
                <w:b w:val="false"/>
                <w:bCs w:val="false"/>
                <w:sz w:val="20"/>
                <w:szCs w:val="20"/>
              </w:rPr>
              <w:t xml:space="preserve">New §1.4 stating the personal-use position, the line, the ToS issue, and why the official Dexcom API is unusable.</w:t>
            </w:r>
          </w:p>
        </w:tc>
        <w:tc>
          <w:tcPr>
            <w:tcW w:type="dxa" w:w="1760"/>
            <w:tcMar>
              <w:top w:type="dxa" w:w="60"/>
              <w:left w:type="dxa" w:w="100"/>
              <w:bottom w:type="dxa" w:w="60"/>
              <w:right w:type="dxa" w:w="100"/>
            </w:tcMar>
          </w:tcPr>
          <w:p>
            <w:pPr>
              <w:spacing w:after="0" w:line="250"/>
            </w:pPr>
            <w:r>
              <w:rPr>
                <w:b w:val="false"/>
                <w:bCs w:val="false"/>
                <w:sz w:val="20"/>
                <w:szCs w:val="20"/>
              </w:rPr>
              <w:t xml:space="preserve">§1.4</w:t>
            </w:r>
          </w:p>
        </w:tc>
      </w:tr>
    </w:tbl>
    <w:p>
      <w:pPr>
        <w:pStyle w:val="Heading2"/>
        <w:spacing w:after="140" w:before="280"/>
      </w:pPr>
      <w:r>
        <w:rPr>
          <w:b w:val="false"/>
          <w:bCs w:val="false"/>
        </w:rPr>
        <w:t xml:space="preserve">B.6 Features Added</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Feature</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Rationale</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val="false"/>
                <w:bCs w:val="false"/>
                <w:sz w:val="20"/>
                <w:szCs w:val="20"/>
              </w:rPr>
              <w:t xml:space="preserve">Live Activity and Dynamic Island</w:t>
            </w:r>
          </w:p>
        </w:tc>
        <w:tc>
          <w:tcPr>
            <w:tcW w:type="dxa" w:w="4100"/>
            <w:tcMar>
              <w:top w:type="dxa" w:w="60"/>
              <w:left w:type="dxa" w:w="100"/>
              <w:bottom w:type="dxa" w:w="60"/>
              <w:right w:type="dxa" w:w="100"/>
            </w:tcMar>
          </w:tcPr>
          <w:p>
            <w:pPr>
              <w:spacing w:after="0" w:line="250"/>
            </w:pPr>
            <w:r>
              <w:rPr>
                <w:b w:val="false"/>
                <w:bCs w:val="false"/>
                <w:sz w:val="20"/>
                <w:szCs w:val="20"/>
              </w:rPr>
              <w:t xml:space="preserve">The primary use case is 20–50 daily glances. A persistent Lock Screen reading absorbs most of them without opening anything, and it is the single change that most affects daily experience.</w:t>
            </w:r>
          </w:p>
        </w:tc>
        <w:tc>
          <w:tcPr>
            <w:tcW w:type="dxa" w:w="1760"/>
            <w:tcMar>
              <w:top w:type="dxa" w:w="60"/>
              <w:left w:type="dxa" w:w="100"/>
              <w:bottom w:type="dxa" w:w="60"/>
              <w:right w:type="dxa" w:w="100"/>
            </w:tcMar>
          </w:tcPr>
          <w:p>
            <w:pPr>
              <w:spacing w:after="0" w:line="250"/>
            </w:pPr>
            <w:r>
              <w:rPr>
                <w:b w:val="false"/>
                <w:bCs w:val="false"/>
                <w:sz w:val="20"/>
                <w:szCs w:val="20"/>
              </w:rPr>
              <w:t xml:space="preserve">§3.2.4 (v2)</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Apple Watch complication, reading HealthKit directly</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Glances happen at the wrist. Direct HealthKit access avoids WatchConnectivity, which would make the most-used surface the least fresh.</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§3.2.4 (v2)</w:t>
            </w:r>
          </w:p>
        </w:tc>
      </w:tr>
      <w:tr>
        <w:tc>
          <w:tcPr>
            <w:tcW w:type="dxa" w:w="3500"/>
            <w:tcMar>
              <w:top w:type="dxa" w:w="60"/>
              <w:left w:type="dxa" w:w="100"/>
              <w:bottom w:type="dxa" w:w="60"/>
              <w:right w:type="dxa" w:w="100"/>
            </w:tcMar>
          </w:tcPr>
          <w:p>
            <w:pPr>
              <w:spacing w:after="0" w:line="250"/>
            </w:pPr>
            <w:r>
              <w:rPr>
                <w:b w:val="false"/>
                <w:bCs w:val="false"/>
                <w:sz w:val="20"/>
                <w:szCs w:val="20"/>
              </w:rPr>
              <w:t xml:space="preserve">App Intents for logging and querying</w:t>
            </w:r>
          </w:p>
        </w:tc>
        <w:tc>
          <w:tcPr>
            <w:tcW w:type="dxa" w:w="4100"/>
            <w:tcMar>
              <w:top w:type="dxa" w:w="60"/>
              <w:left w:type="dxa" w:w="100"/>
              <w:bottom w:type="dxa" w:w="60"/>
              <w:right w:type="dxa" w:w="100"/>
            </w:tcMar>
          </w:tcPr>
          <w:p>
            <w:pPr>
              <w:spacing w:after="0" w:line="250"/>
            </w:pPr>
            <w:r>
              <w:rPr>
                <w:b w:val="false"/>
                <w:bCs w:val="false"/>
                <w:sz w:val="20"/>
                <w:szCs w:val="20"/>
              </w:rPr>
              <w:t xml:space="preserve">The fastest logging path available, serving the sub-30-second target. One implementation yields Siri, Shortcuts, Spotlight, and interactive widgets.</w:t>
            </w:r>
          </w:p>
        </w:tc>
        <w:tc>
          <w:tcPr>
            <w:tcW w:type="dxa" w:w="1760"/>
            <w:tcMar>
              <w:top w:type="dxa" w:w="60"/>
              <w:left w:type="dxa" w:w="100"/>
              <w:bottom w:type="dxa" w:w="60"/>
              <w:right w:type="dxa" w:w="100"/>
            </w:tcMar>
          </w:tcPr>
          <w:p>
            <w:pPr>
              <w:spacing w:after="0" w:line="250"/>
            </w:pPr>
            <w:r>
              <w:rPr>
                <w:b w:val="false"/>
                <w:bCs w:val="false"/>
                <w:sz w:val="20"/>
                <w:szCs w:val="20"/>
              </w:rPr>
              <w:t xml:space="preserve">§3.2.4 (v2)</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Sensor session dashboard</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Nearly free once the lifecycle state machine exists, and answers a question that currently requires opening the Dexcom app.</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§3.1.3 (v1)</w:t>
            </w:r>
          </w:p>
        </w:tc>
      </w:tr>
      <w:tr>
        <w:tc>
          <w:tcPr>
            <w:tcW w:type="dxa" w:w="3500"/>
            <w:tcMar>
              <w:top w:type="dxa" w:w="60"/>
              <w:left w:type="dxa" w:w="100"/>
              <w:bottom w:type="dxa" w:w="60"/>
              <w:right w:type="dxa" w:w="100"/>
            </w:tcMar>
          </w:tcPr>
          <w:p>
            <w:pPr>
              <w:spacing w:after="0" w:line="250"/>
            </w:pPr>
            <w:r>
              <w:rPr>
                <w:b w:val="false"/>
                <w:bCs w:val="false"/>
                <w:sz w:val="20"/>
                <w:szCs w:val="20"/>
              </w:rPr>
              <w:t xml:space="preserve">Meal fingerprinting</w:t>
            </w:r>
          </w:p>
        </w:tc>
        <w:tc>
          <w:tcPr>
            <w:tcW w:type="dxa" w:w="4100"/>
            <w:tcMar>
              <w:top w:type="dxa" w:w="60"/>
              <w:left w:type="dxa" w:w="100"/>
              <w:bottom w:type="dxa" w:w="60"/>
              <w:right w:type="dxa" w:w="100"/>
            </w:tcMar>
          </w:tcPr>
          <w:p>
            <w:pPr>
              <w:spacing w:after="0" w:line="250"/>
            </w:pPr>
            <w:r>
              <w:rPr>
                <w:b w:val="false"/>
                <w:bCs w:val="false"/>
                <w:sz w:val="20"/>
                <w:szCs w:val="20"/>
              </w:rPr>
              <w:t xml:space="preserve">The feature the official app structurally cannot offer, and the payoff that justifies the logging discipline v2 asks for. Promoted from a v3 line item.</w:t>
            </w:r>
          </w:p>
        </w:tc>
        <w:tc>
          <w:tcPr>
            <w:tcW w:type="dxa" w:w="1760"/>
            <w:tcMar>
              <w:top w:type="dxa" w:w="60"/>
              <w:left w:type="dxa" w:w="100"/>
              <w:bottom w:type="dxa" w:w="60"/>
              <w:right w:type="dxa" w:w="100"/>
            </w:tcMar>
          </w:tcPr>
          <w:p>
            <w:pPr>
              <w:spacing w:after="0" w:line="250"/>
            </w:pPr>
            <w:r>
              <w:rPr>
                <w:b w:val="false"/>
                <w:bCs w:val="false"/>
                <w:sz w:val="20"/>
                <w:szCs w:val="20"/>
              </w:rPr>
              <w:t xml:space="preserve">§3.2.5 (v2)</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Overnight report card with compression-low detection</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High value for T1D at low cost; flagging artifacts prevents over-correcting patterns that were never real and keeps them out of the forecast error statistics.</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§3.2.6 (v2)</w:t>
            </w:r>
          </w:p>
        </w:tc>
      </w:tr>
      <w:tr>
        <w:tc>
          <w:tcPr>
            <w:tcW w:type="dxa" w:w="3500"/>
            <w:tcMar>
              <w:top w:type="dxa" w:w="60"/>
              <w:left w:type="dxa" w:w="100"/>
              <w:bottom w:type="dxa" w:w="60"/>
              <w:right w:type="dxa" w:w="100"/>
            </w:tcMar>
          </w:tcPr>
          <w:p>
            <w:pPr>
              <w:spacing w:after="0" w:line="250"/>
            </w:pPr>
            <w:r>
              <w:rPr>
                <w:b w:val="false"/>
                <w:bCs w:val="false"/>
                <w:sz w:val="20"/>
                <w:szCs w:val="20"/>
              </w:rPr>
              <w:t xml:space="preserve">Extended HealthKit context reads (sleep, workouts, steps, carbs, insulin)</w:t>
            </w:r>
          </w:p>
        </w:tc>
        <w:tc>
          <w:tcPr>
            <w:tcW w:type="dxa" w:w="4100"/>
            <w:tcMar>
              <w:top w:type="dxa" w:w="60"/>
              <w:left w:type="dxa" w:w="100"/>
              <w:bottom w:type="dxa" w:w="60"/>
              <w:right w:type="dxa" w:w="100"/>
            </w:tcMar>
          </w:tcPr>
          <w:p>
            <w:pPr>
              <w:spacing w:after="0" w:line="250"/>
            </w:pPr>
            <w:r>
              <w:rPr>
                <w:b w:val="false"/>
                <w:bCs w:val="false"/>
                <w:sz w:val="20"/>
                <w:szCs w:val="20"/>
              </w:rPr>
              <w:t xml:space="preserve">The plumbing already exists. Each read reduces manual logging, which §10 identifies as the primary adoption risk.</w:t>
            </w:r>
          </w:p>
        </w:tc>
        <w:tc>
          <w:tcPr>
            <w:tcW w:type="dxa" w:w="1760"/>
            <w:tcMar>
              <w:top w:type="dxa" w:w="60"/>
              <w:left w:type="dxa" w:w="100"/>
              <w:bottom w:type="dxa" w:w="60"/>
              <w:right w:type="dxa" w:w="100"/>
            </w:tcMar>
          </w:tcPr>
          <w:p>
            <w:pPr>
              <w:spacing w:after="0" w:line="250"/>
            </w:pPr>
            <w:r>
              <w:rPr>
                <w:b w:val="false"/>
                <w:bCs w:val="false"/>
                <w:sz w:val="20"/>
                <w:szCs w:val="20"/>
              </w:rPr>
              <w:t xml:space="preserve">§3.1.1, §3.2.1</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Bolus outcome review</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Reuses the prediction engine with no new math, closes the logging-to-learning loop, and stays retrospective — so it serves dosing accuracy without recommending a dose.</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§3.2.7 (v2)</w:t>
            </w:r>
          </w:p>
        </w:tc>
      </w:tr>
      <w:tr>
        <w:tc>
          <w:tcPr>
            <w:tcW w:type="dxa" w:w="3500"/>
            <w:tcMar>
              <w:top w:type="dxa" w:w="60"/>
              <w:left w:type="dxa" w:w="100"/>
              <w:bottom w:type="dxa" w:w="60"/>
              <w:right w:type="dxa" w:w="100"/>
            </w:tcMar>
          </w:tcPr>
          <w:p>
            <w:pPr>
              <w:spacing w:after="0" w:line="250"/>
            </w:pPr>
            <w:r>
              <w:rPr>
                <w:b w:val="false"/>
                <w:bCs w:val="false"/>
                <w:sz w:val="20"/>
                <w:szCs w:val="20"/>
              </w:rPr>
              <w:t xml:space="preserve">Predicted-low heads-up, pull-only</w:t>
            </w:r>
          </w:p>
        </w:tc>
        <w:tc>
          <w:tcPr>
            <w:tcW w:type="dxa" w:w="4100"/>
            <w:tcMar>
              <w:top w:type="dxa" w:w="60"/>
              <w:left w:type="dxa" w:w="100"/>
              <w:bottom w:type="dxa" w:w="60"/>
              <w:right w:type="dxa" w:w="100"/>
            </w:tcMar>
          </w:tcPr>
          <w:p>
            <w:pPr>
              <w:spacing w:after="0" w:line="250"/>
            </w:pPr>
            <w:r>
              <w:rPr>
                <w:b w:val="false"/>
                <w:bCs w:val="false"/>
                <w:sz w:val="20"/>
                <w:szCs w:val="20"/>
              </w:rPr>
              <w:t xml:space="preserve">The most valuable forecast output, delivered without crossing the alarm boundary. The official app keeps the alarm; GlucoNoir keeps the foresight.</w:t>
            </w:r>
          </w:p>
        </w:tc>
        <w:tc>
          <w:tcPr>
            <w:tcW w:type="dxa" w:w="1760"/>
            <w:tcMar>
              <w:top w:type="dxa" w:w="60"/>
              <w:left w:type="dxa" w:w="100"/>
              <w:bottom w:type="dxa" w:w="60"/>
              <w:right w:type="dxa" w:w="100"/>
            </w:tcMar>
          </w:tcPr>
          <w:p>
            <w:pPr>
              <w:spacing w:after="0" w:line="250"/>
            </w:pPr>
            <w:r>
              <w:rPr>
                <w:b w:val="false"/>
                <w:bCs w:val="false"/>
                <w:sz w:val="20"/>
                <w:szCs w:val="20"/>
              </w:rPr>
              <w:t xml:space="preserve">§3.2.3 (v2)</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Auto-generated endo prep</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More useful in a 15-minute appointment than a raw AGP page.</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§3.3 (v3)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Replay and simulator mode</w:t>
            </w:r>
          </w:p>
        </w:tc>
        <w:tc>
          <w:tcPr>
            <w:tcW w:type="dxa" w:w="4100"/>
            <w:tcMar>
              <w:top w:type="dxa" w:w="60"/>
              <w:left w:type="dxa" w:w="100"/>
              <w:bottom w:type="dxa" w:w="60"/>
              <w:right w:type="dxa" w:w="100"/>
            </w:tcMar>
          </w:tcPr>
          <w:p>
            <w:pPr>
              <w:spacing w:after="0" w:line="250"/>
            </w:pPr>
            <w:r>
              <w:rPr>
                <w:b w:val="false"/>
                <w:bCs w:val="false"/>
                <w:sz w:val="20"/>
                <w:szCs w:val="20"/>
              </w:rPr>
              <w:t xml:space="preserve">Required to develop during sensor warmup and to make Phase 2's 24-hour failure-injection exit criterion an automated test rather than a vigil.</w:t>
            </w:r>
          </w:p>
        </w:tc>
        <w:tc>
          <w:tcPr>
            <w:tcW w:type="dxa" w:w="1760"/>
            <w:tcMar>
              <w:top w:type="dxa" w:w="60"/>
              <w:left w:type="dxa" w:w="100"/>
              <w:bottom w:type="dxa" w:w="60"/>
              <w:right w:type="dxa" w:w="100"/>
            </w:tcMar>
          </w:tcPr>
          <w:p>
            <w:pPr>
              <w:spacing w:after="0" w:line="250"/>
            </w:pPr>
            <w:r>
              <w:rPr>
                <w:b w:val="false"/>
                <w:bCs w:val="false"/>
                <w:sz w:val="20"/>
                <w:szCs w:val="20"/>
              </w:rPr>
              <w:t xml:space="preserve">§4.5, §7</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Rescue-carb calculator — deliberately excluded</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Two lines of code once ISF and ICR exist, and squarely across the §1.2 line. Recorded as a permanent non-goal so future work does not drift into it.</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§1.2</w:t>
            </w:r>
          </w:p>
        </w:tc>
      </w:tr>
    </w:tbl>
    <w:p>
      <w:pPr>
        <w:pStyle w:val="Heading2"/>
        <w:spacing w:after="140" w:before="280"/>
      </w:pPr>
      <w:r>
        <w:rPr>
          <w:b w:val="false"/>
          <w:bCs w:val="false"/>
        </w:rPr>
        <w:t xml:space="preserve">B.7 v1.3 Findings — Data Source Architecture</w:t>
      </w:r>
    </w:p>
    <w:p>
      <w:pPr>
        <w:spacing w:after="120" w:line="276"/>
      </w:pPr>
      <w:r>
        <w:rPr>
          <w:b w:val="false"/>
          <w:bCs w:val="false"/>
        </w:rPr>
        <w:t xml:space="preserve">A second review pass, verified against primary sources rather than recalled. This pass overturned the central architectural decision of both prior revisions.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bCs/>
                <w:sz w:val="20"/>
                <w:szCs w:val="20"/>
              </w:rPr>
              <w:t xml:space="preserve">Apple HealthKit carries a documented three-hour delay</w:t>
            </w:r>
            <w:r>
              <w:rPr>
                <w:b w:val="false"/>
                <w:bCs w:val="false"/>
                <w:sz w:val="20"/>
                <w:szCs w:val="20"/>
              </w:rPr>
              <w:t xml:space="preserve"> for Dexcom G7 data, not the 15–30 minutes assumed in v1.1. v1.2 compounded this by promoting HealthKit to primary live source and background wake mechanism — it would have shown a three-hour-old value at 3am.</w:t>
            </w:r>
          </w:p>
        </w:tc>
        <w:tc>
          <w:tcPr>
            <w:tcW w:type="dxa" w:w="4100"/>
            <w:tcMar>
              <w:top w:type="dxa" w:w="60"/>
              <w:left w:type="dxa" w:w="100"/>
              <w:bottom w:type="dxa" w:w="60"/>
              <w:right w:type="dxa" w:w="100"/>
            </w:tcMar>
          </w:tcPr>
          <w:p>
            <w:pPr>
              <w:spacing w:after="0" w:line="250"/>
            </w:pPr>
            <w:r>
              <w:rPr>
                <w:b w:val="false"/>
                <w:bCs w:val="false"/>
                <w:sz w:val="20"/>
                <w:szCs w:val="20"/>
              </w:rPr>
              <w:t xml:space="preserve">HealthKit demoted to historical backfill only, where the delay is irrelevant. It is structurally barred from supplying the displayed current value.</w:t>
            </w:r>
          </w:p>
        </w:tc>
        <w:tc>
          <w:tcPr>
            <w:tcW w:type="dxa" w:w="1760"/>
            <w:tcMar>
              <w:top w:type="dxa" w:w="60"/>
              <w:left w:type="dxa" w:w="100"/>
              <w:bottom w:type="dxa" w:w="60"/>
              <w:right w:type="dxa" w:w="100"/>
            </w:tcMar>
          </w:tcPr>
          <w:p>
            <w:pPr>
              <w:spacing w:after="0" w:line="250"/>
            </w:pPr>
            <w:r>
              <w:rPr>
                <w:b w:val="false"/>
                <w:bCs w:val="false"/>
                <w:sz w:val="20"/>
                <w:szCs w:val="20"/>
              </w:rPr>
              <w:t xml:space="preserve">§1, §1.3, §3.1.1, §4.2.3</w:t>
            </w:r>
          </w:p>
        </w:tc>
      </w:tr>
      <w:tr>
        <w:tc>
          <w:tcPr>
            <w:tcW w:type="dxa" w:w="3500"/>
            <w:shd w:fill="F5F8FC" w:color="auto" w:val="clear"/>
            <w:tcMar>
              <w:top w:type="dxa" w:w="60"/>
              <w:left w:type="dxa" w:w="100"/>
              <w:bottom w:type="dxa" w:w="60"/>
              <w:right w:type="dxa" w:w="100"/>
            </w:tcMar>
          </w:tcPr>
          <w:p>
            <w:pPr>
              <w:spacing w:after="0" w:line="250"/>
            </w:pPr>
            <w:r>
              <w:rPr>
                <w:b/>
                <w:bCs/>
                <w:sz w:val="20"/>
                <w:szCs w:val="20"/>
              </w:rPr>
              <w:t xml:space="preserve">Direct BLE to the sensor was never considered</w:t>
            </w:r>
            <w:r>
              <w:rPr>
                <w:b w:val="false"/>
                <w:bCs w:val="false"/>
                <w:sz w:val="20"/>
                <w:szCs w:val="20"/>
              </w:rPr>
              <w:t xml:space="preserve"> in either revision, despite being the only source that is both real-time and independent of any network.</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Direct Bluetooth via G7SensorKit (LoopKit, MIT) is now the primary source. Latency drops from minutes to seconds and the app works with no internet at all.</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§1, §3.1.1, §4.1, §4.2.2</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The G7 exposes only </w:t>
            </w:r>
            <w:r>
              <w:rPr>
                <w:b/>
                <w:bCs/>
                <w:sz w:val="20"/>
                <w:szCs w:val="20"/>
              </w:rPr>
              <w:t xml:space="preserve">three Bluetooth channels</w:t>
            </w:r>
            <w:r>
              <w:rPr>
                <w:b w:val="false"/>
                <w:bCs w:val="false"/>
                <w:sz w:val="20"/>
                <w:szCs w:val="20"/>
              </w:rPr>
              <w:t xml:space="preserve"> (phone, watch, receiver/AID), and the phone channel is held by the official app.</w:t>
            </w:r>
          </w:p>
        </w:tc>
        <w:tc>
          <w:tcPr>
            <w:tcW w:type="dxa" w:w="4100"/>
            <w:tcMar>
              <w:top w:type="dxa" w:w="60"/>
              <w:left w:type="dxa" w:w="100"/>
              <w:bottom w:type="dxa" w:w="60"/>
              <w:right w:type="dxa" w:w="100"/>
            </w:tcMar>
          </w:tcPr>
          <w:p>
            <w:pPr>
              <w:spacing w:after="0" w:line="250"/>
            </w:pPr>
            <w:r>
              <w:rPr>
                <w:b w:val="false"/>
                <w:bCs w:val="false"/>
                <w:sz w:val="20"/>
                <w:szCs w:val="20"/>
              </w:rPr>
              <w:t xml:space="preserve">Explicit channel budget documented. GlucoNoir occupies the receiver/AID channel; this user runs Direct to Watch and owns no receiver, so all three are allocated with none spare.</w:t>
            </w:r>
          </w:p>
        </w:tc>
        <w:tc>
          <w:tcPr>
            <w:tcW w:type="dxa" w:w="1760"/>
            <w:tcMar>
              <w:top w:type="dxa" w:w="60"/>
              <w:left w:type="dxa" w:w="100"/>
              <w:bottom w:type="dxa" w:w="60"/>
              <w:right w:type="dxa" w:w="100"/>
            </w:tcMar>
          </w:tcPr>
          <w:p>
            <w:pPr>
              <w:spacing w:after="0" w:line="250"/>
            </w:pPr>
            <w:r>
              <w:rPr>
                <w:b w:val="false"/>
                <w:bCs w:val="false"/>
                <w:sz w:val="20"/>
                <w:szCs w:val="20"/>
              </w:rPr>
              <w:t xml:space="preserve">§3.1.1</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Whether a third BLE client degrades the official app's connection </w:t>
            </w:r>
            <w:r>
              <w:rPr>
                <w:b/>
                <w:bCs/>
                <w:sz w:val="20"/>
                <w:szCs w:val="20"/>
              </w:rPr>
              <w:t xml:space="preserve">cannot be determined by reasoning</w:t>
            </w:r>
            <w:r>
              <w:rPr>
                <w:b w:val="false"/>
                <w:bCs w:val="false"/>
                <w:sz w:val="20"/>
                <w:szCs w:val="20"/>
              </w:rPr>
              <w:t xml:space="preserve"> — and that app is the safety-critical alarm source.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Phase 1 is now a minimal 48-hour BLE spike whose exit criterion includes no degradation of the official app. It blocks all downstream work.</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§7, §9</w:t>
            </w:r>
          </w:p>
        </w:tc>
      </w:tr>
      <w:tr>
        <w:tc>
          <w:tcPr>
            <w:tcW w:type="dxa" w:w="3500"/>
            <w:tcMar>
              <w:top w:type="dxa" w:w="60"/>
              <w:left w:type="dxa" w:w="100"/>
              <w:bottom w:type="dxa" w:w="60"/>
              <w:right w:type="dxa" w:w="100"/>
            </w:tcMar>
          </w:tcPr>
          <w:p>
            <w:pPr>
              <w:spacing w:after="0" w:line="250"/>
            </w:pPr>
            <w:r>
              <w:rPr>
                <w:b/>
                <w:bCs/>
                <w:sz w:val="20"/>
                <w:szCs w:val="20"/>
              </w:rPr>
              <w:t xml:space="preserve">Share authenticates with the account holder's own credentials</w:t>
            </w:r>
            <w:r>
              <w:rPr>
                <w:b w:val="false"/>
                <w:bCs w:val="false"/>
                <w:sz w:val="20"/>
                <w:szCs w:val="20"/>
              </w:rPr>
              <w:t xml:space="preserve">, not a follower's. Both prior revisions instructed the opposite.</w:t>
            </w:r>
          </w:p>
        </w:tc>
        <w:tc>
          <w:tcPr>
            <w:tcW w:type="dxa" w:w="4100"/>
            <w:tcMar>
              <w:top w:type="dxa" w:w="60"/>
              <w:left w:type="dxa" w:w="100"/>
              <w:bottom w:type="dxa" w:w="60"/>
              <w:right w:type="dxa" w:w="100"/>
            </w:tcMar>
          </w:tcPr>
          <w:p>
            <w:pPr>
              <w:spacing w:after="0" w:line="250"/>
            </w:pPr>
            <w:r>
              <w:rPr>
                <w:b w:val="false"/>
                <w:bCs w:val="false"/>
                <w:sz w:val="20"/>
                <w:szCs w:val="20"/>
              </w:rPr>
              <w:t xml:space="preserve">Corrected. A follower must merely exist for Share to be enabled; you never log in as one.</w:t>
            </w:r>
          </w:p>
        </w:tc>
        <w:tc>
          <w:tcPr>
            <w:tcW w:type="dxa" w:w="1760"/>
            <w:tcMar>
              <w:top w:type="dxa" w:w="60"/>
              <w:left w:type="dxa" w:w="100"/>
              <w:bottom w:type="dxa" w:w="60"/>
              <w:right w:type="dxa" w:w="100"/>
            </w:tcMar>
          </w:tcPr>
          <w:p>
            <w:pPr>
              <w:spacing w:after="0" w:line="250"/>
            </w:pPr>
            <w:r>
              <w:rPr>
                <w:b w:val="false"/>
                <w:bCs w:val="false"/>
                <w:sz w:val="20"/>
                <w:szCs w:val="20"/>
              </w:rPr>
              <w:t xml:space="preserve">§4.2.4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v1.2's six invented sensor-lifecycle states were guesswork.</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Replaced with the sensor's own </w:t>
            </w:r>
            <w:r>
              <w:rPr>
                <w:rFonts w:ascii="Consolas" w:cs="Consolas" w:eastAsia="Consolas" w:hAnsi="Consolas"/>
                <w:b w:val="false"/>
                <w:bCs w:val="false"/>
                <w:sz w:val="19"/>
                <w:szCs w:val="19"/>
              </w:rPr>
              <w:t xml:space="preserve">algorithmState</w:t>
            </w:r>
            <w:r>
              <w:rPr>
                <w:b w:val="false"/>
                <w:bCs w:val="false"/>
                <w:sz w:val="20"/>
                <w:szCs w:val="20"/>
              </w:rPr>
              <w:t xml:space="preserve"> — 26 states including distinct failure modes — grouped into seven display states.</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Share endpoints, applicationId constants, and the integer-to-string </w:t>
            </w:r>
            <w:r>
              <w:rPr>
                <w:rFonts w:ascii="Consolas" w:cs="Consolas" w:eastAsia="Consolas" w:hAnsi="Consolas"/>
                <w:b w:val="false"/>
                <w:bCs w:val="false"/>
                <w:sz w:val="19"/>
                <w:szCs w:val="19"/>
              </w:rPr>
              <w:t xml:space="preserve">Trend</w:t>
            </w:r>
            <w:r>
              <w:rPr>
                <w:b w:val="false"/>
                <w:bCs w:val="false"/>
                <w:sz w:val="20"/>
                <w:szCs w:val="20"/>
              </w:rPr>
              <w:t xml:space="preserve"> change were specified from memory.</w:t>
            </w:r>
          </w:p>
        </w:tc>
        <w:tc>
          <w:tcPr>
            <w:tcW w:type="dxa" w:w="4100"/>
            <w:tcMar>
              <w:top w:type="dxa" w:w="60"/>
              <w:left w:type="dxa" w:w="100"/>
              <w:bottom w:type="dxa" w:w="60"/>
              <w:right w:type="dxa" w:w="100"/>
            </w:tcMar>
          </w:tcPr>
          <w:p>
            <w:pPr>
              <w:spacing w:after="0" w:line="250"/>
            </w:pPr>
            <w:r>
              <w:rPr>
                <w:b w:val="false"/>
                <w:bCs w:val="false"/>
                <w:sz w:val="20"/>
                <w:szCs w:val="20"/>
              </w:rPr>
              <w:t xml:space="preserve">Verified against pydexcom source. Two-step auth flow, per-region applicationId values, and string trend decoding all confirmed and documented.</w:t>
            </w:r>
          </w:p>
        </w:tc>
        <w:tc>
          <w:tcPr>
            <w:tcW w:type="dxa" w:w="1760"/>
            <w:tcMar>
              <w:top w:type="dxa" w:w="60"/>
              <w:left w:type="dxa" w:w="100"/>
              <w:bottom w:type="dxa" w:w="60"/>
              <w:right w:type="dxa" w:w="100"/>
            </w:tcMar>
          </w:tcPr>
          <w:p>
            <w:pPr>
              <w:spacing w:after="0" w:line="250"/>
            </w:pPr>
            <w:r>
              <w:rPr>
                <w:b w:val="false"/>
                <w:bCs w:val="false"/>
                <w:sz w:val="20"/>
                <w:szCs w:val="20"/>
              </w:rPr>
              <w:t xml:space="preserve">§4.2.4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The background wake mechanism was wrong in both revisions — BGAppRefreshTask is a heuristic, HealthKit delivery is punctual but stale.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CoreBluetooth state preservation and restoration. The sensor's own 5-minute transmission drives the cadence.</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§4.2.1</w:t>
            </w:r>
          </w:p>
        </w:tc>
      </w:tr>
      <w:tr>
        <w:tc>
          <w:tcPr>
            <w:tcW w:type="dxa" w:w="3500"/>
            <w:tcMar>
              <w:top w:type="dxa" w:w="60"/>
              <w:left w:type="dxa" w:w="100"/>
              <w:bottom w:type="dxa" w:w="60"/>
              <w:right w:type="dxa" w:w="100"/>
            </w:tcMar>
          </w:tcPr>
          <w:p>
            <w:pPr>
              <w:spacing w:after="0" w:line="250"/>
            </w:pPr>
            <w:r>
              <w:rPr>
                <w:b w:val="false"/>
                <w:bCs w:val="false"/>
                <w:sz w:val="20"/>
                <w:szCs w:val="20"/>
              </w:rPr>
              <w:t xml:space="preserve">Signing tier was never treated as a scope constraint.</w:t>
            </w:r>
          </w:p>
        </w:tc>
        <w:tc>
          <w:tcPr>
            <w:tcW w:type="dxa" w:w="4100"/>
            <w:tcMar>
              <w:top w:type="dxa" w:w="60"/>
              <w:left w:type="dxa" w:w="100"/>
              <w:bottom w:type="dxa" w:w="60"/>
              <w:right w:type="dxa" w:w="100"/>
            </w:tcMar>
          </w:tcPr>
          <w:p>
            <w:pPr>
              <w:spacing w:after="0" w:line="250"/>
            </w:pPr>
            <w:r>
              <w:rPr>
                <w:b w:val="false"/>
                <w:bCs w:val="false"/>
                <w:sz w:val="20"/>
                <w:szCs w:val="20"/>
              </w:rPr>
              <w:t xml:space="preserve">New §6.1. Free personal team covers Phases 0–8 including all of v1; only glanceable surfaces need the paid membership, deferred to Phase 9.</w:t>
            </w:r>
          </w:p>
        </w:tc>
        <w:tc>
          <w:tcPr>
            <w:tcW w:type="dxa" w:w="1760"/>
            <w:tcMar>
              <w:top w:type="dxa" w:w="60"/>
              <w:left w:type="dxa" w:w="100"/>
              <w:bottom w:type="dxa" w:w="60"/>
              <w:right w:type="dxa" w:w="100"/>
            </w:tcMar>
          </w:tcPr>
          <w:p>
            <w:pPr>
              <w:spacing w:after="0" w:line="250"/>
            </w:pPr>
            <w:r>
              <w:rPr>
                <w:b w:val="false"/>
                <w:bCs w:val="false"/>
                <w:sz w:val="20"/>
                <w:szCs w:val="20"/>
              </w:rPr>
              <w:t xml:space="preserve">§6.1, §7</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Staleness thresholds (12/30 min) were sized for cloud latency that no longer exists.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Tightened to 7/20 minutes, since a BLE gap is a real gap rather than pipeline delay.</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§1.3, §3.1.3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The sensor broadcasts its own forward </w:t>
            </w:r>
            <w:r>
              <w:rPr>
                <w:rFonts w:ascii="Consolas" w:cs="Consolas" w:eastAsia="Consolas" w:hAnsi="Consolas"/>
                <w:b w:val="false"/>
                <w:bCs w:val="false"/>
                <w:sz w:val="19"/>
                <w:szCs w:val="19"/>
              </w:rPr>
              <w:t xml:space="preserve">predicted</w:t>
            </w:r>
            <w:r>
              <w:rPr>
                <w:b w:val="false"/>
                <w:bCs w:val="false"/>
                <w:sz w:val="20"/>
                <w:szCs w:val="20"/>
              </w:rPr>
              <w:t xml:space="preserve"> value — a free benchmark that went unnoticed.</w:t>
            </w:r>
          </w:p>
        </w:tc>
        <w:tc>
          <w:tcPr>
            <w:tcW w:type="dxa" w:w="4100"/>
            <w:tcMar>
              <w:top w:type="dxa" w:w="60"/>
              <w:left w:type="dxa" w:w="100"/>
              <w:bottom w:type="dxa" w:w="60"/>
              <w:right w:type="dxa" w:w="100"/>
            </w:tcMar>
          </w:tcPr>
          <w:p>
            <w:pPr>
              <w:spacing w:after="0" w:line="250"/>
            </w:pPr>
            <w:r>
              <w:rPr>
                <w:b w:val="false"/>
                <w:bCs w:val="false"/>
                <w:sz w:val="20"/>
                <w:szCs w:val="20"/>
              </w:rPr>
              <w:t xml:space="preserve">Captured and stored from v1, used in Phase 8 to test whether the homegrown forecaster earns its place.</w:t>
            </w:r>
          </w:p>
        </w:tc>
        <w:tc>
          <w:tcPr>
            <w:tcW w:type="dxa" w:w="1760"/>
            <w:tcMar>
              <w:top w:type="dxa" w:w="60"/>
              <w:left w:type="dxa" w:w="100"/>
              <w:bottom w:type="dxa" w:w="60"/>
              <w:right w:type="dxa" w:w="100"/>
            </w:tcMar>
          </w:tcPr>
          <w:p>
            <w:pPr>
              <w:spacing w:after="0" w:line="250"/>
            </w:pPr>
            <w:r>
              <w:rPr>
                <w:b w:val="false"/>
                <w:bCs w:val="false"/>
                <w:sz w:val="20"/>
                <w:szCs w:val="20"/>
              </w:rPr>
              <w:t xml:space="preserve">§4.2.2, §4.4, §9</w:t>
            </w:r>
          </w:p>
        </w:tc>
      </w:tr>
      <w:tr>
        <w:tc>
          <w:tcPr>
            <w:tcW w:type="dxa" w:w="3500"/>
            <w:shd w:fill="F5F8FC" w:color="auto" w:val="clear"/>
            <w:tcMar>
              <w:top w:type="dxa" w:w="60"/>
              <w:left w:type="dxa" w:w="100"/>
              <w:bottom w:type="dxa" w:w="60"/>
              <w:right w:type="dxa" w:w="100"/>
            </w:tcMar>
          </w:tcPr>
          <w:p>
            <w:pPr>
              <w:spacing w:after="0" w:line="250"/>
            </w:pPr>
            <w:r>
              <w:rPr>
                <w:b/>
                <w:bCs/>
                <w:sz w:val="20"/>
                <w:szCs w:val="20"/>
              </w:rPr>
              <w:t xml:space="preserve">Confirmed unchanged:</w:t>
            </w:r>
            <w:r>
              <w:rPr>
                <w:b w:val="false"/>
                <w:bCs w:val="false"/>
                <w:sz w:val="20"/>
                <w:szCs w:val="20"/>
              </w:rPr>
              <w:t xml:space="preserve"> the trend rate thresholds (±1/±2/±3 mg/dL/min) and the 40–400 mg/dL sentinel bounds specified in v1.2.</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Both independently verified against G7SensorKit. No change required.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§3.1.2, §4.2.7</w:t>
            </w:r>
          </w:p>
        </w:tc>
      </w:tr>
    </w:tbl>
    <w:p>
      <w:pPr>
        <w:pStyle w:val="Heading2"/>
        <w:spacing w:after="140" w:before="280"/>
      </w:pPr>
      <w:r>
        <w:rPr>
          <w:b w:val="false"/>
          <w:bCs w:val="false"/>
        </w:rPr>
        <w:t xml:space="preserve">B.8 v1.4 Findings — Phase 1 Build Results</w:t>
      </w:r>
    </w:p>
    <w:p>
      <w:pPr>
        <w:spacing w:after="120" w:line="276"/>
      </w:pPr>
      <w:r>
        <w:rPr>
          <w:b w:val="false"/>
          <w:bCs w:val="false"/>
        </w:rPr>
        <w:t xml:space="preserve">Findings from building and running the app on real hardware. Unlike B.1–B.7, which came from review, these were produced by the device answering questions no amount of reading could settle.</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bCs/>
                <w:sz w:val="20"/>
                <w:szCs w:val="20"/>
              </w:rPr>
              <w:t xml:space="preserve">Direct BLE does not work.</w:t>
            </w:r>
            <w:r>
              <w:rPr>
                <w:b w:val="false"/>
                <w:bCs w:val="false"/>
                <w:sz w:val="20"/>
                <w:szCs w:val="20"/>
              </w:rPr>
              <w:t xml:space="preserve"> The client connected reliably, enumerated the CGM service, and subscribed to all four notifiable characteristics with every subscription confirmed by CoreBluetooth — then received zero bytes across repeated 10.2-second windows. Signal (−87 dBm), channel availability, subscription success, and characteristic routing were each excluded as causes.</w:t>
            </w:r>
          </w:p>
        </w:tc>
        <w:tc>
          <w:tcPr>
            <w:tcW w:type="dxa" w:w="4100"/>
            <w:tcMar>
              <w:top w:type="dxa" w:w="60"/>
              <w:left w:type="dxa" w:w="100"/>
              <w:bottom w:type="dxa" w:w="60"/>
              <w:right w:type="dxa" w:w="100"/>
            </w:tcMar>
          </w:tcPr>
          <w:p>
            <w:pPr>
              <w:spacing w:after="0" w:line="250"/>
            </w:pPr>
            <w:r>
              <w:rPr>
                <w:b w:val="false"/>
                <w:bCs w:val="false"/>
                <w:sz w:val="20"/>
                <w:szCs w:val="20"/>
              </w:rPr>
              <w:t xml:space="preserve">Share promoted to sole live source. BLE documented as tested-and-rejected, with the evidence and the conditions that would justify revisiting it.</w:t>
            </w:r>
          </w:p>
        </w:tc>
        <w:tc>
          <w:tcPr>
            <w:tcW w:type="dxa" w:w="1760"/>
            <w:tcMar>
              <w:top w:type="dxa" w:w="60"/>
              <w:left w:type="dxa" w:w="100"/>
              <w:bottom w:type="dxa" w:w="60"/>
              <w:right w:type="dxa" w:w="100"/>
            </w:tcMar>
          </w:tcPr>
          <w:p>
            <w:pPr>
              <w:spacing w:after="0" w:line="250"/>
            </w:pPr>
            <w:r>
              <w:rPr>
                <w:b w:val="false"/>
                <w:bCs w:val="false"/>
                <w:sz w:val="20"/>
                <w:szCs w:val="20"/>
              </w:rPr>
              <w:t xml:space="preserve">§1, §3.1.1, §4.1, §4.2</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The G7 permits one collecting application per sensor, and that must remain the official Dexcom app — it owns pairing and the FDA-cleared alarms.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Recorded as a hard constraint rather than a limitation to engineer around.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§1.3, §3.1.1</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The sensor exposed an undocumented characteristic (</w:t>
            </w:r>
            <w:r>
              <w:rPr>
                <w:rFonts w:ascii="Consolas" w:cs="Consolas" w:eastAsia="Consolas" w:hAnsi="Consolas"/>
                <w:b w:val="false"/>
                <w:bCs w:val="false"/>
                <w:sz w:val="19"/>
                <w:szCs w:val="19"/>
              </w:rPr>
              <w:t xml:space="preserve">F8083538</w:t>
            </w:r>
            <w:r>
              <w:rPr>
                <w:b w:val="false"/>
                <w:bCs w:val="false"/>
                <w:sz w:val="20"/>
                <w:szCs w:val="20"/>
              </w:rPr>
              <w:t xml:space="preserve">) and lacked one G7SensorKit expects (</w:t>
            </w:r>
            <w:r>
              <w:rPr>
                <w:rFonts w:ascii="Consolas" w:cs="Consolas" w:eastAsia="Consolas" w:hAnsi="Consolas"/>
                <w:b w:val="false"/>
                <w:bCs w:val="false"/>
                <w:sz w:val="19"/>
                <w:szCs w:val="19"/>
              </w:rPr>
              <w:t xml:space="preserve">F8083533</w:t>
            </w:r>
            <w:r>
              <w:rPr>
                <w:b w:val="false"/>
                <w:bCs w:val="false"/>
                <w:sz w:val="20"/>
                <w:szCs w:val="20"/>
              </w:rPr>
              <w:t xml:space="preserve">), suggesting firmware beyond what the community implementation targets.</w:t>
            </w:r>
          </w:p>
        </w:tc>
        <w:tc>
          <w:tcPr>
            <w:tcW w:type="dxa" w:w="4100"/>
            <w:tcMar>
              <w:top w:type="dxa" w:w="60"/>
              <w:left w:type="dxa" w:w="100"/>
              <w:bottom w:type="dxa" w:w="60"/>
              <w:right w:type="dxa" w:w="100"/>
            </w:tcMar>
          </w:tcPr>
          <w:p>
            <w:pPr>
              <w:spacing w:after="0" w:line="250"/>
            </w:pPr>
            <w:r>
              <w:rPr>
                <w:b w:val="false"/>
                <w:bCs w:val="false"/>
                <w:sz w:val="20"/>
                <w:szCs w:val="20"/>
              </w:rPr>
              <w:t xml:space="preserve">Noted as the specific evidence that would need to change before revisiting BLE.</w:t>
            </w:r>
          </w:p>
        </w:tc>
        <w:tc>
          <w:tcPr>
            <w:tcW w:type="dxa" w:w="1760"/>
            <w:tcMar>
              <w:top w:type="dxa" w:w="60"/>
              <w:left w:type="dxa" w:w="100"/>
              <w:bottom w:type="dxa" w:w="60"/>
              <w:right w:type="dxa" w:w="100"/>
            </w:tcMar>
          </w:tcPr>
          <w:p>
            <w:pPr>
              <w:spacing w:after="0" w:line="250"/>
            </w:pPr>
            <w:r>
              <w:rPr>
                <w:b w:val="false"/>
                <w:bCs w:val="false"/>
                <w:sz w:val="20"/>
                <w:szCs w:val="20"/>
              </w:rPr>
              <w:t xml:space="preserve">§3.1.1</w:t>
            </w:r>
          </w:p>
        </w:tc>
      </w:tr>
      <w:tr>
        <w:tc>
          <w:tcPr>
            <w:tcW w:type="dxa" w:w="3500"/>
            <w:shd w:fill="F5F8FC" w:color="auto" w:val="clear"/>
            <w:tcMar>
              <w:top w:type="dxa" w:w="60"/>
              <w:left w:type="dxa" w:w="100"/>
              <w:bottom w:type="dxa" w:w="60"/>
              <w:right w:type="dxa" w:w="100"/>
            </w:tcMar>
          </w:tcPr>
          <w:p>
            <w:pPr>
              <w:spacing w:after="0" w:line="250"/>
            </w:pPr>
            <w:r>
              <w:rPr>
                <w:b/>
                <w:bCs/>
                <w:sz w:val="20"/>
                <w:szCs w:val="20"/>
              </w:rPr>
              <w:t xml:space="preserve">No reliable background wake mechanism now exists.</w:t>
            </w:r>
            <w:r>
              <w:rPr>
                <w:b w:val="false"/>
                <w:bCs w:val="false"/>
                <w:sz w:val="20"/>
                <w:szCs w:val="20"/>
              </w:rPr>
              <w:t xml:space="preserve"> All three candidate designs across v1.1–v1.3 are dead.</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Stated plainly rather than engineered around: freshness is a foreground property. Reinforces why alarms stay with the official app.</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§4.2.1</w:t>
            </w:r>
          </w:p>
        </w:tc>
      </w:tr>
      <w:tr>
        <w:tc>
          <w:tcPr>
            <w:tcW w:type="dxa" w:w="3500"/>
            <w:tcMar>
              <w:top w:type="dxa" w:w="60"/>
              <w:left w:type="dxa" w:w="100"/>
              <w:bottom w:type="dxa" w:w="60"/>
              <w:right w:type="dxa" w:w="100"/>
            </w:tcMar>
          </w:tcPr>
          <w:p>
            <w:pPr>
              <w:spacing w:after="0" w:line="250"/>
            </w:pPr>
            <w:r>
              <w:rPr>
                <w:b/>
                <w:bCs/>
                <w:sz w:val="20"/>
                <w:szCs w:val="20"/>
              </w:rPr>
              <w:t xml:space="preserve">mmol/L conversion disagreed with the official app.</w:t>
            </w:r>
            <w:r>
              <w:rPr>
                <w:b w:val="false"/>
                <w:bCs w:val="false"/>
                <w:sz w:val="20"/>
                <w:szCs w:val="20"/>
              </w:rPr>
              <w:t xml:space="preserve"> 100 mg/dL displayed as 5.6 against Dexcom's 5.5, because the precise molar mass (18.01559) differs from Dexcom's divisor (18.0182) at boundary values.</w:t>
            </w:r>
          </w:p>
        </w:tc>
        <w:tc>
          <w:tcPr>
            <w:tcW w:type="dxa" w:w="4100"/>
            <w:tcMar>
              <w:top w:type="dxa" w:w="60"/>
              <w:left w:type="dxa" w:w="100"/>
              <w:bottom w:type="dxa" w:w="60"/>
              <w:right w:type="dxa" w:w="100"/>
            </w:tcMar>
          </w:tcPr>
          <w:p>
            <w:pPr>
              <w:spacing w:after="0" w:line="250"/>
            </w:pPr>
            <w:r>
              <w:rPr>
                <w:b w:val="false"/>
                <w:bCs w:val="false"/>
                <w:sz w:val="20"/>
                <w:szCs w:val="20"/>
              </w:rPr>
              <w:t xml:space="preserve">Matched Dexcom's constant. Seven boundary values pinned by test.</w:t>
            </w:r>
          </w:p>
        </w:tc>
        <w:tc>
          <w:tcPr>
            <w:tcW w:type="dxa" w:w="1760"/>
            <w:tcMar>
              <w:top w:type="dxa" w:w="60"/>
              <w:left w:type="dxa" w:w="100"/>
              <w:bottom w:type="dxa" w:w="60"/>
              <w:right w:type="dxa" w:w="100"/>
            </w:tcMar>
          </w:tcPr>
          <w:p>
            <w:pPr>
              <w:spacing w:after="0" w:line="250"/>
            </w:pPr>
            <w:r>
              <w:rPr>
                <w:b w:val="false"/>
                <w:bCs w:val="false"/>
                <w:sz w:val="20"/>
                <w:szCs w:val="20"/>
              </w:rPr>
              <w:t xml:space="preserve">§3.1.6</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Units were hardcoded to mg/dL, unusable for an mmol/L user.</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GlucoseUnit type, region-derived default, toggle on the reading screen, canonical mg/dL storage with display-time conversion only.</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§3.1.1, §3.1.6</w:t>
            </w:r>
          </w:p>
        </w:tc>
      </w:tr>
      <w:tr>
        <w:tc>
          <w:tcPr>
            <w:tcW w:type="dxa" w:w="3500"/>
            <w:tcMar>
              <w:top w:type="dxa" w:w="60"/>
              <w:left w:type="dxa" w:w="100"/>
              <w:bottom w:type="dxa" w:w="60"/>
              <w:right w:type="dxa" w:w="100"/>
            </w:tcMar>
          </w:tcPr>
          <w:p>
            <w:pPr>
              <w:spacing w:after="0" w:line="250"/>
            </w:pPr>
            <w:r>
              <w:rPr>
                <w:b/>
                <w:bCs/>
                <w:sz w:val="20"/>
                <w:szCs w:val="20"/>
              </w:rPr>
              <w:t xml:space="preserve">An expired signing certificate presents as “Unable to Verify App”</w:t>
            </w:r>
            <w:r>
              <w:rPr>
                <w:b w:val="false"/>
                <w:bCs w:val="false"/>
                <w:sz w:val="20"/>
                <w:szCs w:val="20"/>
              </w:rPr>
              <w:t xml:space="preserve"> — indistinguishable from a network failure, and unfixable by trusting or reinstalling. </w:t>
            </w:r>
            <w:r>
              <w:rPr>
                <w:rFonts w:ascii="Consolas" w:cs="Consolas" w:eastAsia="Consolas" w:hAnsi="Consolas"/>
                <w:b w:val="false"/>
                <w:bCs w:val="false"/>
                <w:sz w:val="19"/>
                <w:szCs w:val="19"/>
              </w:rPr>
              <w:t xml:space="preserve">security find-identity</w:t>
            </w:r>
            <w:r>
              <w:rPr>
                <w:b w:val="false"/>
                <w:bCs w:val="false"/>
                <w:sz w:val="20"/>
                <w:szCs w:val="20"/>
              </w:rPr>
              <w:t xml:space="preserve"> reports expired certificates as valid and </w:t>
            </w:r>
            <w:r>
              <w:rPr>
                <w:rFonts w:ascii="Consolas" w:cs="Consolas" w:eastAsia="Consolas" w:hAnsi="Consolas"/>
                <w:b w:val="false"/>
                <w:bCs w:val="false"/>
                <w:sz w:val="19"/>
                <w:szCs w:val="19"/>
              </w:rPr>
              <w:t xml:space="preserve">codesign</w:t>
            </w:r>
            <w:r>
              <w:rPr>
                <w:b w:val="false"/>
                <w:bCs w:val="false"/>
                <w:sz w:val="20"/>
                <w:szCs w:val="20"/>
              </w:rPr>
              <w:t xml:space="preserve"> signs with them.</w:t>
            </w:r>
          </w:p>
        </w:tc>
        <w:tc>
          <w:tcPr>
            <w:tcW w:type="dxa" w:w="4100"/>
            <w:tcMar>
              <w:top w:type="dxa" w:w="60"/>
              <w:left w:type="dxa" w:w="100"/>
              <w:bottom w:type="dxa" w:w="60"/>
              <w:right w:type="dxa" w:w="100"/>
            </w:tcMar>
          </w:tcPr>
          <w:p>
            <w:pPr>
              <w:spacing w:after="0" w:line="250"/>
            </w:pPr>
            <w:r>
              <w:rPr>
                <w:b w:val="false"/>
                <w:bCs w:val="false"/>
                <w:sz w:val="20"/>
                <w:szCs w:val="20"/>
              </w:rPr>
              <w:t xml:space="preserve">Diagnostic recorded in §6.1: check </w:t>
            </w:r>
            <w:r>
              <w:rPr>
                <w:rFonts w:ascii="Consolas" w:cs="Consolas" w:eastAsia="Consolas" w:hAnsi="Consolas"/>
                <w:b w:val="false"/>
                <w:bCs w:val="false"/>
                <w:sz w:val="19"/>
                <w:szCs w:val="19"/>
              </w:rPr>
              <w:t xml:space="preserve">notAfter</w:t>
            </w:r>
            <w:r>
              <w:rPr>
                <w:b w:val="false"/>
                <w:bCs w:val="false"/>
                <w:sz w:val="20"/>
                <w:szCs w:val="20"/>
              </w:rPr>
              <w:t xml:space="preserve"> directly. Also: a replacement certificate sharing a Common Name collides with the device's stale trust record.</w:t>
            </w:r>
          </w:p>
        </w:tc>
        <w:tc>
          <w:tcPr>
            <w:tcW w:type="dxa" w:w="1760"/>
            <w:tcMar>
              <w:top w:type="dxa" w:w="60"/>
              <w:left w:type="dxa" w:w="100"/>
              <w:bottom w:type="dxa" w:w="60"/>
              <w:right w:type="dxa" w:w="100"/>
            </w:tcMar>
          </w:tcPr>
          <w:p>
            <w:pPr>
              <w:spacing w:after="0" w:line="250"/>
            </w:pPr>
            <w:r>
              <w:rPr>
                <w:b w:val="false"/>
                <w:bCs w:val="false"/>
                <w:sz w:val="20"/>
                <w:szCs w:val="20"/>
              </w:rPr>
              <w:t xml:space="preserve">§6.1</w:t>
            </w:r>
          </w:p>
        </w:tc>
      </w:tr>
      <w:tr>
        <w:tc>
          <w:tcPr>
            <w:tcW w:type="dxa" w:w="3500"/>
            <w:shd w:fill="F5F8FC" w:color="auto" w:val="clear"/>
            <w:tcMar>
              <w:top w:type="dxa" w:w="60"/>
              <w:left w:type="dxa" w:w="100"/>
              <w:bottom w:type="dxa" w:w="60"/>
              <w:right w:type="dxa" w:w="100"/>
            </w:tcMar>
          </w:tcPr>
          <w:p>
            <w:pPr>
              <w:spacing w:after="0" w:line="250"/>
            </w:pPr>
            <w:r>
              <w:rPr>
                <w:rFonts w:ascii="Consolas" w:cs="Consolas" w:eastAsia="Consolas" w:hAnsi="Consolas"/>
                <w:b w:val="false"/>
                <w:bCs w:val="false"/>
                <w:sz w:val="19"/>
                <w:szCs w:val="19"/>
              </w:rPr>
              <w:t xml:space="preserve">INFOPLIST_KEY_UIBackgroundModes</w:t>
            </w:r>
            <w:r>
              <w:rPr>
                <w:b w:val="false"/>
                <w:bCs w:val="false"/>
                <w:sz w:val="20"/>
                <w:szCs w:val="20"/>
              </w:rPr>
              <w:t xml:space="preserve"> silently does nothing — array-valued Info.plist keys cannot be set that way, so background modes were absent from the built app.</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A real partial Info.plist, verified by inspecting the built bundle rather than trusting the build setting.</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§6.1</w:t>
            </w:r>
          </w:p>
        </w:tc>
      </w:tr>
      <w:tr>
        <w:tc>
          <w:tcPr>
            <w:tcW w:type="dxa" w:w="3500"/>
            <w:tcMar>
              <w:top w:type="dxa" w:w="60"/>
              <w:left w:type="dxa" w:w="100"/>
              <w:bottom w:type="dxa" w:w="60"/>
              <w:right w:type="dxa" w:w="100"/>
            </w:tcMar>
          </w:tcPr>
          <w:p>
            <w:pPr>
              <w:spacing w:after="0" w:line="250"/>
            </w:pPr>
            <w:r>
              <w:rPr>
                <w:b w:val="false"/>
                <w:bCs w:val="false"/>
                <w:sz w:val="20"/>
                <w:szCs w:val="20"/>
              </w:rPr>
              <w:t xml:space="preserve">Xcode 26 defaults new projects to MainActor isolation, which pure value types must opt out of to be usable from framework callbacks.</w:t>
            </w:r>
          </w:p>
        </w:tc>
        <w:tc>
          <w:tcPr>
            <w:tcW w:type="dxa" w:w="4100"/>
            <w:tcMar>
              <w:top w:type="dxa" w:w="60"/>
              <w:left w:type="dxa" w:w="100"/>
              <w:bottom w:type="dxa" w:w="60"/>
              <w:right w:type="dxa" w:w="100"/>
            </w:tcMar>
          </w:tcPr>
          <w:p>
            <w:pPr>
              <w:spacing w:after="0" w:line="250"/>
            </w:pPr>
            <w:r>
              <w:rPr>
                <w:b w:val="false"/>
                <w:bCs w:val="false"/>
                <w:sz w:val="20"/>
                <w:szCs w:val="20"/>
              </w:rPr>
              <w:t xml:space="preserve">Protocol and model types marked </w:t>
            </w:r>
            <w:r>
              <w:rPr>
                <w:rFonts w:ascii="Consolas" w:cs="Consolas" w:eastAsia="Consolas" w:hAnsi="Consolas"/>
                <w:b w:val="false"/>
                <w:bCs w:val="false"/>
                <w:sz w:val="19"/>
                <w:szCs w:val="19"/>
              </w:rPr>
              <w:t xml:space="preserve">nonisolated</w:t>
            </w:r>
            <w:r>
              <w:rPr>
                <w:b w:val="false"/>
                <w:bCs w:val="false"/>
                <w:sz w:val="20"/>
                <w:szCs w:val="20"/>
              </w:rPr>
              <w:t xml:space="preserve">.</w:t>
            </w:r>
          </w:p>
        </w:tc>
        <w:tc>
          <w:tcPr>
            <w:tcW w:type="dxa" w:w="1760"/>
            <w:tcMar>
              <w:top w:type="dxa" w:w="60"/>
              <w:left w:type="dxa" w:w="100"/>
              <w:bottom w:type="dxa" w:w="60"/>
              <w:right w:type="dxa" w:w="100"/>
            </w:tcMar>
          </w:tcPr>
          <w:p>
            <w:pPr>
              <w:spacing w:after="0" w:line="250"/>
            </w:pPr>
            <w:r>
              <w:rPr>
                <w:b w:val="false"/>
                <w:bCs w:val="false"/>
                <w:sz w:val="20"/>
                <w:szCs w:val="20"/>
              </w:rPr>
              <w:t xml:space="preserve">§4.1</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The staleness model depended on </w:t>
            </w:r>
            <w:r>
              <w:rPr>
                <w:rFonts w:ascii="Consolas" w:cs="Consolas" w:eastAsia="Consolas" w:hAnsi="Consolas"/>
                <w:b w:val="false"/>
                <w:bCs w:val="false"/>
                <w:sz w:val="19"/>
                <w:szCs w:val="19"/>
              </w:rPr>
              <w:t xml:space="preserve">algorithmState</w:t>
            </w:r>
            <w:r>
              <w:rPr>
                <w:b w:val="false"/>
                <w:bCs w:val="false"/>
                <w:sz w:val="20"/>
                <w:szCs w:val="20"/>
              </w:rPr>
              <w:t xml:space="preserve">, which Share does not provide.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§3.1.3 rewritten around data timing, with the loss of fidelity stated explicitly rather than papered over.</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§3.1.3</w:t>
            </w:r>
          </w:p>
        </w:tc>
      </w:tr>
      <w:tr>
        <w:tc>
          <w:tcPr>
            <w:tcW w:type="dxa" w:w="3500"/>
            <w:tcMar>
              <w:top w:type="dxa" w:w="60"/>
              <w:left w:type="dxa" w:w="100"/>
              <w:bottom w:type="dxa" w:w="60"/>
              <w:right w:type="dxa" w:w="100"/>
            </w:tcMar>
          </w:tcPr>
          <w:p>
            <w:pPr>
              <w:spacing w:after="0" w:line="250"/>
            </w:pPr>
            <w:r>
              <w:rPr>
                <w:b/>
                <w:bCs/>
                <w:sz w:val="20"/>
                <w:szCs w:val="20"/>
              </w:rPr>
              <w:t xml:space="preserve">Confirmed correct from earlier revisions:</w:t>
            </w:r>
            <w:r>
              <w:rPr>
                <w:b w:val="false"/>
                <w:bCs w:val="false"/>
                <w:sz w:val="20"/>
                <w:szCs w:val="20"/>
              </w:rPr>
              <w:t xml:space="preserve"> the trend rate thresholds, the 40–400 rail sentinels, the Share two-step auth flow, the per-region applicationId constants, the string-vs-integer Trend change, and the Microsoft date format.</w:t>
            </w:r>
          </w:p>
        </w:tc>
        <w:tc>
          <w:tcPr>
            <w:tcW w:type="dxa" w:w="4100"/>
            <w:tcMar>
              <w:top w:type="dxa" w:w="60"/>
              <w:left w:type="dxa" w:w="100"/>
              <w:bottom w:type="dxa" w:w="60"/>
              <w:right w:type="dxa" w:w="100"/>
            </w:tcMar>
          </w:tcPr>
          <w:p>
            <w:pPr>
              <w:spacing w:after="0" w:line="250"/>
            </w:pPr>
            <w:r>
              <w:rPr>
                <w:b w:val="false"/>
                <w:bCs w:val="false"/>
                <w:sz w:val="20"/>
                <w:szCs w:val="20"/>
              </w:rPr>
              <w:t xml:space="preserve">All verified against live responses or G7SensorKit source. No change required.</w:t>
            </w:r>
          </w:p>
        </w:tc>
        <w:tc>
          <w:tcPr>
            <w:tcW w:type="dxa" w:w="1760"/>
            <w:tcMar>
              <w:top w:type="dxa" w:w="60"/>
              <w:left w:type="dxa" w:w="100"/>
              <w:bottom w:type="dxa" w:w="60"/>
              <w:right w:type="dxa" w:w="100"/>
            </w:tcMar>
          </w:tcPr>
          <w:p>
            <w:pPr>
              <w:spacing w:after="0" w:line="250"/>
            </w:pPr>
            <w:r>
              <w:rPr>
                <w:b w:val="false"/>
                <w:bCs w:val="false"/>
                <w:sz w:val="20"/>
                <w:szCs w:val="20"/>
              </w:rPr>
              <w:t xml:space="preserve">§4.2.3</w:t>
            </w:r>
          </w:p>
        </w:tc>
      </w:tr>
    </w:tbl>
    <w:p>
      <w:pPr>
        <w:pStyle w:val="Heading2"/>
        <w:spacing w:after="140" w:before="280"/>
      </w:pPr>
      <w:r>
        <w:rPr>
          <w:b w:val="false"/>
          <w:bCs w:val="false"/>
        </w:rPr>
        <w:t xml:space="preserve">B.9 v1.5 Findings — Persistence, Charting, Theming, Statistics</w:t>
      </w:r>
    </w:p>
    <w:p>
      <w:pPr>
        <w:spacing w:after="120" w:line="276"/>
      </w:pPr>
      <w:r>
        <w:rPr>
          <w:b w:val="false"/>
          <w:bCs w:val="false"/>
        </w:rPr>
        <w:t xml:space="preserve">Decisions and defects from the build. Several are cases where the obvious implementation compiles, looks correct, and is silently wrong — the category most worth recording, because nothing prompts you to investigate.</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rFonts w:ascii="Consolas" w:cs="Consolas" w:eastAsia="Consolas" w:hAnsi="Consolas"/>
                <w:b/>
                <w:bCs/>
                <w:sz w:val="19"/>
                <w:szCs w:val="19"/>
              </w:rPr>
              <w:t xml:space="preserve">Date</w:t>
            </w:r>
            <w:r>
              <w:rPr>
                <w:b/>
                <w:bCs/>
                <w:sz w:val="20"/>
                <w:szCs w:val="20"/>
              </w:rPr>
              <w:t xml:space="preserve"> is the wrong deduplication key.</w:t>
            </w:r>
            <w:r>
              <w:rPr>
                <w:b w:val="false"/>
                <w:bCs w:val="false"/>
                <w:sz w:val="20"/>
                <w:szCs w:val="20"/>
              </w:rPr>
              <w:t xml:space="preserve"> Date equality is floating point and Share reports millisecond precision, so the same sample re-delivered with sub-second jitter compares unequal and inserts a second row. Every average, time-in-range figure, and chart would be quietly wrong with nothing visibly broken.</w:t>
            </w:r>
          </w:p>
        </w:tc>
        <w:tc>
          <w:tcPr>
            <w:tcW w:type="dxa" w:w="4100"/>
            <w:tcMar>
              <w:top w:type="dxa" w:w="60"/>
              <w:left w:type="dxa" w:w="100"/>
              <w:bottom w:type="dxa" w:w="60"/>
              <w:right w:type="dxa" w:w="100"/>
            </w:tcMar>
          </w:tcPr>
          <w:p>
            <w:pPr>
              <w:spacing w:after="0" w:line="250"/>
            </w:pPr>
            <w:r>
              <w:rPr>
                <w:b w:val="false"/>
                <w:bCs w:val="false"/>
                <w:sz w:val="20"/>
                <w:szCs w:val="20"/>
              </w:rPr>
              <w:t xml:space="preserve">Deduplicate on a whole-second </w:t>
            </w:r>
            <w:r>
              <w:rPr>
                <w:rFonts w:ascii="Consolas" w:cs="Consolas" w:eastAsia="Consolas" w:hAnsi="Consolas"/>
                <w:b w:val="false"/>
                <w:bCs w:val="false"/>
                <w:sz w:val="19"/>
                <w:szCs w:val="19"/>
              </w:rPr>
              <w:t xml:space="preserve">Int</w:t>
            </w:r>
            <w:r>
              <w:rPr>
                <w:b w:val="false"/>
                <w:bCs w:val="false"/>
                <w:sz w:val="20"/>
                <w:szCs w:val="20"/>
              </w:rPr>
              <w:t xml:space="preserve"> key. Covered by a test asserting sub-second jitter yields one row, not two.</w:t>
            </w:r>
          </w:p>
        </w:tc>
        <w:tc>
          <w:tcPr>
            <w:tcW w:type="dxa" w:w="1760"/>
            <w:tcMar>
              <w:top w:type="dxa" w:w="60"/>
              <w:left w:type="dxa" w:w="100"/>
              <w:bottom w:type="dxa" w:w="60"/>
              <w:right w:type="dxa" w:w="100"/>
            </w:tcMar>
          </w:tcPr>
          <w:p>
            <w:pPr>
              <w:spacing w:after="0" w:line="250"/>
            </w:pPr>
            <w:r>
              <w:rPr>
                <w:b w:val="false"/>
                <w:bCs w:val="false"/>
                <w:sz w:val="20"/>
                <w:szCs w:val="20"/>
              </w:rPr>
              <w:t xml:space="preserve">§4.3</w:t>
            </w:r>
          </w:p>
        </w:tc>
      </w:tr>
      <w:tr>
        <w:tc>
          <w:tcPr>
            <w:tcW w:type="dxa" w:w="3500"/>
            <w:shd w:fill="F5F8FC" w:color="auto" w:val="clear"/>
            <w:tcMar>
              <w:top w:type="dxa" w:w="60"/>
              <w:left w:type="dxa" w:w="100"/>
              <w:bottom w:type="dxa" w:w="60"/>
              <w:right w:type="dxa" w:w="100"/>
            </w:tcMar>
          </w:tcPr>
          <w:p>
            <w:pPr>
              <w:spacing w:after="0" w:line="250"/>
            </w:pPr>
            <w:r>
              <w:rPr>
                <w:b/>
                <w:bCs/>
                <w:sz w:val="20"/>
                <w:szCs w:val="20"/>
              </w:rPr>
              <w:t xml:space="preserve">Downsampling by bucket mean hides hypos.</w:t>
            </w:r>
            <w:r>
              <w:rPr>
                <w:b w:val="false"/>
                <w:bCs w:val="false"/>
                <w:sz w:val="20"/>
                <w:szCs w:val="20"/>
              </w:rPr>
              <w:t xml:space="preserve"> A twenty-minute excursion inside a two-hour bucket disappears into the average, so the chart renders a calm line across the one event that matters.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Each bucket contributes its minimum and maximum in time order. Excursions survive at every zoom level.</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§4.5</w:t>
            </w:r>
          </w:p>
        </w:tc>
      </w:tr>
      <w:tr>
        <w:tc>
          <w:tcPr>
            <w:tcW w:type="dxa" w:w="3500"/>
            <w:tcMar>
              <w:top w:type="dxa" w:w="60"/>
              <w:left w:type="dxa" w:w="100"/>
              <w:bottom w:type="dxa" w:w="60"/>
              <w:right w:type="dxa" w:w="100"/>
            </w:tcMar>
          </w:tcPr>
          <w:p>
            <w:pPr>
              <w:spacing w:after="0" w:line="250"/>
            </w:pPr>
            <w:r>
              <w:rPr>
                <w:b/>
                <w:bCs/>
                <w:sz w:val="20"/>
                <w:szCs w:val="20"/>
              </w:rPr>
              <w:t xml:space="preserve">A midnight-crossing schedule fails a naive range check.</w:t>
            </w:r>
            <w:r>
              <w:rPr>
                <w:b w:val="false"/>
                <w:bCs w:val="false"/>
                <w:sz w:val="20"/>
                <w:szCs w:val="20"/>
              </w:rPr>
              <w:t xml:space="preserve"> </w:t>
            </w:r>
            <w:r>
              <w:rPr>
                <w:rFonts w:ascii="Consolas" w:cs="Consolas" w:eastAsia="Consolas" w:hAnsi="Consolas"/>
                <w:b w:val="false"/>
                <w:bCs w:val="false"/>
                <w:sz w:val="19"/>
                <w:szCs w:val="19"/>
              </w:rPr>
              <w:t xml:space="preserve">now &gt;= start &amp;&amp; now &lt; end</w:t>
            </w:r>
            <w:r>
              <w:rPr>
                <w:b w:val="false"/>
                <w:bCs w:val="false"/>
                <w:sz w:val="20"/>
                <w:szCs w:val="20"/>
              </w:rPr>
              <w:t xml:space="preserve"> is false for every minute of a 22:00–07:00 window: Bedside Mode would never have activated, during exactly the hours it exists for.</w:t>
            </w:r>
          </w:p>
        </w:tc>
        <w:tc>
          <w:tcPr>
            <w:tcW w:type="dxa" w:w="4100"/>
            <w:tcMar>
              <w:top w:type="dxa" w:w="60"/>
              <w:left w:type="dxa" w:w="100"/>
              <w:bottom w:type="dxa" w:w="60"/>
              <w:right w:type="dxa" w:w="100"/>
            </w:tcMar>
          </w:tcPr>
          <w:p>
            <w:pPr>
              <w:spacing w:after="0" w:line="250"/>
            </w:pPr>
            <w:r>
              <w:rPr>
                <w:b w:val="false"/>
                <w:bCs w:val="false"/>
                <w:sz w:val="20"/>
                <w:szCs w:val="20"/>
              </w:rPr>
              <w:t xml:space="preserve">Explicit wrap-around handling, with six tests including a same-day window to confirm that case does not wrap.</w:t>
            </w:r>
          </w:p>
        </w:tc>
        <w:tc>
          <w:tcPr>
            <w:tcW w:type="dxa" w:w="1760"/>
            <w:tcMar>
              <w:top w:type="dxa" w:w="60"/>
              <w:left w:type="dxa" w:w="100"/>
              <w:bottom w:type="dxa" w:w="60"/>
              <w:right w:type="dxa" w:w="100"/>
            </w:tcMar>
          </w:tcPr>
          <w:p>
            <w:pPr>
              <w:spacing w:after="0" w:line="250"/>
            </w:pPr>
            <w:r>
              <w:rPr>
                <w:b w:val="false"/>
                <w:bCs w:val="false"/>
                <w:sz w:val="20"/>
                <w:szCs w:val="20"/>
              </w:rPr>
              <w:t xml:space="preserve">§5.3</w:t>
            </w:r>
          </w:p>
        </w:tc>
      </w:tr>
      <w:tr>
        <w:tc>
          <w:tcPr>
            <w:tcW w:type="dxa" w:w="3500"/>
            <w:shd w:fill="F5F8FC" w:color="auto" w:val="clear"/>
            <w:tcMar>
              <w:top w:type="dxa" w:w="60"/>
              <w:left w:type="dxa" w:w="100"/>
              <w:bottom w:type="dxa" w:w="60"/>
              <w:right w:type="dxa" w:w="100"/>
            </w:tcMar>
          </w:tcPr>
          <w:p>
            <w:pPr>
              <w:spacing w:after="0" w:line="250"/>
            </w:pPr>
            <w:r>
              <w:rPr>
                <w:b/>
                <w:bCs/>
                <w:sz w:val="20"/>
                <w:szCs w:val="20"/>
              </w:rPr>
              <w:t xml:space="preserve">Glycemic band classification was written inside a SwiftUI colour extension</w:t>
            </w:r>
            <w:r>
              <w:rPr>
                <w:b w:val="false"/>
                <w:bCs w:val="false"/>
                <w:sz w:val="20"/>
                <w:szCs w:val="20"/>
              </w:rPr>
              <w:t xml:space="preserve"> — domain logic entangled with presentation, untestable without importing SwiftUI, and duplicated between chart colouring and statistics.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Extracted to a framework-free </w:t>
            </w:r>
            <w:r>
              <w:rPr>
                <w:rFonts w:ascii="Consolas" w:cs="Consolas" w:eastAsia="Consolas" w:hAnsi="Consolas"/>
                <w:b w:val="false"/>
                <w:bCs w:val="false"/>
                <w:sz w:val="19"/>
                <w:szCs w:val="19"/>
              </w:rPr>
              <w:t xml:space="preserve">GlycemicBand</w:t>
            </w:r>
            <w:r>
              <w:rPr>
                <w:b w:val="false"/>
                <w:bCs w:val="false"/>
                <w:sz w:val="20"/>
                <w:szCs w:val="20"/>
              </w:rPr>
              <w:t xml:space="preserve"> type. One rule, boundary-tested at 53/54, 69/70, 180/181, 250/251.</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§3.1.5</w:t>
            </w:r>
          </w:p>
        </w:tc>
      </w:tr>
      <w:tr>
        <w:tc>
          <w:tcPr>
            <w:tcW w:type="dxa" w:w="3500"/>
            <w:tcMar>
              <w:top w:type="dxa" w:w="60"/>
              <w:left w:type="dxa" w:w="100"/>
              <w:bottom w:type="dxa" w:w="60"/>
              <w:right w:type="dxa" w:w="100"/>
            </w:tcMar>
          </w:tcPr>
          <w:p>
            <w:pPr>
              <w:spacing w:after="0" w:line="250"/>
            </w:pPr>
            <w:r>
              <w:rPr>
                <w:b/>
                <w:bCs/>
                <w:sz w:val="20"/>
                <w:szCs w:val="20"/>
              </w:rPr>
              <w:t xml:space="preserve">A fixed 180-minute fetch window leaves holes in history.</w:t>
            </w:r>
            <w:r>
              <w:rPr>
                <w:b w:val="false"/>
                <w:bCs w:val="false"/>
                <w:sz w:val="20"/>
                <w:szCs w:val="20"/>
              </w:rPr>
              <w:t xml:space="preserve"> Reopening after six hours away would fetch only the last three and skip the rest permanently — Share does not offer them again after 24 hours.</w:t>
            </w:r>
          </w:p>
        </w:tc>
        <w:tc>
          <w:tcPr>
            <w:tcW w:type="dxa" w:w="4100"/>
            <w:tcMar>
              <w:top w:type="dxa" w:w="60"/>
              <w:left w:type="dxa" w:w="100"/>
              <w:bottom w:type="dxa" w:w="60"/>
              <w:right w:type="dxa" w:w="100"/>
            </w:tcMar>
          </w:tcPr>
          <w:p>
            <w:pPr>
              <w:spacing w:after="0" w:line="250"/>
            </w:pPr>
            <w:r>
              <w:rPr>
                <w:b w:val="false"/>
                <w:bCs w:val="false"/>
                <w:sz w:val="20"/>
                <w:szCs w:val="20"/>
              </w:rPr>
              <w:t xml:space="preserve">The window sizes itself to the gap since the newest stored reading, capped at Share's 24-hour maximum.</w:t>
            </w:r>
          </w:p>
        </w:tc>
        <w:tc>
          <w:tcPr>
            <w:tcW w:type="dxa" w:w="1760"/>
            <w:tcMar>
              <w:top w:type="dxa" w:w="60"/>
              <w:left w:type="dxa" w:w="100"/>
              <w:bottom w:type="dxa" w:w="60"/>
              <w:right w:type="dxa" w:w="100"/>
            </w:tcMar>
          </w:tcPr>
          <w:p>
            <w:pPr>
              <w:spacing w:after="0" w:line="250"/>
            </w:pPr>
            <w:r>
              <w:rPr>
                <w:b w:val="false"/>
                <w:bCs w:val="false"/>
                <w:sz w:val="20"/>
                <w:szCs w:val="20"/>
              </w:rPr>
              <w:t xml:space="preserve">§4.2.2, §4.3</w:t>
            </w:r>
          </w:p>
        </w:tc>
      </w:tr>
      <w:tr>
        <w:tc>
          <w:tcPr>
            <w:tcW w:type="dxa" w:w="3500"/>
            <w:shd w:fill="F5F8FC" w:color="auto" w:val="clear"/>
            <w:tcMar>
              <w:top w:type="dxa" w:w="60"/>
              <w:left w:type="dxa" w:w="100"/>
              <w:bottom w:type="dxa" w:w="60"/>
              <w:right w:type="dxa" w:w="100"/>
            </w:tcMar>
          </w:tcPr>
          <w:p>
            <w:pPr>
              <w:spacing w:after="0" w:line="250"/>
            </w:pPr>
            <w:r>
              <w:rPr>
                <w:b/>
                <w:bCs/>
                <w:sz w:val="20"/>
                <w:szCs w:val="20"/>
              </w:rPr>
              <w:t xml:space="preserve">A fixed gap threshold is wrong at long windows.</w:t>
            </w:r>
            <w:r>
              <w:rPr>
                <w:b w:val="false"/>
                <w:bCs w:val="false"/>
                <w:sz w:val="20"/>
                <w:szCs w:val="20"/>
              </w:rPr>
              <w:t xml:space="preserve"> An 11-minute break is a real gap over 3 hours and sub-pixel noise over 30 days; applying the short-window value would shatter a month-long chart into thousands of one-point segments.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Threshold scales with window duration.</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§4.5</w:t>
            </w:r>
          </w:p>
        </w:tc>
      </w:tr>
      <w:tr>
        <w:tc>
          <w:tcPr>
            <w:tcW w:type="dxa" w:w="3500"/>
            <w:tcMar>
              <w:top w:type="dxa" w:w="60"/>
              <w:left w:type="dxa" w:w="100"/>
              <w:bottom w:type="dxa" w:w="60"/>
              <w:right w:type="dxa" w:w="100"/>
            </w:tcMar>
          </w:tcPr>
          <w:p>
            <w:pPr>
              <w:spacing w:after="0" w:line="250"/>
            </w:pPr>
            <w:r>
              <w:rPr>
                <w:b/>
                <w:bCs/>
                <w:sz w:val="20"/>
                <w:szCs w:val="20"/>
              </w:rPr>
              <w:t xml:space="preserve">The migration test passed alone and failed in the full suite</w:t>
            </w:r>
            <w:r>
              <w:rPr>
                <w:b w:val="false"/>
                <w:bCs w:val="false"/>
                <w:sz w:val="20"/>
                <w:szCs w:val="20"/>
              </w:rPr>
              <w:t xml:space="preserve"> — an intermittent failure that looks like flakiness and would be rerun rather than investigated. Swift Testing parallelises by default and SwiftData does not deterministically close a store file when its container leaves scope, so a reopen raced a draining WAL. It presented as data loss.</w:t>
            </w:r>
          </w:p>
        </w:tc>
        <w:tc>
          <w:tcPr>
            <w:tcW w:type="dxa" w:w="4100"/>
            <w:tcMar>
              <w:top w:type="dxa" w:w="60"/>
              <w:left w:type="dxa" w:w="100"/>
              <w:bottom w:type="dxa" w:w="60"/>
              <w:right w:type="dxa" w:w="100"/>
            </w:tcMar>
          </w:tcPr>
          <w:p>
            <w:pPr>
              <w:spacing w:after="0" w:line="250"/>
            </w:pPr>
            <w:r>
              <w:rPr>
                <w:b w:val="false"/>
                <w:bCs w:val="false"/>
                <w:sz w:val="20"/>
                <w:szCs w:val="20"/>
              </w:rPr>
              <w:t xml:space="preserve">File-backed suites marked </w:t>
            </w:r>
            <w:r>
              <w:rPr>
                <w:rFonts w:ascii="Consolas" w:cs="Consolas" w:eastAsia="Consolas" w:hAnsi="Consolas"/>
                <w:b w:val="false"/>
                <w:bCs w:val="false"/>
                <w:sz w:val="19"/>
                <w:szCs w:val="19"/>
              </w:rPr>
              <w:t xml:space="preserve">.serialized</w:t>
            </w:r>
            <w:r>
              <w:rPr>
                <w:b w:val="false"/>
                <w:bCs w:val="false"/>
                <w:sz w:val="20"/>
                <w:szCs w:val="20"/>
              </w:rPr>
              <w:t xml:space="preserve">; container release forced through function boundaries. Verified across three consecutive clean full-suite runs.</w:t>
            </w:r>
          </w:p>
        </w:tc>
        <w:tc>
          <w:tcPr>
            <w:tcW w:type="dxa" w:w="1760"/>
            <w:tcMar>
              <w:top w:type="dxa" w:w="60"/>
              <w:left w:type="dxa" w:w="100"/>
              <w:bottom w:type="dxa" w:w="60"/>
              <w:right w:type="dxa" w:w="100"/>
            </w:tcMar>
          </w:tcPr>
          <w:p>
            <w:pPr>
              <w:spacing w:after="0" w:line="250"/>
            </w:pPr>
            <w:r>
              <w:rPr>
                <w:b w:val="false"/>
                <w:bCs w:val="false"/>
                <w:sz w:val="20"/>
                <w:szCs w:val="20"/>
              </w:rPr>
              <w:t xml:space="preserve">§4.3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Rounding would display a genuine sub-1% time-below-range as “0%”.</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Non-zero fractions below 1% render as “&lt;1%”. Rounding away a real hypo is the wrong failure for this application.</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§3.1.5</w:t>
            </w:r>
          </w:p>
        </w:tc>
      </w:tr>
      <w:tr>
        <w:tc>
          <w:tcPr>
            <w:tcW w:type="dxa" w:w="3500"/>
            <w:tcMar>
              <w:top w:type="dxa" w:w="60"/>
              <w:left w:type="dxa" w:w="100"/>
              <w:bottom w:type="dxa" w:w="60"/>
              <w:right w:type="dxa" w:w="100"/>
            </w:tcMar>
          </w:tcPr>
          <w:p>
            <w:pPr>
              <w:spacing w:after="0" w:line="250"/>
            </w:pPr>
            <w:r>
              <w:rPr>
                <w:b w:val="false"/>
                <w:bCs w:val="false"/>
                <w:sz w:val="20"/>
                <w:szCs w:val="20"/>
              </w:rPr>
              <w:t xml:space="preserve">GMI over a short or sparse window is noise presented as an A1C estimate.</w:t>
            </w:r>
          </w:p>
        </w:tc>
        <w:tc>
          <w:tcPr>
            <w:tcW w:type="dxa" w:w="4100"/>
            <w:tcMar>
              <w:top w:type="dxa" w:w="60"/>
              <w:left w:type="dxa" w:w="100"/>
              <w:bottom w:type="dxa" w:w="60"/>
              <w:right w:type="dxa" w:w="100"/>
            </w:tcMar>
          </w:tcPr>
          <w:p>
            <w:pPr>
              <w:spacing w:after="0" w:line="250"/>
            </w:pPr>
            <w:r>
              <w:rPr>
                <w:b w:val="false"/>
                <w:bCs w:val="false"/>
                <w:sz w:val="20"/>
                <w:szCs w:val="20"/>
              </w:rPr>
              <w:t xml:space="preserve">Hidden below 14 days or 70% coverage, with the reason stated. A number plus a caveat gets read as a number.</w:t>
            </w:r>
          </w:p>
        </w:tc>
        <w:tc>
          <w:tcPr>
            <w:tcW w:type="dxa" w:w="1760"/>
            <w:tcMar>
              <w:top w:type="dxa" w:w="60"/>
              <w:left w:type="dxa" w:w="100"/>
              <w:bottom w:type="dxa" w:w="60"/>
              <w:right w:type="dxa" w:w="100"/>
            </w:tcMar>
          </w:tcPr>
          <w:p>
            <w:pPr>
              <w:spacing w:after="0" w:line="250"/>
            </w:pPr>
            <w:r>
              <w:rPr>
                <w:b w:val="false"/>
                <w:bCs w:val="false"/>
                <w:sz w:val="20"/>
                <w:szCs w:val="20"/>
              </w:rPr>
              <w:t xml:space="preserve">§3.1.5</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Statistics from a sparse window look as confident as statistics from a complete one.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Coverage surfaced alongside every figure; the panel is marked indicative below 70%.</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§3.1.5</w:t>
            </w:r>
          </w:p>
        </w:tc>
      </w:tr>
      <w:tr>
        <w:tc>
          <w:tcPr>
            <w:tcW w:type="dxa" w:w="3500"/>
            <w:tcMar>
              <w:top w:type="dxa" w:w="60"/>
              <w:left w:type="dxa" w:w="100"/>
              <w:bottom w:type="dxa" w:w="60"/>
              <w:right w:type="dxa" w:w="100"/>
            </w:tcMar>
          </w:tcPr>
          <w:p>
            <w:pPr>
              <w:spacing w:after="0" w:line="250"/>
            </w:pPr>
            <w:r>
              <w:rPr>
                <w:b w:val="false"/>
                <w:bCs w:val="false"/>
                <w:sz w:val="20"/>
                <w:szCs w:val="20"/>
              </w:rPr>
              <w:t xml:space="preserve">A window-boundary test asserted the wrong count — the test was wrong, not the code.</w:t>
            </w:r>
          </w:p>
        </w:tc>
        <w:tc>
          <w:tcPr>
            <w:tcW w:type="dxa" w:w="4100"/>
            <w:tcMar>
              <w:top w:type="dxa" w:w="60"/>
              <w:left w:type="dxa" w:w="100"/>
              <w:bottom w:type="dxa" w:w="60"/>
              <w:right w:type="dxa" w:w="100"/>
            </w:tcMar>
          </w:tcPr>
          <w:p>
            <w:pPr>
              <w:spacing w:after="0" w:line="250"/>
            </w:pPr>
            <w:r>
              <w:rPr>
                <w:b w:val="false"/>
                <w:bCs w:val="false"/>
                <w:sz w:val="20"/>
                <w:szCs w:val="20"/>
              </w:rPr>
              <w:t xml:space="preserve">Boundary confirmed inclusive and pinned by an explicit test at ±1 second.</w:t>
            </w:r>
          </w:p>
        </w:tc>
        <w:tc>
          <w:tcPr>
            <w:tcW w:type="dxa" w:w="1760"/>
            <w:tcMar>
              <w:top w:type="dxa" w:w="60"/>
              <w:left w:type="dxa" w:w="100"/>
              <w:bottom w:type="dxa" w:w="60"/>
              <w:right w:type="dxa" w:w="100"/>
            </w:tcMar>
          </w:tcPr>
          <w:p>
            <w:pPr>
              <w:spacing w:after="0" w:line="250"/>
            </w:pPr>
            <w:r>
              <w:rPr>
                <w:b w:val="false"/>
                <w:bCs w:val="false"/>
                <w:sz w:val="20"/>
                <w:szCs w:val="20"/>
              </w:rPr>
              <w:t xml:space="preserve">§3.1.5</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Bedside Mode with a blue accent would defeat its own purpose.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No blue anywhere in the palette, asserted by a test comparing red and blue channels on every colour.</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§5.3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Whether the app collects data continuously was unclear from the document.</w:t>
            </w:r>
          </w:p>
        </w:tc>
        <w:tc>
          <w:tcPr>
            <w:tcW w:type="dxa" w:w="4100"/>
            <w:tcMar>
              <w:top w:type="dxa" w:w="60"/>
              <w:left w:type="dxa" w:w="100"/>
              <w:bottom w:type="dxa" w:w="60"/>
              <w:right w:type="dxa" w:w="100"/>
            </w:tcMar>
          </w:tcPr>
          <w:p>
            <w:pPr>
              <w:spacing w:after="0" w:line="250"/>
            </w:pPr>
            <w:r>
              <w:rPr>
                <w:b w:val="false"/>
                <w:bCs w:val="false"/>
                <w:sz w:val="20"/>
                <w:szCs w:val="20"/>
              </w:rPr>
              <w:t xml:space="preserve">§4.2.1 now states the user-facing consequence, not only the technical cause: a value seen on opening is trustworthy, background presence guarantees nothing, and history still self-heals.</w:t>
            </w:r>
          </w:p>
        </w:tc>
        <w:tc>
          <w:tcPr>
            <w:tcW w:type="dxa" w:w="1760"/>
            <w:tcMar>
              <w:top w:type="dxa" w:w="60"/>
              <w:left w:type="dxa" w:w="100"/>
              <w:bottom w:type="dxa" w:w="60"/>
              <w:right w:type="dxa" w:w="100"/>
            </w:tcMar>
          </w:tcPr>
          <w:p>
            <w:pPr>
              <w:spacing w:after="0" w:line="250"/>
            </w:pPr>
            <w:r>
              <w:rPr>
                <w:b w:val="false"/>
                <w:bCs w:val="false"/>
                <w:sz w:val="20"/>
                <w:szCs w:val="20"/>
              </w:rPr>
              <w:t xml:space="preserve">§4.2.1</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space="4"/>
      </w:pBdr>
    </w:pPr>
    <w:r>
      <w:rPr>
        <w:color w:val="595959"/>
        <w:sz w:val="18"/>
        <w:szCs w:val="18"/>
      </w:rPr>
      <w:t xml:space="preserve">GlucoNoir PRD v1.5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2E74B5"/>
      <w:sz w:val="32"/>
      <w:szCs w:val="32"/>
    </w:rPr>
  </w:style>
  <w:style w:type="paragraph" w:styleId="Heading2">
    <w:name w:val="Heading 2"/>
    <w:basedOn w:val="Normal"/>
    <w:next w:val="Normal"/>
    <w:qFormat/>
    <w:pPr>
      <w:spacing w:after="140" w:before="280"/>
    </w:pPr>
    <w:rPr>
      <w:rFonts w:ascii="Calibri" w:cs="Calibri" w:eastAsia="Calibri" w:hAnsi="Calibri"/>
      <w:b/>
      <w:bCs/>
      <w:color w:val="2E74B5"/>
      <w:sz w:val="26"/>
      <w:szCs w:val="26"/>
    </w:rPr>
  </w:style>
  <w:style w:type="paragraph" w:styleId="Heading3">
    <w:name w:val="Heading 3"/>
    <w:basedOn w:val="Normal"/>
    <w:next w:val="Normal"/>
    <w:qFormat/>
    <w:pPr>
      <w:spacing w:after="120" w:before="220"/>
    </w:pPr>
    <w:rPr>
      <w:rFonts w:ascii="Calibri" w:cs="Calibri" w:eastAsia="Calibri" w:hAnsi="Calibri"/>
      <w:b/>
      <w:bCs/>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GlucoNoir PRD v1.5</dc:title>
  <dc:creator>GlucoNoir Project</dc:creator>
  <dc:description>Product Requirements Document for GlucoNoir, a dark-mode Dexcom G7 companion app for iOS.</dc:description>
  <cp:lastModifiedBy>Un-named</cp:lastModifiedBy>
  <cp:revision>1</cp:revision>
  <dcterms:created xsi:type="dcterms:W3CDTF">2026-09-09T00:54:19.876Z</dcterms:created>
  <dcterms:modified xsi:type="dcterms:W3CDTF">2026-09-09T00:54:19.883Z</dcterms:modified>
</cp:coreProperties>
</file>

<file path=docProps/custom.xml><?xml version="1.0" encoding="utf-8"?>
<Properties xmlns="http://schemas.openxmlformats.org/officeDocument/2006/custom-properties" xmlns:vt="http://schemas.openxmlformats.org/officeDocument/2006/docPropsVTypes"/>
</file>