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D78"/>
          <w:sz w:val="56"/>
          <w:szCs w:val="56"/>
        </w:rPr>
        <w:t xml:space="preserve">GlucoNoir</w:t>
      </w:r>
    </w:p>
    <w:p>
      <w:pPr>
        <w:spacing w:after="60"/>
      </w:pPr>
      <w:r>
        <w:rPr>
          <w:color w:val="2E74B5"/>
          <w:sz w:val="28"/>
          <w:szCs w:val="28"/>
        </w:rPr>
        <w:t xml:space="preserve">A Dark-Mode Dexcom G7 Companion App for iOS</w:t>
      </w:r>
    </w:p>
    <w:p>
      <w:pPr>
        <w:pBdr>
          <w:bottom w:val="single" w:color="9CC2E5" w:sz="8" w:space="8"/>
        </w:pBdr>
        <w:spacing w:after="240"/>
      </w:pPr>
      <w:r>
        <w:rPr>
          <w:color w:val="595959"/>
          <w:sz w:val="22"/>
          <w:szCs w:val="22"/>
        </w:rPr>
        <w:t xml:space="preserve">Product Requirements Document  |  v1.6  |  September 2026</w:t>
      </w:r>
    </w:p>
    <w:p>
      <w:pPr>
        <w:pStyle w:val="Heading1"/>
        <w:spacing w:after="160" w:before="360"/>
      </w:pPr>
      <w:r>
        <w:rPr>
          <w:b w:val="false"/>
          <w:bCs w:val="false"/>
        </w:rPr>
        <w:t xml:space="preserve">1. Executive Summary</w:t>
      </w:r>
    </w:p>
    <w:p>
      <w:pPr>
        <w:spacing w:after="120" w:line="276"/>
      </w:pPr>
      <w:r>
        <w:rPr>
          <w:b w:val="false"/>
          <w:bCs w:val="false"/>
        </w:rPr>
        <w:t xml:space="preserve">GlucoNoir is a personal-use iOS application that displays Dexcom G7 glucose data in a thoughtfully designed dark-mode interface. It reads from the Dexcom Share API — roughly one to two minutes behind the sensor — with Apple HealthKit supplying historical backfill. It is built for a single user with Type 1 Diabetes (T1D) who wants a less visually fatiguing alternative to the official Dexcom G7 app, plus richer logging and short-horizon glucose prediction features the stock app does not offer.</w:t>
      </w:r>
    </w:p>
    <w:p>
      <w:pPr>
        <w:spacing w:after="120" w:line="276"/>
      </w:pPr>
      <w:r>
        <w:rPr>
          <w:b w:val="false"/>
          <w:bCs w:val="false"/>
        </w:rPr>
        <w:t xml:space="preserve">This document defines scope, features, technical architecture, safety boundaries, and a phased build roadmap. It is intentionally written so any developer (including the author) can pick it up and execute without re-deriving decisions.</w:t>
      </w:r>
    </w:p>
    <w:p>
      <w:pPr>
        <w:spacing w:after="100" w:before="180"/>
      </w:pPr>
      <w:r>
        <w:rPr>
          <w:b/>
          <w:bCs/>
          <w:color w:val="1F4D78"/>
        </w:rPr>
        <w:t xml:space="preserve">Change log v1.6</w:t>
      </w:r>
    </w:p>
    <w:p>
      <w:pPr>
        <w:spacing w:after="120" w:line="276"/>
      </w:pPr>
      <w:r>
        <w:rPr>
          <w:b/>
          <w:bCs/>
        </w:rPr>
        <w:t xml:space="preserve">v1 is feature-complete.</w:t>
      </w:r>
      <w:r>
        <w:rPr>
          <w:b w:val="false"/>
          <w:bCs w:val="false"/>
        </w:rPr>
        <w:t xml:space="preserve"> Phases 0 through 6 are done; what remains before the v1 milestone is daily use and the bugs it surfaces. This revision records the last two phases and a performance defect that only became visible once the app held real data.</w:t>
      </w:r>
    </w:p>
    <w:p>
      <w:pPr>
        <w:pStyle w:val="ListParagraph"/>
        <w:numPr>
          <w:ilvl w:val="0"/>
          <w:numId w:val="2"/>
        </w:numPr>
        <w:spacing w:after="80" w:line="276"/>
      </w:pPr>
      <w:r>
        <w:rPr>
          <w:b/>
          <w:bCs/>
        </w:rPr>
        <w:t xml:space="preserve">HealthKit backfill shipped, and it worked.</w:t>
      </w:r>
      <w:r>
        <w:rPr>
          <w:b w:val="false"/>
          <w:bCs w:val="false"/>
        </w:rPr>
        <w:t xml:space="preserve"> A single import brought in </w:t>
      </w:r>
      <w:r>
        <w:rPr>
          <w:b/>
          <w:bCs/>
        </w:rPr>
        <w:t xml:space="preserve">25,775 readings — 89 days</w:t>
      </w:r>
      <w:r>
        <w:rPr>
          <w:b w:val="false"/>
          <w:bCs w:val="false"/>
        </w:rPr>
        <w:t xml:space="preserve">, essentially the full 90-day window. History no longer accumulates from install date, and both GMI and the 30-day window became meaningful immediately rather than after a fortnight of waiting (§4.2.4).</w:t>
      </w:r>
    </w:p>
    <w:p>
      <w:pPr>
        <w:pStyle w:val="ListParagraph"/>
        <w:numPr>
          <w:ilvl w:val="0"/>
          <w:numId w:val="2"/>
        </w:numPr>
        <w:spacing w:after="80" w:line="276"/>
      </w:pPr>
      <w:r>
        <w:rPr>
          <w:b/>
          <w:bCs/>
        </w:rPr>
        <w:t xml:space="preserve">Export and backup shipped.</w:t>
      </w:r>
      <w:r>
        <w:rPr>
          <w:b w:val="false"/>
          <w:bCs w:val="false"/>
        </w:rPr>
        <w:t xml:space="preserve"> CSV, a full-fidelity JSON backup that restores, and Nightscout entries format. Restore is additive: it merges into history and never deletes (§3.1.7).</w:t>
      </w:r>
    </w:p>
    <w:p>
      <w:pPr>
        <w:pStyle w:val="ListParagraph"/>
        <w:numPr>
          <w:ilvl w:val="0"/>
          <w:numId w:val="2"/>
        </w:numPr>
        <w:spacing w:after="80" w:line="276"/>
      </w:pPr>
      <w:r>
        <w:rPr>
          <w:b/>
          <w:bCs/>
        </w:rPr>
        <w:t xml:space="preserve">A performance defect surfaced at real volume.</w:t>
      </w:r>
      <w:r>
        <w:rPr>
          <w:b w:val="false"/>
          <w:bCs w:val="false"/>
        </w:rPr>
        <w:t xml:space="preserve"> Statistics and chart segments were computed inside view bodies driven by a one-second timer. At 39 readings this was invisible; at 8,600 it re-sorted every reading once per second. Both now compute when their data changes, and a performance test suite runs against 90 days of realistic data so this class of defect fails loudly rather than merely feeling slow (§4.5).</w:t>
      </w:r>
    </w:p>
    <w:p>
      <w:pPr>
        <w:pStyle w:val="ListParagraph"/>
        <w:numPr>
          <w:ilvl w:val="0"/>
          <w:numId w:val="2"/>
        </w:numPr>
        <w:spacing w:after="80" w:line="276"/>
      </w:pPr>
      <w:r>
        <w:rPr>
          <w:b/>
          <w:bCs/>
        </w:rPr>
        <w:t xml:space="preserve">Export filenames collided at minute resolution</w:t>
      </w:r>
      <w:r>
        <w:rPr>
          <w:b w:val="false"/>
          <w:bCs w:val="false"/>
        </w:rPr>
        <w:t xml:space="preserve">, so two exports in the same minute silently overwrote one another — including a CSV clobbering an unshared JSON backup. Each export now gets its own directory (§3.1.7).</w:t>
      </w:r>
    </w:p>
    <w:p>
      <w:pPr>
        <w:pStyle w:val="ListParagraph"/>
        <w:numPr>
          <w:ilvl w:val="0"/>
          <w:numId w:val="2"/>
        </w:numPr>
        <w:spacing w:after="80" w:line="276"/>
      </w:pPr>
      <w:r>
        <w:rPr>
          <w:b/>
          <w:bCs/>
        </w:rPr>
        <w:t xml:space="preserve">Health read-permission denial is indistinguishable from an empty data set</w:t>
      </w:r>
      <w:r>
        <w:rPr>
          <w:b w:val="false"/>
          <w:bCs w:val="false"/>
        </w:rPr>
        <w:t xml:space="preserve">, by Apple's design, so that an app cannot infer a condition from a refusal. The app reports both possibilities rather than guessing which occurred (§4.2.4).</w:t>
      </w:r>
    </w:p>
    <w:p>
      <w:pPr>
        <w:pBdr>
          <w:left w:val="single" w:color="BFD3E6" w:sz="12" w:space="8"/>
        </w:pBdr>
        <w:spacing w:after="160" w:line="260"/>
        <w:ind w:left="180"/>
      </w:pPr>
      <w:r>
        <w:rPr>
          <w:b w:val="false"/>
          <w:bCs w:val="false"/>
          <w:i/>
          <w:iCs/>
          <w:color w:val="595959"/>
          <w:sz w:val="20"/>
          <w:szCs w:val="20"/>
        </w:rPr>
        <w:t xml:space="preserve">Change logs for v1.2 through v1.5 are preserved in Appendix B, which records every finding across all review and build passes.</w:t>
      </w:r>
    </w:p>
    <w:p>
      <w:pPr>
        <w:pStyle w:val="Heading2"/>
        <w:spacing w:after="140" w:before="280"/>
      </w:pPr>
      <w:r>
        <w:rPr>
          <w:b w:val="false"/>
          <w:bCs w:val="false"/>
        </w:rPr>
        <w:t xml:space="preserve">1.1 Problem Statement</w:t>
      </w:r>
    </w:p>
    <w:p>
      <w:pPr>
        <w:pStyle w:val="ListParagraph"/>
        <w:numPr>
          <w:ilvl w:val="0"/>
          <w:numId w:val="2"/>
        </w:numPr>
        <w:spacing w:after="80" w:line="276"/>
      </w:pPr>
      <w:r>
        <w:rPr>
          <w:b w:val="false"/>
          <w:bCs w:val="false"/>
        </w:rPr>
        <w:t xml:space="preserve">The official Dexcom G7 app uses a bright white interface that causes eye strain in low-light conditions and at night, when glucose checks are most frequent.</w:t>
      </w:r>
    </w:p>
    <w:p>
      <w:pPr>
        <w:pStyle w:val="ListParagraph"/>
        <w:numPr>
          <w:ilvl w:val="0"/>
          <w:numId w:val="2"/>
        </w:numPr>
        <w:spacing w:after="80" w:line="276"/>
      </w:pPr>
      <w:r>
        <w:rPr>
          <w:b w:val="false"/>
          <w:bCs w:val="false"/>
        </w:rPr>
        <w:t xml:space="preserve">It does not offer integrated meal, insulin, or exercise logging in a single timeline view.</w:t>
      </w:r>
    </w:p>
    <w:p>
      <w:pPr>
        <w:pStyle w:val="ListParagraph"/>
        <w:numPr>
          <w:ilvl w:val="0"/>
          <w:numId w:val="2"/>
        </w:numPr>
        <w:spacing w:after="80" w:line="276"/>
      </w:pPr>
      <w:r>
        <w:rPr>
          <w:b w:val="false"/>
          <w:bCs w:val="false"/>
        </w:rPr>
        <w:t xml:space="preserve">It does not surface short-term glucose trajectory predictions beyond the standard trend arrow.</w:t>
      </w:r>
    </w:p>
    <w:p>
      <w:pPr>
        <w:pStyle w:val="ListParagraph"/>
        <w:numPr>
          <w:ilvl w:val="0"/>
          <w:numId w:val="2"/>
        </w:numPr>
        <w:spacing w:after="80" w:line="276"/>
      </w:pPr>
      <w:r>
        <w:rPr>
          <w:b w:val="false"/>
          <w:bCs w:val="false"/>
        </w:rPr>
        <w:t xml:space="preserve">It does not adapt to system appearance (light/dark mode toggle).</w:t>
      </w:r>
    </w:p>
    <w:p>
      <w:pPr>
        <w:pStyle w:val="ListParagraph"/>
        <w:numPr>
          <w:ilvl w:val="0"/>
          <w:numId w:val="2"/>
        </w:numPr>
        <w:spacing w:after="80" w:line="276"/>
      </w:pPr>
      <w:r>
        <w:rPr>
          <w:b w:val="false"/>
          <w:bCs w:val="false"/>
        </w:rPr>
        <w:t xml:space="preserve">It does not surface historical response to a repeated meal, which is the single most actionable pattern available from combined CGM and log data.</w:t>
      </w:r>
    </w:p>
    <w:p>
      <w:pPr>
        <w:pStyle w:val="Heading2"/>
        <w:spacing w:after="140" w:before="280"/>
      </w:pPr>
      <w:r>
        <w:rPr>
          <w:b w:val="false"/>
          <w:bCs w:val="false"/>
        </w:rPr>
        <w:t xml:space="preserve">1.2 Goals &amp; Non-Goals</w:t>
      </w:r>
    </w:p>
    <w:p>
      <w:pPr>
        <w:pStyle w:val="Heading3"/>
        <w:spacing w:after="120" w:before="220"/>
      </w:pPr>
      <w:r>
        <w:rPr>
          <w:b w:val="false"/>
          <w:bCs w:val="false"/>
        </w:rPr>
        <w:t xml:space="preserve">Goals</w:t>
      </w:r>
    </w:p>
    <w:p>
      <w:pPr>
        <w:pStyle w:val="ListParagraph"/>
        <w:numPr>
          <w:ilvl w:val="0"/>
          <w:numId w:val="2"/>
        </w:numPr>
        <w:spacing w:after="80" w:line="276"/>
      </w:pPr>
      <w:r>
        <w:rPr>
          <w:b/>
          <w:bCs/>
        </w:rPr>
        <w:t xml:space="preserve">Primary:</w:t>
      </w:r>
      <w:r>
        <w:rPr>
          <w:b w:val="false"/>
          <w:bCs w:val="false"/>
        </w:rPr>
        <w:t xml:space="preserve"> Build a personal iOS app that displays current and historical Dexcom G7 readings in a true OLED-friendly dark interface that respects iOS system appearance settings.</w:t>
      </w:r>
    </w:p>
    <w:p>
      <w:pPr>
        <w:pStyle w:val="ListParagraph"/>
        <w:numPr>
          <w:ilvl w:val="0"/>
          <w:numId w:val="2"/>
        </w:numPr>
        <w:spacing w:after="80" w:line="276"/>
      </w:pPr>
      <w:r>
        <w:rPr>
          <w:b/>
          <w:bCs/>
        </w:rPr>
        <w:t xml:space="preserve">Secondary:</w:t>
      </w:r>
      <w:r>
        <w:rPr>
          <w:b w:val="false"/>
          <w:bCs w:val="false"/>
        </w:rPr>
        <w:t xml:space="preserve"> Add a unified event log (meals, insulin doses, exercise) overlaid on the glucose timeline.</w:t>
      </w:r>
    </w:p>
    <w:p>
      <w:pPr>
        <w:pStyle w:val="ListParagraph"/>
        <w:numPr>
          <w:ilvl w:val="0"/>
          <w:numId w:val="2"/>
        </w:numPr>
        <w:spacing w:after="80" w:line="276"/>
      </w:pPr>
      <w:r>
        <w:rPr>
          <w:b/>
          <w:bCs/>
        </w:rPr>
        <w:t xml:space="preserve">Tertiary:</w:t>
      </w:r>
      <w:r>
        <w:rPr>
          <w:b w:val="false"/>
          <w:bCs w:val="false"/>
        </w:rPr>
        <w:t xml:space="preserve"> Provide a 15 to 30 minute glucose trajectory forecast using transparent statistical methods (damped linear regression, bi-exponential IOB, linear carb absorption).</w:t>
      </w:r>
    </w:p>
    <w:p>
      <w:pPr>
        <w:pStyle w:val="ListParagraph"/>
        <w:numPr>
          <w:ilvl w:val="0"/>
          <w:numId w:val="2"/>
        </w:numPr>
        <w:spacing w:after="80" w:line="276"/>
      </w:pPr>
      <w:r>
        <w:rPr>
          <w:b/>
          <w:bCs/>
        </w:rPr>
        <w:t xml:space="preserve">Fourth:</w:t>
      </w:r>
      <w:r>
        <w:rPr>
          <w:b w:val="false"/>
          <w:bCs w:val="false"/>
        </w:rPr>
        <w:t xml:space="preserve"> Reduce the number of glances that require opening an app at all, via Live Activity, Lock Screen, and Watch surfaces.</w:t>
      </w:r>
    </w:p>
    <w:p>
      <w:pPr>
        <w:pStyle w:val="Heading3"/>
        <w:spacing w:after="120" w:before="220"/>
      </w:pPr>
      <w:r>
        <w:rPr>
          <w:b w:val="false"/>
          <w:bCs w:val="false"/>
        </w:rPr>
        <w:t xml:space="preserve">Non-Goals</w:t>
      </w:r>
    </w:p>
    <w:p>
      <w:pPr>
        <w:pStyle w:val="ListParagraph"/>
        <w:numPr>
          <w:ilvl w:val="0"/>
          <w:numId w:val="2"/>
        </w:numPr>
        <w:spacing w:after="80" w:line="276"/>
      </w:pPr>
      <w:r>
        <w:rPr>
          <w:b w:val="false"/>
          <w:bCs w:val="false"/>
        </w:rPr>
        <w:t xml:space="preserve">This app is </w:t>
      </w:r>
      <w:r>
        <w:rPr>
          <w:b/>
          <w:bCs/>
        </w:rPr>
        <w:t xml:space="preserve">not a medical device</w:t>
      </w:r>
      <w:r>
        <w:rPr>
          <w:b w:val="false"/>
          <w:bCs w:val="false"/>
        </w:rPr>
        <w:t xml:space="preserve"> and will not be submitted to the App Store as one. See §1.4 for the precise boundary.</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replace the official Dexcom G7 app for low-glucose or high-glucose alarms. Those remain on the stock app, which is FDA-cleared for that purpose.</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implement any alarm or push notification tied to a glucose threshold. See §1.3 for why this is a hard line rather than a deferral.</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calculate insulin doses or recommend medical action. This explicitly includes the tempting adjacent feature of a rescue-carb calculator (“how many grams to get from 62 to 100”): once ISF and ICR exist in the data model that computation is two lines of code, and it is out of scope permanently, not until v3.</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support multiple users or family/follower features.</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integrate with, command, or read state from a closed-loop system (Loop, AAPS, iAPS, or a commercial pump). The app is strictly observational.</w:t>
      </w:r>
    </w:p>
    <w:p>
      <w:pPr>
        <w:pBdr>
          <w:left w:val="single" w:color="BFD3E6" w:sz="12" w:space="8"/>
        </w:pBdr>
        <w:spacing w:after="160" w:line="260"/>
        <w:ind w:left="180"/>
      </w:pPr>
      <w:r>
        <w:rPr>
          <w:b w:val="false"/>
          <w:bCs w:val="false"/>
          <w:i/>
          <w:iCs/>
          <w:color w:val="595959"/>
          <w:sz w:val="20"/>
          <w:szCs w:val="20"/>
        </w:rPr>
        <w:t xml:space="preserve">Changed in v1.2: the rescue-carb exclusion and the permanent alarm exclusion are new. Both are boundaries that v1.1 left implicit and that become easy to cross once the prediction engine exists.</w:t>
      </w:r>
    </w:p>
    <w:p>
      <w:pPr>
        <w:pStyle w:val="Heading2"/>
        <w:spacing w:after="140" w:before="280"/>
      </w:pPr>
      <w:r>
        <w:rPr>
          <w:b w:val="false"/>
          <w:bCs w:val="false"/>
        </w:rPr>
        <w:t xml:space="preserve">1.3 Critical Safety Boundary</w:t>
      </w:r>
    </w:p>
    <w:p>
      <w:pPr>
        <w:spacing w:after="120" w:line="276"/>
      </w:pPr>
      <w:r>
        <w:rPr>
          <w:b w:val="false"/>
          <w:bCs w:val="false"/>
        </w:rPr>
        <w:t xml:space="preserve">GlucoNoir displays glucose data but </w:t>
      </w:r>
      <w:r>
        <w:rPr>
          <w:b/>
          <w:bCs/>
        </w:rPr>
        <w:t xml:space="preserve">does not alarm on it</w:t>
      </w:r>
      <w:r>
        <w:rPr>
          <w:b w:val="false"/>
          <w:bCs w:val="false"/>
        </w:rPr>
        <w:t xml:space="preserve">. The official Dexcom G7 app remains the sole source of low-glucose and high-glucose alerts, and it stays installed and running — GlucoNoir depends on it absolutely, for sensor pairing, for Share uploads, and for alarms.</w:t>
      </w:r>
    </w:p>
    <w:p>
      <w:pPr>
        <w:spacing w:after="100" w:before="180"/>
      </w:pPr>
      <w:r>
        <w:rPr>
          <w:b/>
          <w:bCs/>
          <w:color w:val="1F4D78"/>
        </w:rPr>
        <w:t xml:space="preserve">Freshness, and its dependencies</w:t>
      </w:r>
    </w:p>
    <w:p>
      <w:pPr>
        <w:spacing w:after="120" w:line="276"/>
      </w:pPr>
      <w:r>
        <w:rPr>
          <w:b w:val="false"/>
          <w:bCs w:val="false"/>
        </w:rPr>
        <w:t xml:space="preserve">v1.3 anticipated second-level freshness over Bluetooth with no network dependency. That is not available (§4.2.1), and the honest position is weaker:</w:t>
      </w:r>
    </w:p>
    <w:p>
      <w:pPr>
        <w:pStyle w:val="ListParagraph"/>
        <w:numPr>
          <w:ilvl w:val="0"/>
          <w:numId w:val="2"/>
        </w:numPr>
        <w:spacing w:after="80" w:line="276"/>
      </w:pPr>
      <w:r>
        <w:rPr>
          <w:b/>
          <w:bCs/>
        </w:rPr>
        <w:t xml:space="preserve">Dexcom Share</w:t>
      </w:r>
      <w:r>
        <w:rPr>
          <w:b w:val="false"/>
          <w:bCs w:val="false"/>
        </w:rPr>
        <w:t xml:space="preserve"> delivers a reading roughly 1 to 2 minutes after the sensor produces it. Because the sensor itself only measures every 5 minutes, a displayed value is typically 1 to 7 minutes old. Opening the app triggers an immediate poll, so a glance always fetches rather than showing a cached value.</w:t>
      </w:r>
    </w:p>
    <w:p>
      <w:pPr>
        <w:pStyle w:val="ListParagraph"/>
        <w:numPr>
          <w:ilvl w:val="0"/>
          <w:numId w:val="2"/>
        </w:numPr>
        <w:spacing w:after="80" w:line="276"/>
      </w:pPr>
      <w:r>
        <w:rPr>
          <w:b/>
          <w:bCs/>
        </w:rPr>
        <w:t xml:space="preserve">Apple HealthKit</w:t>
      </w:r>
      <w:r>
        <w:rPr>
          <w:b w:val="false"/>
          <w:bCs w:val="false"/>
        </w:rPr>
        <w:t xml:space="preserve"> carries a documented three-hour delay and is never the source of a displayed current value.</w:t>
      </w:r>
    </w:p>
    <w:p>
      <w:pPr>
        <w:spacing w:after="100" w:before="180"/>
      </w:pPr>
      <w:r>
        <w:rPr>
          <w:b/>
          <w:bCs/>
          <w:color w:val="1F4D78"/>
        </w:rPr>
        <w:t xml:space="preserve">The dependency chain, stated plainly</w:t>
      </w:r>
    </w:p>
    <w:p>
      <w:pPr>
        <w:spacing w:after="120" w:line="276"/>
      </w:pPr>
      <w:r>
        <w:rPr>
          <w:b w:val="false"/>
          <w:bCs w:val="false"/>
        </w:rPr>
        <w:t xml:space="preserve">A reading reaches GlucoNoir only if </w:t>
      </w:r>
      <w:r>
        <w:rPr>
          <w:b/>
          <w:bCs/>
        </w:rPr>
        <w:t xml:space="preserve">all</w:t>
      </w:r>
      <w:r>
        <w:rPr>
          <w:b w:val="false"/>
          <w:bCs w:val="false"/>
        </w:rPr>
        <w:t xml:space="preserve"> of the following hold: the sensor is transmitting; the official Dexcom app is running and uploading; Dexcom's cloud is reachable; and this phone has working internet. Any one failing means no fresh data.</w:t>
      </w:r>
    </w:p>
    <w:p>
      <w:pPr>
        <w:spacing w:after="120" w:line="276"/>
      </w:pPr>
      <w:r>
        <w:rPr>
          <w:b w:val="false"/>
          <w:bCs w:val="false"/>
        </w:rPr>
        <w:t xml:space="preserve">This is a meaningfully longer chain than the direct-Bluetooth design assumed, and it fails in ordinary circumstances — patchy wifi, a captive portal, a cloud outage. The app must therefore make staleness impossible to miss (§3.1.3), and the user must not develop the habit of treating GlucoNoir as authoritative overnight. The official app has none of these dependencies for its alarms, because it reads the sensor directly. That asymmetry is the reason alarms stay there permanently.</w:t>
      </w:r>
    </w:p>
    <w:p>
      <w:pPr>
        <w:spacing w:after="100" w:before="180"/>
      </w:pPr>
      <w:r>
        <w:rPr>
          <w:b/>
          <w:bCs/>
          <w:color w:val="1F4D78"/>
        </w:rPr>
        <w:t xml:space="preserve">Why alarms are excluded permanently, not deferred</w:t>
      </w:r>
    </w:p>
    <w:p>
      <w:pPr>
        <w:spacing w:after="120" w:line="276"/>
      </w:pPr>
      <w:r>
        <w:rPr>
          <w:b w:val="false"/>
          <w:bCs w:val="false"/>
        </w:rPr>
        <w:t xml:space="preserve">v1.1 described alarms as “supplemental only” but never specified an alarm feature, leaving a governed behaviour that did not exist. The correct resolution is exclusion, for a concrete technical reason:</w:t>
      </w:r>
    </w:p>
    <w:p>
      <w:pPr>
        <w:spacing w:after="120" w:line="276"/>
      </w:pPr>
      <w:r>
        <w:rPr>
          <w:b w:val="false"/>
          <w:bCs w:val="false"/>
        </w:rPr>
        <w:t xml:space="preserve">Breaking through Do Not Disturb, Focus modes, and the ringer switch requires Apple's </w:t>
      </w:r>
      <w:r>
        <w:rPr>
          <w:b/>
          <w:bCs/>
        </w:rPr>
        <w:t xml:space="preserve">Critical Alerts</w:t>
      </w:r>
      <w:r>
        <w:rPr>
          <w:b w:val="false"/>
          <w:bCs w:val="false"/>
        </w:rPr>
        <w:t xml:space="preserve"> entitlement (</w:t>
      </w:r>
      <w:r>
        <w:rPr>
          <w:rFonts w:ascii="Consolas" w:cs="Consolas" w:eastAsia="Consolas" w:hAnsi="Consolas"/>
          <w:b w:val="false"/>
          <w:bCs w:val="false"/>
          <w:sz w:val="19"/>
          <w:szCs w:val="19"/>
        </w:rPr>
        <w:t xml:space="preserve">com.apple.developer.usernotifications.critical</w:t>
      </w:r>
      <w:r>
        <w:rPr>
          <w:b w:val="false"/>
          <w:bCs w:val="false"/>
        </w:rPr>
        <w:t xml:space="preserve">). Apple grants it to a narrow set of cleared medical applications and will not grant it here. Without it, every notification GlucoNoir could send is silently suppressed exactly when it would matter most — overnight. A nighttime alert that fires 80% of the time is more dangerous than no alert at all, because the user begins to rely on it. GlucoNoir therefore ships no glucose-threshold notifications of any kind.</w:t>
      </w:r>
    </w:p>
    <w:p>
      <w:pPr>
        <w:spacing w:after="120" w:line="276"/>
      </w:pPr>
      <w:r>
        <w:rPr>
          <w:b w:val="false"/>
          <w:bCs w:val="false"/>
        </w:rPr>
        <w:t xml:space="preserve">The forecast still surfaces impending lows, but only on surfaces the user is already looking at: the in-app hero area, the Live Activity, and the Watch complication (§3.2.3). This is information the user pulls, never a signal the app pushes.</w:t>
      </w:r>
    </w:p>
    <w:p>
      <w:pPr>
        <w:spacing w:after="100" w:before="180"/>
      </w:pPr>
      <w:r>
        <w:rPr>
          <w:b/>
          <w:bCs/>
          <w:color w:val="1F4D78"/>
        </w:rPr>
        <w:t xml:space="preserve">Staleness enforcement</w:t>
      </w:r>
    </w:p>
    <w:p>
      <w:pPr>
        <w:spacing w:after="120" w:line="276"/>
      </w:pPr>
      <w:r>
        <w:rPr>
          <w:b w:val="false"/>
          <w:bCs w:val="false"/>
        </w:rPr>
        <w:t xml:space="preserve">The UI surfaces data age prominently. Thresholds are set to survive normal signal-loss behaviour without crying wolf: a single missed G7 reading is routine, so a 10-minute warning threshold would fire many times a day and train the user to ignore it.</w:t>
      </w:r>
    </w:p>
    <w:p>
      <w:pPr>
        <w:pStyle w:val="ListParagraph"/>
        <w:numPr>
          <w:ilvl w:val="0"/>
          <w:numId w:val="2"/>
        </w:numPr>
        <w:spacing w:after="80" w:line="276"/>
      </w:pPr>
      <w:r>
        <w:rPr>
          <w:b/>
          <w:bCs/>
        </w:rPr>
        <w:t xml:space="preserve">Fresh:</w:t>
      </w:r>
      <w:r>
        <w:rPr>
          <w:b w:val="false"/>
          <w:bCs w:val="false"/>
        </w:rPr>
        <w:t xml:space="preserve"> newest reading under 12 minutes old. Normal display.</w:t>
      </w:r>
    </w:p>
    <w:p>
      <w:pPr>
        <w:pStyle w:val="ListParagraph"/>
        <w:numPr>
          <w:ilvl w:val="0"/>
          <w:numId w:val="2"/>
        </w:numPr>
        <w:spacing w:after="80" w:line="276"/>
      </w:pPr>
      <w:r>
        <w:rPr>
          <w:b/>
          <w:bCs/>
        </w:rPr>
        <w:t xml:space="preserve">Stale (amber):</w:t>
      </w:r>
      <w:r>
        <w:rPr>
          <w:b w:val="false"/>
          <w:bCs w:val="false"/>
        </w:rPr>
        <w:t xml:space="preserve"> 12 to 30 minutes. Freshness label turns amber; the hero number desaturates.</w:t>
      </w:r>
    </w:p>
    <w:p>
      <w:pPr>
        <w:pStyle w:val="ListParagraph"/>
        <w:numPr>
          <w:ilvl w:val="0"/>
          <w:numId w:val="2"/>
        </w:numPr>
        <w:spacing w:after="80" w:line="276"/>
      </w:pPr>
      <w:r>
        <w:rPr>
          <w:b/>
          <w:bCs/>
        </w:rPr>
        <w:t xml:space="preserve">Critically stale (red):</w:t>
      </w:r>
      <w:r>
        <w:rPr>
          <w:b w:val="false"/>
          <w:bCs w:val="false"/>
        </w:rPr>
        <w:t xml:space="preserve"> over 30 minutes. Hero number is replaced by the last value in a muted treatment with an explicit “open the Dexcom app” prompt. The trend arrow and the forecast are both hidden, because both are meaningless on stale data.</w:t>
      </w:r>
    </w:p>
    <w:p>
      <w:pPr>
        <w:pBdr>
          <w:left w:val="single" w:color="BFD3E6" w:sz="12" w:space="8"/>
        </w:pBdr>
        <w:spacing w:after="160" w:line="260"/>
        <w:ind w:left="180"/>
      </w:pPr>
      <w:r>
        <w:rPr>
          <w:b w:val="false"/>
          <w:bCs w:val="false"/>
          <w:i/>
          <w:iCs/>
          <w:color w:val="595959"/>
          <w:sz w:val="20"/>
          <w:szCs w:val="20"/>
        </w:rPr>
        <w:t xml:space="preserve">Changed in v1.2: thresholds moved from 10/20 minutes to 12/30. Hiding the forecast and arrow in the critically-stale state is new — v1.1 would have continued extrapolating from an old reading.</w:t>
      </w:r>
    </w:p>
    <w:p>
      <w:pPr>
        <w:spacing w:after="120" w:line="276"/>
      </w:pPr>
      <w:r>
        <w:rPr>
          <w:b w:val="false"/>
          <w:bCs w:val="false"/>
        </w:rPr>
        <w:t xml:space="preserve">An always-visible disclaimer appears on the Settings screen, and the critically-stale state repeats it inline.</w:t>
      </w:r>
    </w:p>
    <w:p>
      <w:pPr>
        <w:pStyle w:val="Heading2"/>
        <w:spacing w:after="140" w:before="280"/>
      </w:pPr>
      <w:r>
        <w:rPr>
          <w:b w:val="false"/>
          <w:bCs w:val="false"/>
        </w:rPr>
        <w:t xml:space="preserve">1.4 Regulatory &amp; Distribution Boundary</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v1.1 asserted that the app is not a medical device. That is correct as long as the boundary is understood to be </w:t>
      </w:r>
      <w:r>
        <w:rPr>
          <w:b/>
          <w:bCs/>
        </w:rPr>
        <w:t xml:space="preserve">distribution</w:t>
      </w:r>
      <w:r>
        <w:rPr>
          <w:b w:val="false"/>
          <w:bCs w:val="false"/>
        </w:rPr>
        <w:t xml:space="preserve">, not intent.</w:t>
      </w:r>
    </w:p>
    <w:p>
      <w:pPr>
        <w:pStyle w:val="ListParagraph"/>
        <w:numPr>
          <w:ilvl w:val="0"/>
          <w:numId w:val="2"/>
        </w:numPr>
        <w:spacing w:after="80" w:line="276"/>
      </w:pPr>
      <w:r>
        <w:rPr>
          <w:b/>
          <w:bCs/>
        </w:rPr>
        <w:t xml:space="preserve">Personal use.</w:t>
      </w:r>
      <w:r>
        <w:rPr>
          <w:b w:val="false"/>
          <w:bCs w:val="false"/>
        </w:rPr>
        <w:t xml:space="preserve"> An application built by an individual, signed with their own account, and installed only on their own devices is not a regulated medical device and not subject to FDA premarket requirements. This is the intended and permanent operating mode for GlucoNoir.</w:t>
      </w:r>
    </w:p>
    <w:p>
      <w:pPr>
        <w:pStyle w:val="ListParagraph"/>
        <w:numPr>
          <w:ilvl w:val="0"/>
          <w:numId w:val="2"/>
        </w:numPr>
        <w:spacing w:after="80" w:line="276"/>
      </w:pPr>
      <w:r>
        <w:rPr>
          <w:b/>
          <w:bCs/>
        </w:rPr>
        <w:t xml:space="preserve">The line.</w:t>
      </w:r>
      <w:r>
        <w:rPr>
          <w:b w:val="false"/>
          <w:bCs w:val="false"/>
        </w:rPr>
        <w:t xml:space="preserve"> Distributing the app to even one other person changes the analysis. Displaying CGM data for someone else is secondary display of CGM output, a category the FDA does regulate (Dexcom's own Follow app is separately cleared). App Review Guideline 1.4.1 additionally covers apps that could cause physical harm through inaccurate data.</w:t>
      </w:r>
    </w:p>
    <w:p>
      <w:pPr>
        <w:pStyle w:val="ListParagraph"/>
        <w:numPr>
          <w:ilvl w:val="0"/>
          <w:numId w:val="2"/>
        </w:numPr>
        <w:spacing w:after="80" w:line="276"/>
      </w:pPr>
      <w:r>
        <w:rPr>
          <w:b/>
          <w:bCs/>
        </w:rPr>
        <w:t xml:space="preserve">Terms of service.</w:t>
      </w:r>
      <w:r>
        <w:rPr>
          <w:b w:val="false"/>
          <w:bCs w:val="false"/>
        </w:rPr>
        <w:t xml:space="preserve"> Changed in v1.3. v1 uses no Dexcom API — the app reads the sensor's own Bluetooth broadcasts and Apple Health, so the Share terms-of-service question does not arise unless the optional §4.2.4 fallback is built. Reading a device you own over BLE occupies a different and considerably more comfortable position than authenticating against an undocumented server API. The same distribution line still applies.</w:t>
      </w:r>
    </w:p>
    <w:p>
      <w:pPr>
        <w:pStyle w:val="ListParagraph"/>
        <w:numPr>
          <w:ilvl w:val="0"/>
          <w:numId w:val="2"/>
        </w:numPr>
        <w:spacing w:after="80" w:line="276"/>
      </w:pPr>
      <w:r>
        <w:rPr>
          <w:b/>
          <w:bCs/>
        </w:rPr>
        <w:t xml:space="preserve">Practical consequence.</w:t>
      </w:r>
      <w:r>
        <w:rPr>
          <w:b w:val="false"/>
          <w:bCs w:val="false"/>
        </w:rPr>
        <w:t xml:space="preserve"> GlucoNoir is installed via personal-team signing or a personal TestFlight build with no external testers. No public TestFlight link, no App Store submission, no sharing of the build.</w:t>
      </w:r>
    </w:p>
    <w:p>
      <w:pPr>
        <w:spacing w:after="100" w:before="180"/>
      </w:pPr>
      <w:r>
        <w:rPr>
          <w:b/>
          <w:bCs/>
          <w:color w:val="1F4D78"/>
        </w:rPr>
        <w:t xml:space="preserve">Why not the official Dexcom Developer API?</w:t>
      </w:r>
    </w:p>
    <w:p>
      <w:pPr>
        <w:spacing w:after="120" w:line="276"/>
      </w:pPr>
      <w:r>
        <w:rPr>
          <w:b w:val="false"/>
          <w:bCs w:val="false"/>
        </w:rPr>
        <w:t xml:space="preserve">This is the first question any future reader will ask. The official Dexcom Developer API (developer.dexcom.com) is documented, supported, and sanctioned — and unusable here, because its data is delivered on a multi-hour delay by design. It is built for retrospective analytics, not live display. The unofficial Share endpoints are the only sanctioned-adjacent path to sub-10-minute data, which is precisely why the Nightscout and xDrip communities settled on them. This is a deliberate, informed trade, not an oversight.</w:t>
      </w:r>
    </w:p>
    <w:p>
      <w:pPr>
        <w:pStyle w:val="Heading1"/>
        <w:spacing w:after="160" w:before="360"/>
      </w:pPr>
      <w:r>
        <w:rPr>
          <w:b w:val="false"/>
          <w:bCs w:val="false"/>
        </w:rPr>
        <w:t xml:space="preserve">2. User &amp; Use Cases</w:t>
      </w:r>
    </w:p>
    <w:p>
      <w:pPr>
        <w:pStyle w:val="Heading2"/>
        <w:spacing w:after="140" w:before="280"/>
      </w:pPr>
      <w:r>
        <w:rPr>
          <w:b w:val="false"/>
          <w:bCs w:val="false"/>
        </w:rPr>
        <w:t xml:space="preserve">2.1 Target User</w:t>
      </w:r>
    </w:p>
    <w:p>
      <w:pPr>
        <w:spacing w:after="120" w:line="276"/>
      </w:pPr>
      <w:r>
        <w:rPr>
          <w:b w:val="false"/>
          <w:bCs w:val="false"/>
        </w:rPr>
        <w:t xml:space="preserve">A single primary user: an adult with Type 1 Diabetes who wears a Dexcom G7, manages insulin manually (MDI or pump, not a closed-loop system this app integrates with), and is comfortable with iOS. Technical sophistication is high enough to build and side-load an app from Xcode, and to re-sign it weekly under free provisioning (§6.1).</w:t>
      </w:r>
    </w:p>
    <w:p>
      <w:pPr>
        <w:spacing w:after="120" w:line="276"/>
      </w:pPr>
      <w:r>
        <w:rPr>
          <w:b w:val="false"/>
          <w:bCs w:val="false"/>
        </w:rPr>
        <w:t xml:space="preserve">The user keeps the official Dexcom G7 app installed and running. This is not optional: it owns sensor pairing, and it owns the alarms (§1.3, §3.1.1).</w:t>
      </w:r>
    </w:p>
    <w:p>
      <w:pPr>
        <w:spacing w:after="120" w:line="276"/>
      </w:pPr>
      <w:r>
        <w:rPr>
          <w:b/>
          <w:bCs/>
        </w:rPr>
        <w:t xml:space="preserve">This user runs Dexcom Direct to Watch and owns no receiver</w:t>
      </w:r>
      <w:r>
        <w:rPr>
          <w:b w:val="false"/>
          <w:bCs w:val="false"/>
        </w:rPr>
        <w:t xml:space="preserve">, which is what makes the third Bluetooth channel available to GlucoNoir (§3.1.1).</w:t>
      </w:r>
    </w:p>
    <w:p>
      <w:pPr>
        <w:pBdr>
          <w:left w:val="single" w:color="BFD3E6" w:sz="12" w:space="8"/>
        </w:pBdr>
        <w:spacing w:after="160" w:line="260"/>
        <w:ind w:left="180"/>
      </w:pPr>
      <w:r>
        <w:rPr>
          <w:b w:val="false"/>
          <w:bCs w:val="false"/>
          <w:i/>
          <w:iCs/>
          <w:color w:val="595959"/>
          <w:sz w:val="20"/>
          <w:szCs w:val="20"/>
        </w:rPr>
        <w:t xml:space="preserve">Changed in v1.3: v1.1 defined the target user as someone maintaining a Share follower account, which v1.2 corrected to optional. With BLE primary, Share is not part of v1 at all, so the requirement is gone entirely. The real requirements are now the official app and a spare Bluetooth channel.</w:t>
      </w:r>
    </w:p>
    <w:p>
      <w:pPr>
        <w:pStyle w:val="Heading2"/>
        <w:spacing w:after="140" w:before="280"/>
      </w:pPr>
      <w:r>
        <w:rPr>
          <w:b w:val="false"/>
          <w:bCs w:val="false"/>
        </w:rPr>
        <w:t xml:space="preserve">2.2 Primary Use Cases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600"/>
        <w:gridCol w:w="1700"/>
        <w:gridCol w:w="5060"/>
      </w:tblGrid>
      <w:tr>
        <w:trPr>
          <w:tblHeader/>
        </w:trPr>
        <w:tc>
          <w:tcPr>
            <w:tcW w:type="dxa" w:w="2600"/>
            <w:shd w:fill="DEEAF6" w:color="auto" w:val="clear"/>
            <w:tcMar>
              <w:top w:type="dxa" w:w="60"/>
              <w:left w:type="dxa" w:w="100"/>
              <w:bottom w:type="dxa" w:w="60"/>
              <w:right w:type="dxa" w:w="100"/>
            </w:tcMar>
          </w:tcPr>
          <w:p>
            <w:pPr>
              <w:spacing w:after="0" w:line="250"/>
            </w:pPr>
            <w:r>
              <w:rPr>
                <w:b/>
                <w:bCs/>
                <w:sz w:val="20"/>
                <w:szCs w:val="20"/>
              </w:rPr>
              <w:t xml:space="preserve">Use Case</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Frequency</w:t>
            </w:r>
          </w:p>
        </w:tc>
        <w:tc>
          <w:tcPr>
            <w:tcW w:type="dxa" w:w="5060"/>
            <w:shd w:fill="DEEAF6" w:color="auto" w:val="clear"/>
            <w:tcMar>
              <w:top w:type="dxa" w:w="60"/>
              <w:left w:type="dxa" w:w="100"/>
              <w:bottom w:type="dxa" w:w="60"/>
              <w:right w:type="dxa" w:w="100"/>
            </w:tcMar>
          </w:tcPr>
          <w:p>
            <w:pPr>
              <w:spacing w:after="0" w:line="250"/>
            </w:pPr>
            <w:r>
              <w:rPr>
                <w:b/>
                <w:bCs/>
                <w:sz w:val="20"/>
                <w:szCs w:val="20"/>
              </w:rPr>
              <w:t xml:space="preserve">Example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Glance at current glucose without opening an app</w:t>
            </w:r>
          </w:p>
        </w:tc>
        <w:tc>
          <w:tcPr>
            <w:tcW w:type="dxa" w:w="1700"/>
            <w:tcMar>
              <w:top w:type="dxa" w:w="60"/>
              <w:left w:type="dxa" w:w="100"/>
              <w:bottom w:type="dxa" w:w="60"/>
              <w:right w:type="dxa" w:w="100"/>
            </w:tcMar>
          </w:tcPr>
          <w:p>
            <w:pPr>
              <w:spacing w:after="0" w:line="250"/>
            </w:pPr>
            <w:r>
              <w:rPr>
                <w:b w:val="false"/>
                <w:bCs w:val="false"/>
                <w:sz w:val="20"/>
                <w:szCs w:val="20"/>
              </w:rPr>
              <w:t xml:space="preserve">20 to 50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Lock Screen, Dynamic Island, or wrist. The dominant case; §3.2.4 exists to serve it.</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Open the app for a considered look</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 to 10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Wake up, open phone, see number and 3h curve without retina shock.</w:t>
            </w:r>
          </w:p>
        </w:tc>
      </w:tr>
      <w:tr>
        <w:tc>
          <w:tcPr>
            <w:tcW w:type="dxa" w:w="2600"/>
            <w:tcMar>
              <w:top w:type="dxa" w:w="60"/>
              <w:left w:type="dxa" w:w="100"/>
              <w:bottom w:type="dxa" w:w="60"/>
              <w:right w:type="dxa" w:w="100"/>
            </w:tcMar>
          </w:tcPr>
          <w:p>
            <w:pPr>
              <w:spacing w:after="0" w:line="250"/>
            </w:pPr>
            <w:r>
              <w:rPr>
                <w:b w:val="false"/>
                <w:bCs w:val="false"/>
                <w:sz w:val="20"/>
                <w:szCs w:val="20"/>
              </w:rPr>
              <w:t xml:space="preserve">Check trajectory before activity</w:t>
            </w:r>
          </w:p>
        </w:tc>
        <w:tc>
          <w:tcPr>
            <w:tcW w:type="dxa" w:w="1700"/>
            <w:tcMar>
              <w:top w:type="dxa" w:w="60"/>
              <w:left w:type="dxa" w:w="100"/>
              <w:bottom w:type="dxa" w:w="60"/>
              <w:right w:type="dxa" w:w="100"/>
            </w:tcMar>
          </w:tcPr>
          <w:p>
            <w:pPr>
              <w:spacing w:after="0" w:line="250"/>
            </w:pPr>
            <w:r>
              <w:rPr>
                <w:b w:val="false"/>
                <w:bCs w:val="false"/>
                <w:sz w:val="20"/>
                <w:szCs w:val="20"/>
              </w:rPr>
              <w:t xml:space="preserve">3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Before meals, exercise, driving, sleeping.</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a meal with carb estimate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3 to 5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Snap photo, enter carbs, mark insulin dose.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Log an insulin dose</w:t>
            </w:r>
          </w:p>
        </w:tc>
        <w:tc>
          <w:tcPr>
            <w:tcW w:type="dxa" w:w="1700"/>
            <w:tcMar>
              <w:top w:type="dxa" w:w="60"/>
              <w:left w:type="dxa" w:w="100"/>
              <w:bottom w:type="dxa" w:w="60"/>
              <w:right w:type="dxa" w:w="100"/>
            </w:tcMar>
          </w:tcPr>
          <w:p>
            <w:pPr>
              <w:spacing w:after="0" w:line="250"/>
            </w:pPr>
            <w:r>
              <w:rPr>
                <w:b w:val="false"/>
                <w:bCs w:val="false"/>
                <w:sz w:val="20"/>
                <w:szCs w:val="20"/>
              </w:rPr>
              <w:t xml:space="preserve">4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Bolus or correction, tied to a timestamp.</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exercise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0 to 2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Type, duration, intensity. Auto-suggested from HealthKit workouts.</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24h pattern</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Identify spikes, post-meal curves, overnight trends.</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Check a repeated meal's history</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1 to 3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“What did this do to me last four times?” before dosing.</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14 or 30 days</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week</w:t>
            </w:r>
          </w:p>
        </w:tc>
        <w:tc>
          <w:tcPr>
            <w:tcW w:type="dxa" w:w="5060"/>
            <w:tcMar>
              <w:top w:type="dxa" w:w="60"/>
              <w:left w:type="dxa" w:w="100"/>
              <w:bottom w:type="dxa" w:w="60"/>
              <w:right w:type="dxa" w:w="100"/>
            </w:tcMar>
          </w:tcPr>
          <w:p>
            <w:pPr>
              <w:spacing w:after="0" w:line="250"/>
            </w:pPr>
            <w:r>
              <w:rPr>
                <w:b w:val="false"/>
                <w:bCs w:val="false"/>
                <w:sz w:val="20"/>
                <w:szCs w:val="20"/>
              </w:rPr>
              <w:t xml:space="preserve">Time-in-range, average, GMI, CV for self-review.</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Export for endo visit</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Every 3 months</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PDF formatted as an AGP-style report, plus flagged patterns.</w:t>
            </w:r>
          </w:p>
        </w:tc>
      </w:tr>
    </w:tbl>
    <w:p>
      <w:pPr>
        <w:pBdr>
          <w:left w:val="single" w:color="BFD3E6" w:sz="12" w:space="8"/>
        </w:pBdr>
        <w:spacing w:after="160" w:line="260"/>
        <w:ind w:left="180"/>
      </w:pPr>
      <w:r>
        <w:rPr>
          <w:b w:val="false"/>
          <w:bCs w:val="false"/>
          <w:i/>
          <w:iCs/>
          <w:color w:val="595959"/>
          <w:sz w:val="20"/>
          <w:szCs w:val="20"/>
        </w:rPr>
        <w:t xml:space="preserve">Changed in v1.2: the top row is new. v1.1 counted 20–50 daily app opens; in practice a glanceable surface absorbs most of those, and the roadmap should reflect where the volume actually is.</w:t>
      </w:r>
    </w:p>
    <w:p>
      <w:pPr>
        <w:pStyle w:val="Heading1"/>
        <w:spacing w:after="160" w:before="360"/>
      </w:pPr>
      <w:r>
        <w:rPr>
          <w:b w:val="false"/>
          <w:bCs w:val="false"/>
        </w:rPr>
        <w:t xml:space="preserve">3. Feature Specification</w:t>
      </w:r>
    </w:p>
    <w:p>
      <w:pPr>
        <w:spacing w:after="120" w:line="276"/>
      </w:pPr>
      <w:r>
        <w:rPr>
          <w:b w:val="false"/>
          <w:bCs w:val="false"/>
        </w:rPr>
        <w:t xml:space="preserve">Features are grouped by release phase. v1 is the minimum useful product. v2 adds the differentiating logging, prediction, and glanceable features. v3 is polish and stretch.</w:t>
      </w:r>
    </w:p>
    <w:p>
      <w:pPr>
        <w:pStyle w:val="Heading2"/>
        <w:spacing w:after="140" w:before="280"/>
      </w:pPr>
      <w:r>
        <w:rPr>
          <w:b w:val="false"/>
          <w:bCs w:val="false"/>
        </w:rPr>
        <w:t xml:space="preserve">3.1 v1 — Minimum Viable App</w:t>
      </w:r>
    </w:p>
    <w:p>
      <w:pPr>
        <w:pStyle w:val="Heading3"/>
        <w:spacing w:after="120" w:before="220"/>
      </w:pPr>
      <w:r>
        <w:rPr>
          <w:b w:val="false"/>
          <w:bCs w:val="false"/>
        </w:rPr>
        <w:t xml:space="preserve">3.1.1 Data Source Integration</w:t>
      </w:r>
    </w:p>
    <w:p>
      <w:pPr>
        <w:spacing w:after="120" w:line="276"/>
      </w:pPr>
      <w:r>
        <w:rPr>
          <w:b w:val="false"/>
          <w:bCs w:val="false"/>
        </w:rPr>
        <w:t xml:space="preserve">Two sources. Only the first is live.</w:t>
      </w:r>
    </w:p>
    <w:p>
      <w:pPr>
        <w:spacing w:after="100" w:before="180"/>
      </w:pPr>
      <w:r>
        <w:rPr>
          <w:b/>
          <w:bCs/>
          <w:color w:val="1F4D78"/>
        </w:rPr>
        <w:t xml:space="preserve">Source A — Dexcom Share (primary, live)</w:t>
      </w:r>
    </w:p>
    <w:p>
      <w:pPr>
        <w:pStyle w:val="ListParagraph"/>
        <w:numPr>
          <w:ilvl w:val="0"/>
          <w:numId w:val="2"/>
        </w:numPr>
        <w:spacing w:after="80" w:line="276"/>
      </w:pPr>
      <w:r>
        <w:rPr>
          <w:b/>
          <w:bCs/>
        </w:rPr>
        <w:t xml:space="preserve">Role:</w:t>
      </w:r>
      <w:r>
        <w:rPr>
          <w:b w:val="false"/>
          <w:bCs w:val="false"/>
        </w:rPr>
        <w:t xml:space="preserve"> the live source. Polls Dexcom's cloud for readings the official app has uploaded.</w:t>
      </w:r>
    </w:p>
    <w:p>
      <w:pPr>
        <w:pStyle w:val="ListParagraph"/>
        <w:numPr>
          <w:ilvl w:val="0"/>
          <w:numId w:val="2"/>
        </w:numPr>
        <w:spacing w:after="80" w:line="276"/>
      </w:pPr>
      <w:r>
        <w:rPr>
          <w:b/>
          <w:bCs/>
        </w:rPr>
        <w:t xml:space="preserve">Credentials:</w:t>
      </w:r>
      <w:r>
        <w:rPr>
          <w:b w:val="false"/>
          <w:bCs w:val="false"/>
        </w:rPr>
        <w:t xml:space="preserve"> the </w:t>
      </w:r>
      <w:r>
        <w:rPr>
          <w:b/>
          <w:bCs/>
        </w:rPr>
        <w:t xml:space="preserve">account holder's own</w:t>
      </w:r>
      <w:r>
        <w:rPr>
          <w:b w:val="false"/>
          <w:bCs w:val="false"/>
        </w:rPr>
        <w:t xml:space="preserve"> Dexcom username and password — never a follower's. A follower must merely *exist* for Dexcom to enable the Share service. Stored in the iOS Keychain (§6.2) and nowhere else.</w:t>
      </w:r>
    </w:p>
    <w:p>
      <w:pPr>
        <w:pStyle w:val="ListParagraph"/>
        <w:numPr>
          <w:ilvl w:val="0"/>
          <w:numId w:val="2"/>
        </w:numPr>
        <w:spacing w:after="80" w:line="276"/>
      </w:pPr>
      <w:r>
        <w:rPr>
          <w:b/>
          <w:bCs/>
        </w:rPr>
        <w:t xml:space="preserve">Region:</w:t>
      </w:r>
      <w:r>
        <w:rPr>
          <w:b w:val="false"/>
          <w:bCs w:val="false"/>
        </w:rPr>
        <w:t xml:space="preserve"> US (</w:t>
      </w:r>
      <w:r>
        <w:rPr>
          <w:rFonts w:ascii="Consolas" w:cs="Consolas" w:eastAsia="Consolas" w:hAnsi="Consolas"/>
          <w:b w:val="false"/>
          <w:bCs w:val="false"/>
          <w:sz w:val="19"/>
          <w:szCs w:val="19"/>
        </w:rPr>
        <w:t xml:space="preserve">share2.dexcom.com</w:t>
      </w:r>
      <w:r>
        <w:rPr>
          <w:b w:val="false"/>
          <w:bCs w:val="false"/>
        </w:rPr>
        <w:t xml:space="preserve">), Outside US (</w:t>
      </w:r>
      <w:r>
        <w:rPr>
          <w:rFonts w:ascii="Consolas" w:cs="Consolas" w:eastAsia="Consolas" w:hAnsi="Consolas"/>
          <w:b w:val="false"/>
          <w:bCs w:val="false"/>
          <w:sz w:val="19"/>
          <w:szCs w:val="19"/>
        </w:rPr>
        <w:t xml:space="preserve">shareous1.dexcom.com</w:t>
      </w:r>
      <w:r>
        <w:rPr>
          <w:b w:val="false"/>
          <w:bCs w:val="false"/>
        </w:rPr>
        <w:t xml:space="preserve">), or Japan (</w:t>
      </w:r>
      <w:r>
        <w:rPr>
          <w:rFonts w:ascii="Consolas" w:cs="Consolas" w:eastAsia="Consolas" w:hAnsi="Consolas"/>
          <w:b w:val="false"/>
          <w:bCs w:val="false"/>
          <w:sz w:val="19"/>
          <w:szCs w:val="19"/>
        </w:rPr>
        <w:t xml:space="preserve">share.dexcom.jp</w:t>
      </w:r>
      <w:r>
        <w:rPr>
          <w:b w:val="false"/>
          <w:bCs w:val="false"/>
        </w:rPr>
        <w:t xml:space="preserve">), each with its own </w:t>
      </w:r>
      <w:r>
        <w:rPr>
          <w:rFonts w:ascii="Consolas" w:cs="Consolas" w:eastAsia="Consolas" w:hAnsi="Consolas"/>
          <w:b w:val="false"/>
          <w:bCs w:val="false"/>
          <w:sz w:val="19"/>
          <w:szCs w:val="19"/>
        </w:rPr>
        <w:t xml:space="preserve">applicationId</w:t>
      </w:r>
      <w:r>
        <w:rPr>
          <w:b w:val="false"/>
          <w:bCs w:val="false"/>
        </w:rPr>
        <w:t xml:space="preserve"> constant (§4.2.3).</w:t>
      </w:r>
    </w:p>
    <w:p>
      <w:pPr>
        <w:pStyle w:val="ListParagraph"/>
        <w:numPr>
          <w:ilvl w:val="0"/>
          <w:numId w:val="2"/>
        </w:numPr>
        <w:spacing w:after="80" w:line="276"/>
      </w:pPr>
      <w:r>
        <w:rPr>
          <w:b/>
          <w:bCs/>
        </w:rPr>
        <w:t xml:space="preserve">Polling cadence:</w:t>
      </w:r>
      <w:r>
        <w:rPr>
          <w:b w:val="false"/>
          <w:bCs w:val="false"/>
        </w:rPr>
        <w:t xml:space="preserve"> anchored to the sensor's own 5-minute rhythm rather than a blind interval. After a reading timestamped T, the next poll is scheduled for T + 5min + 25s. An immediate poll also fires whenever the app becomes active, so opening the app always fetches rather than showing a cached value.</w:t>
      </w:r>
    </w:p>
    <w:p>
      <w:pPr>
        <w:pStyle w:val="ListParagraph"/>
        <w:numPr>
          <w:ilvl w:val="0"/>
          <w:numId w:val="2"/>
        </w:numPr>
        <w:spacing w:after="80" w:line="276"/>
      </w:pPr>
      <w:r>
        <w:rPr>
          <w:b/>
          <w:bCs/>
        </w:rPr>
        <w:t xml:space="preserve">Failure handling:</w:t>
      </w:r>
      <w:r>
        <w:rPr>
          <w:b w:val="false"/>
          <w:bCs w:val="false"/>
        </w:rPr>
        <w:t xml:space="preserve"> authentication failures are </w:t>
      </w:r>
      <w:r>
        <w:rPr>
          <w:b/>
          <w:bCs/>
        </w:rPr>
        <w:t xml:space="preserve">terminal</w:t>
      </w:r>
      <w:r>
        <w:rPr>
          <w:b w:val="false"/>
          <w:bCs w:val="false"/>
        </w:rPr>
        <w:t xml:space="preserve"> — polling stops and the user is prompted. Only session expiry, network errors, and 5xx responses are retried, with 30s/60s/120s/300s backoff. Retrying a rejected password is what locks the Dexcom account, and that account is the official app's too (§4.2.3).</w:t>
      </w:r>
    </w:p>
    <w:p>
      <w:pPr>
        <w:spacing w:after="100" w:before="180"/>
      </w:pPr>
      <w:r>
        <w:rPr>
          <w:b/>
          <w:bCs/>
          <w:color w:val="1F4D78"/>
        </w:rPr>
        <w:t xml:space="preserve">Source B — Apple HealthKit (historical backfill only)</w:t>
      </w:r>
    </w:p>
    <w:p>
      <w:pPr>
        <w:pStyle w:val="ListParagraph"/>
        <w:numPr>
          <w:ilvl w:val="0"/>
          <w:numId w:val="2"/>
        </w:numPr>
        <w:spacing w:after="80" w:line="276"/>
      </w:pPr>
      <w:r>
        <w:rPr>
          <w:b/>
          <w:bCs/>
        </w:rPr>
        <w:t xml:space="preserve">Dexcom writes to Apple Health on a documented three-hour delay.</w:t>
      </w:r>
      <w:r>
        <w:rPr>
          <w:b w:val="false"/>
          <w:bCs w:val="false"/>
        </w:rPr>
        <w:t xml:space="preserve"> Never used for a displayed current value, and structurally barred from being selected as one.</w:t>
      </w:r>
    </w:p>
    <w:p>
      <w:pPr>
        <w:pStyle w:val="ListParagraph"/>
        <w:numPr>
          <w:ilvl w:val="0"/>
          <w:numId w:val="2"/>
        </w:numPr>
        <w:spacing w:after="80" w:line="276"/>
      </w:pPr>
      <w:r>
        <w:rPr>
          <w:b/>
          <w:bCs/>
        </w:rPr>
        <w:t xml:space="preserve">Role:</w:t>
      </w:r>
      <w:r>
        <w:rPr>
          <w:b w:val="false"/>
          <w:bCs w:val="false"/>
        </w:rPr>
        <w:t xml:space="preserve"> populate the historical store with up to 90 days on first launch, plus a daily top-up, so the app is immediately useful rather than accumulating history from zero.</w:t>
      </w:r>
    </w:p>
    <w:p>
      <w:pPr>
        <w:pStyle w:val="ListParagraph"/>
        <w:numPr>
          <w:ilvl w:val="0"/>
          <w:numId w:val="2"/>
        </w:numPr>
        <w:spacing w:after="80" w:line="276"/>
      </w:pPr>
      <w:r>
        <w:rPr>
          <w:b/>
          <w:bCs/>
        </w:rPr>
        <w:t xml:space="preserve">Optional context reads</w:t>
      </w:r>
      <w:r>
        <w:rPr>
          <w:b w:val="false"/>
          <w:bCs w:val="false"/>
        </w:rPr>
        <w:t xml:space="preserve">, all degrading gracefully if denied: </w:t>
      </w:r>
      <w:r>
        <w:rPr>
          <w:rFonts w:ascii="Consolas" w:cs="Consolas" w:eastAsia="Consolas" w:hAnsi="Consolas"/>
          <w:b w:val="false"/>
          <w:bCs w:val="false"/>
          <w:sz w:val="19"/>
          <w:szCs w:val="19"/>
        </w:rPr>
        <w:t xml:space="preserve">sleepAnalysis</w:t>
      </w:r>
      <w:r>
        <w:rPr>
          <w:b w:val="false"/>
          <w:bCs w:val="false"/>
        </w:rPr>
        <w:t xml:space="preserve"> to segment overnight statistics; </w:t>
      </w:r>
      <w:r>
        <w:rPr>
          <w:rFonts w:ascii="Consolas" w:cs="Consolas" w:eastAsia="Consolas" w:hAnsi="Consolas"/>
          <w:b w:val="false"/>
          <w:bCs w:val="false"/>
          <w:sz w:val="19"/>
          <w:szCs w:val="19"/>
        </w:rPr>
        <w:t xml:space="preserve">workoutType</w:t>
      </w:r>
      <w:r>
        <w:rPr>
          <w:b w:val="false"/>
          <w:bCs w:val="false"/>
        </w:rPr>
        <w:t xml:space="preserve"> and </w:t>
      </w:r>
      <w:r>
        <w:rPr>
          <w:rFonts w:ascii="Consolas" w:cs="Consolas" w:eastAsia="Consolas" w:hAnsi="Consolas"/>
          <w:b w:val="false"/>
          <w:bCs w:val="false"/>
          <w:sz w:val="19"/>
          <w:szCs w:val="19"/>
        </w:rPr>
        <w:t xml:space="preserve">stepCount</w:t>
      </w:r>
      <w:r>
        <w:rPr>
          <w:b w:val="false"/>
          <w:bCs w:val="false"/>
        </w:rPr>
        <w:t xml:space="preserve"> to auto-suggest exercise entries; </w:t>
      </w:r>
      <w:r>
        <w:rPr>
          <w:rFonts w:ascii="Consolas" w:cs="Consolas" w:eastAsia="Consolas" w:hAnsi="Consolas"/>
          <w:b w:val="false"/>
          <w:bCs w:val="false"/>
          <w:sz w:val="19"/>
          <w:szCs w:val="19"/>
        </w:rPr>
        <w:t xml:space="preserve">dietaryCarbohydrates</w:t>
      </w:r>
      <w:r>
        <w:rPr>
          <w:b w:val="false"/>
          <w:bCs w:val="false"/>
        </w:rPr>
        <w:t xml:space="preserve"> and </w:t>
      </w:r>
      <w:r>
        <w:rPr>
          <w:rFonts w:ascii="Consolas" w:cs="Consolas" w:eastAsia="Consolas" w:hAnsi="Consolas"/>
          <w:b w:val="false"/>
          <w:bCs w:val="false"/>
          <w:sz w:val="19"/>
          <w:szCs w:val="19"/>
        </w:rPr>
        <w:t xml:space="preserve">insulinDelivery</w:t>
      </w:r>
      <w:r>
        <w:rPr>
          <w:b w:val="false"/>
          <w:bCs w:val="false"/>
        </w:rPr>
        <w:t xml:space="preserve"> to import events logged elsewhere.</w:t>
      </w:r>
    </w:p>
    <w:p>
      <w:pPr>
        <w:spacing w:after="100" w:before="180"/>
      </w:pPr>
      <w:r>
        <w:rPr>
          <w:b/>
          <w:bCs/>
          <w:color w:val="1F4D78"/>
        </w:rPr>
        <w:t xml:space="preserve">Ruled out — Direct Bluetooth</w:t>
      </w:r>
    </w:p>
    <w:p>
      <w:pPr>
        <w:pBdr>
          <w:left w:val="single" w:color="BFD3E6" w:sz="12" w:space="8"/>
        </w:pBdr>
        <w:spacing w:after="160" w:line="260"/>
        <w:ind w:left="180"/>
      </w:pPr>
      <w:r>
        <w:rPr>
          <w:b w:val="false"/>
          <w:bCs w:val="false"/>
          <w:i/>
          <w:iCs/>
          <w:color w:val="595959"/>
          <w:sz w:val="20"/>
          <w:szCs w:val="20"/>
        </w:rPr>
        <w:t xml:space="preserve">Tested and rejected in v1.4. Retained here so the decision is not revisited without new evidence.</w:t>
      </w:r>
    </w:p>
    <w:p>
      <w:pPr>
        <w:spacing w:after="120" w:line="276"/>
      </w:pPr>
      <w:r>
        <w:rPr>
          <w:b w:val="false"/>
          <w:bCs w:val="false"/>
        </w:rPr>
        <w:t xml:space="preserve">Reading the G7 directly over BLE was v1.3's primary architecture. It was implemented and tested against the real sensor. It does not work while the official Dexcom app is installed, and the official app cannot be removed.</w:t>
      </w:r>
    </w:p>
    <w:p>
      <w:pPr>
        <w:pStyle w:val="ListParagraph"/>
        <w:numPr>
          <w:ilvl w:val="0"/>
          <w:numId w:val="2"/>
        </w:numPr>
        <w:spacing w:after="80" w:line="276"/>
      </w:pPr>
      <w:r>
        <w:rPr>
          <w:b/>
          <w:bCs/>
        </w:rPr>
        <w:t xml:space="preserve">What was observed:</w:t>
      </w:r>
      <w:r>
        <w:rPr>
          <w:b w:val="false"/>
          <w:bCs w:val="false"/>
        </w:rPr>
        <w:t xml:space="preserve"> the client discovered the sensor, connected reliably every 5 minutes, enumerated the CGM service, and subscribed to all four notifiable characteristics with every subscription confirmed by CoreBluetooth. Across repeated connection windows it received </w:t>
      </w:r>
      <w:r>
        <w:rPr>
          <w:b/>
          <w:bCs/>
        </w:rPr>
        <w:t xml:space="preserve">zero bytes on any characteristic</w:t>
      </w:r>
      <w:r>
        <w:rPr>
          <w:b w:val="false"/>
          <w:bCs w:val="false"/>
        </w:rPr>
        <w:t xml:space="preserve">. Each session lasted almost exactly 10.2 seconds before the sensor disconnected.</w:t>
      </w:r>
    </w:p>
    <w:p>
      <w:pPr>
        <w:pStyle w:val="ListParagraph"/>
        <w:numPr>
          <w:ilvl w:val="0"/>
          <w:numId w:val="2"/>
        </w:numPr>
        <w:spacing w:after="80" w:line="276"/>
      </w:pPr>
      <w:r>
        <w:rPr>
          <w:b/>
          <w:bCs/>
        </w:rPr>
        <w:t xml:space="preserve">What was excluded:</w:t>
      </w:r>
      <w:r>
        <w:rPr>
          <w:b w:val="false"/>
          <w:bCs w:val="false"/>
        </w:rPr>
        <w:t xml:space="preserve"> signal strength (−87 dBm, healthy); Bluetooth channel exhaustion (freeing the watch channel changed nothing); subscription failure (confirmed active by the system); and wrong-characteristic routing (all were monitored, and the sensor's characteristic set was logged).</w:t>
      </w:r>
    </w:p>
    <w:p>
      <w:pPr>
        <w:pStyle w:val="ListParagraph"/>
        <w:numPr>
          <w:ilvl w:val="0"/>
          <w:numId w:val="2"/>
        </w:numPr>
        <w:spacing w:after="80" w:line="276"/>
      </w:pPr>
      <w:r>
        <w:rPr>
          <w:b/>
          <w:bCs/>
        </w:rPr>
        <w:t xml:space="preserve">Conclusion:</w:t>
      </w:r>
      <w:r>
        <w:rPr>
          <w:b w:val="false"/>
          <w:bCs w:val="false"/>
        </w:rPr>
        <w:t xml:space="preserve"> the G7 permits one collecting application per sensor. That application is the official Dexcom app, which cannot be displaced because it owns pairing and the alarms.</w:t>
      </w:r>
    </w:p>
    <w:p>
      <w:pPr>
        <w:pStyle w:val="ListParagraph"/>
        <w:numPr>
          <w:ilvl w:val="0"/>
          <w:numId w:val="2"/>
        </w:numPr>
        <w:spacing w:after="80" w:line="276"/>
      </w:pPr>
      <w:r>
        <w:rPr>
          <w:b/>
          <w:bCs/>
        </w:rPr>
        <w:t xml:space="preserve">What would change this:</w:t>
      </w:r>
      <w:r>
        <w:rPr>
          <w:b w:val="false"/>
          <w:bCs w:val="false"/>
        </w:rPr>
        <w:t xml:space="preserve"> a sensor firmware revision, or a G7SensorKit update demonstrating coexistence on current firmware. The sensor tested exposed an undocumented characteristic (</w:t>
      </w:r>
      <w:r>
        <w:rPr>
          <w:rFonts w:ascii="Consolas" w:cs="Consolas" w:eastAsia="Consolas" w:hAnsi="Consolas"/>
          <w:b w:val="false"/>
          <w:bCs w:val="false"/>
          <w:sz w:val="19"/>
          <w:szCs w:val="19"/>
        </w:rPr>
        <w:t xml:space="preserve">F8083538</w:t>
      </w:r>
      <w:r>
        <w:rPr>
          <w:b w:val="false"/>
          <w:bCs w:val="false"/>
        </w:rPr>
        <w:t xml:space="preserve">) and lacked one G7SensorKit expects (</w:t>
      </w:r>
      <w:r>
        <w:rPr>
          <w:rFonts w:ascii="Consolas" w:cs="Consolas" w:eastAsia="Consolas" w:hAnsi="Consolas"/>
          <w:b w:val="false"/>
          <w:bCs w:val="false"/>
          <w:sz w:val="19"/>
          <w:szCs w:val="19"/>
        </w:rPr>
        <w:t xml:space="preserve">F8083533</w:t>
      </w:r>
      <w:r>
        <w:rPr>
          <w:b w:val="false"/>
          <w:bCs w:val="false"/>
        </w:rPr>
        <w:t xml:space="preserve">), suggesting its firmware has moved beyond what the community implementation targets.</w:t>
      </w:r>
    </w:p>
    <w:p>
      <w:pPr>
        <w:spacing w:after="100" w:before="180"/>
      </w:pPr>
      <w:r>
        <w:rPr>
          <w:b/>
          <w:bCs/>
          <w:color w:val="1F4D78"/>
        </w:rPr>
        <w:t xml:space="preserve">Source coordinator</w:t>
      </w:r>
    </w:p>
    <w:p>
      <w:pPr>
        <w:pStyle w:val="ListParagraph"/>
        <w:numPr>
          <w:ilvl w:val="0"/>
          <w:numId w:val="2"/>
        </w:numPr>
        <w:spacing w:after="80" w:line="276"/>
      </w:pPr>
      <w:r>
        <w:rPr>
          <w:b w:val="false"/>
          <w:bCs w:val="false"/>
        </w:rPr>
        <w:t xml:space="preserve">A single coordinator receives readings from active sources and emits a unified stream.</w:t>
      </w:r>
    </w:p>
    <w:p>
      <w:pPr>
        <w:pStyle w:val="ListParagraph"/>
        <w:numPr>
          <w:ilvl w:val="0"/>
          <w:numId w:val="2"/>
        </w:numPr>
        <w:spacing w:after="80" w:line="276"/>
      </w:pPr>
      <w:r>
        <w:rPr>
          <w:b/>
          <w:bCs/>
        </w:rPr>
        <w:t xml:space="preserve">Deduplication and persistence</w:t>
      </w:r>
      <w:r>
        <w:rPr>
          <w:b w:val="false"/>
          <w:bCs w:val="false"/>
        </w:rPr>
        <w:t xml:space="preserve"> are keyed on sensor sample time, upserted rather than inserted, because HealthKit backfill routinely re-delivers readings Share already captured.</w:t>
      </w:r>
    </w:p>
    <w:p>
      <w:pPr>
        <w:pStyle w:val="ListParagraph"/>
        <w:numPr>
          <w:ilvl w:val="0"/>
          <w:numId w:val="2"/>
        </w:numPr>
        <w:spacing w:after="80" w:line="276"/>
      </w:pPr>
      <w:r>
        <w:rPr>
          <w:b/>
          <w:bCs/>
        </w:rPr>
        <w:t xml:space="preserve">Live-source rule:</w:t>
      </w:r>
      <w:r>
        <w:rPr>
          <w:b w:val="false"/>
          <w:bCs w:val="false"/>
        </w:rPr>
        <w:t xml:space="preserve"> only Share may supply the displayed current value. HealthKit readings are historical by definition and excluded from that selection regardless of timestamp.</w:t>
      </w:r>
    </w:p>
    <w:p>
      <w:pPr>
        <w:pStyle w:val="ListParagraph"/>
        <w:numPr>
          <w:ilvl w:val="0"/>
          <w:numId w:val="2"/>
        </w:numPr>
        <w:spacing w:after="80" w:line="276"/>
      </w:pPr>
      <w:r>
        <w:rPr>
          <w:b/>
          <w:bCs/>
        </w:rPr>
        <w:t xml:space="preserve">Units:</w:t>
      </w:r>
      <w:r>
        <w:rPr>
          <w:b w:val="false"/>
          <w:bCs w:val="false"/>
        </w:rPr>
        <w:t xml:space="preserve"> stored canonically as integer mg/dL; conversion happens at display time only, so switching units is lossless (§3.1.6).</w:t>
      </w:r>
    </w:p>
    <w:p>
      <w:pPr>
        <w:pStyle w:val="Heading3"/>
        <w:spacing w:after="120" w:before="220"/>
      </w:pPr>
      <w:r>
        <w:rPr>
          <w:b w:val="false"/>
          <w:bCs w:val="false"/>
        </w:rPr>
        <w:t xml:space="preserve">3.1.2 Current Reading Screen</w:t>
      </w:r>
    </w:p>
    <w:p>
      <w:pPr>
        <w:pStyle w:val="ListParagraph"/>
        <w:numPr>
          <w:ilvl w:val="0"/>
          <w:numId w:val="2"/>
        </w:numPr>
        <w:spacing w:after="80" w:line="276"/>
      </w:pPr>
      <w:r>
        <w:rPr>
          <w:b/>
          <w:bCs/>
        </w:rPr>
        <w:t xml:space="preserve">Hero number:</w:t>
      </w:r>
      <w:r>
        <w:rPr>
          <w:b w:val="false"/>
          <w:bCs w:val="false"/>
        </w:rPr>
        <w:t xml:space="preserve"> large, high-contrast glucose value, colour-coded by range (in-range, low, high, urgent).</w:t>
      </w:r>
    </w:p>
    <w:p>
      <w:pPr>
        <w:pStyle w:val="ListParagraph"/>
        <w:numPr>
          <w:ilvl w:val="0"/>
          <w:numId w:val="2"/>
        </w:numPr>
        <w:spacing w:after="80" w:line="276"/>
      </w:pPr>
      <w:r>
        <w:rPr>
          <w:b/>
          <w:bCs/>
        </w:rPr>
        <w:t xml:space="preserve">Out-of-range values:</w:t>
      </w:r>
      <w:r>
        <w:rPr>
          <w:b w:val="false"/>
          <w:bCs w:val="false"/>
        </w:rPr>
        <w:t xml:space="preserve"> the G7 reports only 40–400 mg/dL, confirmed against G7SensorKit's </w:t>
      </w:r>
      <w:r>
        <w:rPr>
          <w:rFonts w:ascii="Consolas" w:cs="Consolas" w:eastAsia="Consolas" w:hAnsi="Consolas"/>
          <w:b w:val="false"/>
          <w:bCs w:val="false"/>
          <w:sz w:val="19"/>
          <w:szCs w:val="19"/>
        </w:rPr>
        <w:t xml:space="preserve">GlucoseLimits</w:t>
      </w:r>
      <w:r>
        <w:rPr>
          <w:b w:val="false"/>
          <w:bCs w:val="false"/>
        </w:rPr>
        <w:t xml:space="preserve">. Values at the rails render as </w:t>
      </w:r>
      <w:r>
        <w:rPr>
          <w:b/>
          <w:bCs/>
        </w:rPr>
        <w:t xml:space="preserve">LOW</w:t>
      </w:r>
      <w:r>
        <w:rPr>
          <w:b w:val="false"/>
          <w:bCs w:val="false"/>
        </w:rPr>
        <w:t xml:space="preserve"> and </w:t>
      </w:r>
      <w:r>
        <w:rPr>
          <w:b/>
          <w:bCs/>
        </w:rPr>
        <w:t xml:space="preserve">HIGH</w:t>
      </w:r>
      <w:r>
        <w:rPr>
          <w:b w:val="false"/>
          <w:bCs w:val="false"/>
        </w:rPr>
        <w:t xml:space="preserve">, never as the numbers 40 and 400, which would present an unknown value as a measured one.</w:t>
      </w:r>
    </w:p>
    <w:p>
      <w:pPr>
        <w:pStyle w:val="ListParagraph"/>
        <w:numPr>
          <w:ilvl w:val="0"/>
          <w:numId w:val="2"/>
        </w:numPr>
        <w:spacing w:after="80" w:line="276"/>
      </w:pPr>
      <w:r>
        <w:rPr>
          <w:b/>
          <w:bCs/>
        </w:rPr>
        <w:t xml:space="preserve">Trend arrow:</w:t>
      </w:r>
      <w:r>
        <w:rPr>
          <w:b w:val="false"/>
          <w:bCs w:val="false"/>
        </w:rPr>
        <w:t xml:space="preserve"> taken directly from the sensor's reported rate of change (§4.2.7). When the sensor reports no trend, no arrow is drawn — a flat arrow is not the same statement as “unknown”.</w:t>
      </w:r>
    </w:p>
    <w:p>
      <w:pPr>
        <w:pStyle w:val="ListParagraph"/>
        <w:numPr>
          <w:ilvl w:val="0"/>
          <w:numId w:val="2"/>
        </w:numPr>
        <w:spacing w:after="80" w:line="276"/>
      </w:pPr>
      <w:r>
        <w:rPr>
          <w:b/>
          <w:bCs/>
        </w:rPr>
        <w:t xml:space="preserve">Freshness:</w:t>
      </w:r>
      <w:r>
        <w:rPr>
          <w:b w:val="false"/>
          <w:bCs w:val="false"/>
        </w:rPr>
        <w:t xml:space="preserve"> rendered from the reading's measured </w:t>
      </w:r>
      <w:r>
        <w:rPr>
          <w:rFonts w:ascii="Consolas" w:cs="Consolas" w:eastAsia="Consolas" w:hAnsi="Consolas"/>
          <w:b w:val="false"/>
          <w:bCs w:val="false"/>
          <w:sz w:val="19"/>
          <w:szCs w:val="19"/>
        </w:rPr>
        <w:t xml:space="preserve">age</w:t>
      </w:r>
      <w:r>
        <w:rPr>
          <w:b w:val="false"/>
          <w:bCs w:val="false"/>
        </w:rPr>
        <w:t xml:space="preserve">, not from arrival time. Amber at &gt;7 min, red at &gt;20 min (§3.1.3).</w:t>
      </w:r>
    </w:p>
    <w:p>
      <w:pPr>
        <w:pStyle w:val="ListParagraph"/>
        <w:numPr>
          <w:ilvl w:val="0"/>
          <w:numId w:val="2"/>
        </w:numPr>
        <w:spacing w:after="80" w:line="276"/>
      </w:pPr>
      <w:r>
        <w:rPr>
          <w:b/>
          <w:bCs/>
        </w:rPr>
        <w:t xml:space="preserve">Connection state:</w:t>
      </w:r>
      <w:r>
        <w:rPr>
          <w:b w:val="false"/>
          <w:bCs w:val="false"/>
        </w:rPr>
        <w:t xml:space="preserve"> a small, low-contrast indicator for the BLE link — connected, reconnecting, or unavailable. Deliberately quiet: reconnection is routine and must not read as an emergency.</w:t>
      </w:r>
    </w:p>
    <w:p>
      <w:pPr>
        <w:pStyle w:val="ListParagraph"/>
        <w:numPr>
          <w:ilvl w:val="0"/>
          <w:numId w:val="2"/>
        </w:numPr>
        <w:spacing w:after="80" w:line="276"/>
      </w:pPr>
      <w:r>
        <w:rPr>
          <w:b/>
          <w:bCs/>
        </w:rPr>
        <w:t xml:space="preserve">Sensor state banner:</w:t>
      </w:r>
      <w:r>
        <w:rPr>
          <w:b w:val="false"/>
          <w:bCs w:val="false"/>
        </w:rPr>
        <w:t xml:space="preserve"> surfaces warmup, temporary issue, failure, and session end as distinct states (§3.1.3), so a routine 30-minute warmup does not present as a broken app.</w:t>
      </w:r>
    </w:p>
    <w:p>
      <w:pPr>
        <w:pStyle w:val="ListParagraph"/>
        <w:numPr>
          <w:ilvl w:val="0"/>
          <w:numId w:val="2"/>
        </w:numPr>
        <w:spacing w:after="80" w:line="276"/>
      </w:pPr>
      <w:r>
        <w:rPr>
          <w:b/>
          <w:bCs/>
        </w:rPr>
        <w:t xml:space="preserve">Delta:</w:t>
      </w:r>
      <w:r>
        <w:rPr>
          <w:b w:val="false"/>
          <w:bCs w:val="false"/>
        </w:rPr>
        <w:t xml:space="preserve"> change from the previous reading and from 15 minutes ago. Suppressed when the intervening data has gaps.</w:t>
      </w:r>
    </w:p>
    <w:p>
      <w:pPr>
        <w:pStyle w:val="ListParagraph"/>
        <w:numPr>
          <w:ilvl w:val="0"/>
          <w:numId w:val="2"/>
        </w:numPr>
        <w:spacing w:after="80" w:line="276"/>
      </w:pPr>
      <w:r>
        <w:rPr>
          <w:b/>
          <w:bCs/>
        </w:rPr>
        <w:t xml:space="preserve">3h chart:</w:t>
      </w:r>
      <w:r>
        <w:rPr>
          <w:b w:val="false"/>
          <w:bCs w:val="false"/>
        </w:rPr>
        <w:t xml:space="preserve"> compact line chart of the last 3 hours with the target range band.</w:t>
      </w:r>
    </w:p>
    <w:p>
      <w:pPr>
        <w:pStyle w:val="Heading3"/>
        <w:spacing w:after="120" w:before="220"/>
      </w:pPr>
      <w:r>
        <w:rPr>
          <w:b w:val="false"/>
          <w:bCs w:val="false"/>
        </w:rPr>
        <w:t xml:space="preserve">3.1.3 Data States &amp; Staleness</w:t>
      </w:r>
    </w:p>
    <w:p>
      <w:pPr>
        <w:pBdr>
          <w:left w:val="single" w:color="BFD3E6" w:sz="12" w:space="8"/>
        </w:pBdr>
        <w:spacing w:after="160" w:line="260"/>
        <w:ind w:left="180"/>
      </w:pPr>
      <w:r>
        <w:rPr>
          <w:b w:val="false"/>
          <w:bCs w:val="false"/>
          <w:i/>
          <w:iCs/>
          <w:color w:val="595959"/>
          <w:sz w:val="20"/>
          <w:szCs w:val="20"/>
        </w:rPr>
        <w:t xml:space="preserve">Rewritten in v1.4. v1.3 modelled sensor lifecycle on the </w:t>
      </w:r>
      <w:r>
        <w:rPr>
          <w:rFonts w:ascii="Consolas" w:cs="Consolas" w:eastAsia="Consolas" w:hAnsi="Consolas"/>
          <w:b w:val="false"/>
          <w:bCs w:val="false"/>
          <w:i/>
          <w:iCs/>
          <w:color w:val="595959"/>
          <w:sz w:val="19"/>
          <w:szCs w:val="19"/>
        </w:rPr>
        <w:t xml:space="preserve">algorithmState</w:t>
      </w:r>
      <w:r>
        <w:rPr>
          <w:b w:val="false"/>
          <w:bCs w:val="false"/>
          <w:i/>
          <w:iCs/>
          <w:color w:val="595959"/>
          <w:sz w:val="20"/>
          <w:szCs w:val="20"/>
        </w:rPr>
        <w:t xml:space="preserve"> byte the sensor broadcasts over BLE. Share exposes no such field, so these states must be inferred from data timing instead — a genuine loss of fidelity compared with the Bluetooth design.</w:t>
      </w:r>
    </w:p>
    <w:p>
      <w:pPr>
        <w:spacing w:after="120" w:line="276"/>
      </w:pPr>
      <w:r>
        <w:rPr>
          <w:b w:val="false"/>
          <w:bCs w:val="false"/>
        </w:rPr>
        <w:t xml:space="preserve">Share returns only a value, a trend, and a timestamp. Warmup, sensor failure, and session end are therefore indistinguishable from one another and from ordinary signal loss: all present as an absence of new readings. The app must not guess between them.</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3200"/>
        <w:gridCol w:w="43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State</w:t>
            </w:r>
          </w:p>
        </w:tc>
        <w:tc>
          <w:tcPr>
            <w:tcW w:type="dxa" w:w="3200"/>
            <w:shd w:fill="DEEAF6" w:color="auto" w:val="clear"/>
            <w:tcMar>
              <w:top w:type="dxa" w:w="60"/>
              <w:left w:type="dxa" w:w="100"/>
              <w:bottom w:type="dxa" w:w="60"/>
              <w:right w:type="dxa" w:w="100"/>
            </w:tcMar>
          </w:tcPr>
          <w:p>
            <w:pPr>
              <w:spacing w:after="0" w:line="250"/>
            </w:pPr>
            <w:r>
              <w:rPr>
                <w:b/>
                <w:bCs/>
                <w:sz w:val="20"/>
                <w:szCs w:val="20"/>
              </w:rPr>
              <w:t xml:space="preserve">Condition</w:t>
            </w:r>
          </w:p>
        </w:tc>
        <w:tc>
          <w:tcPr>
            <w:tcW w:type="dxa" w:w="4360"/>
            <w:shd w:fill="DEEAF6" w:color="auto" w:val="clear"/>
            <w:tcMar>
              <w:top w:type="dxa" w:w="60"/>
              <w:left w:type="dxa" w:w="100"/>
              <w:bottom w:type="dxa" w:w="60"/>
              <w:right w:type="dxa" w:w="100"/>
            </w:tcMar>
          </w:tcPr>
          <w:p>
            <w:pPr>
              <w:spacing w:after="0" w:line="250"/>
            </w:pPr>
            <w:r>
              <w:rPr>
                <w:b/>
                <w:bCs/>
                <w:sz w:val="20"/>
                <w:szCs w:val="20"/>
              </w:rPr>
              <w:t xml:space="preserve">Treatment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Fresh</w:t>
            </w:r>
          </w:p>
        </w:tc>
        <w:tc>
          <w:tcPr>
            <w:tcW w:type="dxa" w:w="3200"/>
            <w:tcMar>
              <w:top w:type="dxa" w:w="60"/>
              <w:left w:type="dxa" w:w="100"/>
              <w:bottom w:type="dxa" w:w="60"/>
              <w:right w:type="dxa" w:w="100"/>
            </w:tcMar>
          </w:tcPr>
          <w:p>
            <w:pPr>
              <w:spacing w:after="0" w:line="250"/>
            </w:pPr>
            <w:r>
              <w:rPr>
                <w:b w:val="false"/>
                <w:bCs w:val="false"/>
                <w:sz w:val="20"/>
                <w:szCs w:val="20"/>
              </w:rPr>
              <w:t xml:space="preserve">Newest reading under 12 minutes old</w:t>
            </w:r>
          </w:p>
        </w:tc>
        <w:tc>
          <w:tcPr>
            <w:tcW w:type="dxa" w:w="4360"/>
            <w:tcMar>
              <w:top w:type="dxa" w:w="60"/>
              <w:left w:type="dxa" w:w="100"/>
              <w:bottom w:type="dxa" w:w="60"/>
              <w:right w:type="dxa" w:w="100"/>
            </w:tcMar>
          </w:tcPr>
          <w:p>
            <w:pPr>
              <w:spacing w:after="0" w:line="250"/>
            </w:pPr>
            <w:r>
              <w:rPr>
                <w:b w:val="false"/>
                <w:bCs w:val="false"/>
                <w:sz w:val="20"/>
                <w:szCs w:val="20"/>
              </w:rPr>
              <w:t xml:space="preserve">Full display: value, trend.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Stale</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12 to 30 minutes</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Freshness label amber; value desaturated.</w:t>
            </w:r>
          </w:p>
        </w:tc>
      </w:tr>
      <w:tr>
        <w:tc>
          <w:tcPr>
            <w:tcW w:type="dxa" w:w="1800"/>
            <w:tcMar>
              <w:top w:type="dxa" w:w="60"/>
              <w:left w:type="dxa" w:w="100"/>
              <w:bottom w:type="dxa" w:w="60"/>
              <w:right w:type="dxa" w:w="100"/>
            </w:tcMar>
          </w:tcPr>
          <w:p>
            <w:pPr>
              <w:spacing w:after="0" w:line="250"/>
            </w:pPr>
            <w:r>
              <w:rPr>
                <w:b w:val="false"/>
                <w:bCs w:val="false"/>
                <w:sz w:val="20"/>
                <w:szCs w:val="20"/>
              </w:rPr>
              <w:t xml:space="preserve">Critically stale</w:t>
            </w:r>
          </w:p>
        </w:tc>
        <w:tc>
          <w:tcPr>
            <w:tcW w:type="dxa" w:w="3200"/>
            <w:tcMar>
              <w:top w:type="dxa" w:w="60"/>
              <w:left w:type="dxa" w:w="100"/>
              <w:bottom w:type="dxa" w:w="60"/>
              <w:right w:type="dxa" w:w="100"/>
            </w:tcMar>
          </w:tcPr>
          <w:p>
            <w:pPr>
              <w:spacing w:after="0" w:line="250"/>
            </w:pPr>
            <w:r>
              <w:rPr>
                <w:b w:val="false"/>
                <w:bCs w:val="false"/>
                <w:sz w:val="20"/>
                <w:szCs w:val="20"/>
              </w:rPr>
              <w:t xml:space="preserve">Over 30 minutes</w:t>
            </w:r>
          </w:p>
        </w:tc>
        <w:tc>
          <w:tcPr>
            <w:tcW w:type="dxa" w:w="4360"/>
            <w:tcMar>
              <w:top w:type="dxa" w:w="60"/>
              <w:left w:type="dxa" w:w="100"/>
              <w:bottom w:type="dxa" w:w="60"/>
              <w:right w:type="dxa" w:w="100"/>
            </w:tcMar>
          </w:tcPr>
          <w:p>
            <w:pPr>
              <w:spacing w:after="0" w:line="250"/>
            </w:pPr>
            <w:r>
              <w:rPr>
                <w:b w:val="false"/>
                <w:bCs w:val="false"/>
                <w:sz w:val="20"/>
                <w:szCs w:val="20"/>
              </w:rPr>
              <w:t xml:space="preserve">Value muted, </w:t>
            </w:r>
            <w:r>
              <w:rPr>
                <w:b/>
                <w:bCs/>
                <w:sz w:val="20"/>
                <w:szCs w:val="20"/>
              </w:rPr>
              <w:t xml:space="preserve">trend arrow hidden</w:t>
            </w:r>
            <w:r>
              <w:rPr>
                <w:b w:val="false"/>
                <w:bCs w:val="false"/>
                <w:sz w:val="20"/>
                <w:szCs w:val="20"/>
              </w:rPr>
              <w:t xml:space="preserve">, explicit prompt to open the official Dexcom app.</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No data</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Share returns an empty set</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No value. Most often sensor warmup or a session gap — the app says it cannot tell which, rather than inventing a reason.</w:t>
            </w:r>
          </w:p>
        </w:tc>
      </w:tr>
      <w:tr>
        <w:tc>
          <w:tcPr>
            <w:tcW w:type="dxa" w:w="1800"/>
            <w:tcMar>
              <w:top w:type="dxa" w:w="60"/>
              <w:left w:type="dxa" w:w="100"/>
              <w:bottom w:type="dxa" w:w="60"/>
              <w:right w:type="dxa" w:w="100"/>
            </w:tcMar>
          </w:tcPr>
          <w:p>
            <w:pPr>
              <w:spacing w:after="0" w:line="250"/>
            </w:pPr>
            <w:r>
              <w:rPr>
                <w:b w:val="false"/>
                <w:bCs w:val="false"/>
                <w:sz w:val="20"/>
                <w:szCs w:val="20"/>
              </w:rPr>
              <w:t xml:space="preserve">Signed out / auth failed</w:t>
            </w:r>
          </w:p>
        </w:tc>
        <w:tc>
          <w:tcPr>
            <w:tcW w:type="dxa" w:w="3200"/>
            <w:tcMar>
              <w:top w:type="dxa" w:w="60"/>
              <w:left w:type="dxa" w:w="100"/>
              <w:bottom w:type="dxa" w:w="60"/>
              <w:right w:type="dxa" w:w="100"/>
            </w:tcMar>
          </w:tcPr>
          <w:p>
            <w:pPr>
              <w:spacing w:after="0" w:line="250"/>
            </w:pPr>
            <w:r>
              <w:rPr>
                <w:b w:val="false"/>
                <w:bCs w:val="false"/>
                <w:sz w:val="20"/>
                <w:szCs w:val="20"/>
              </w:rPr>
              <w:t xml:space="preserve">Terminal auth error</w:t>
            </w:r>
          </w:p>
        </w:tc>
        <w:tc>
          <w:tcPr>
            <w:tcW w:type="dxa" w:w="4360"/>
            <w:tcMar>
              <w:top w:type="dxa" w:w="60"/>
              <w:left w:type="dxa" w:w="100"/>
              <w:bottom w:type="dxa" w:w="60"/>
              <w:right w:type="dxa" w:w="100"/>
            </w:tcMar>
          </w:tcPr>
          <w:p>
            <w:pPr>
              <w:spacing w:after="0" w:line="250"/>
            </w:pPr>
            <w:r>
              <w:rPr>
                <w:b w:val="false"/>
                <w:bCs w:val="false"/>
                <w:sz w:val="20"/>
                <w:szCs w:val="20"/>
              </w:rPr>
              <w:t xml:space="preserve">Polling stopped, credentials prompt. Never retried automatically (§4.2.3).</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Offline</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Network unreachable</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Last known value with accurate age, retry with backoff.</w:t>
            </w:r>
          </w:p>
        </w:tc>
      </w:tr>
    </w:tbl>
    <w:p>
      <w:pPr>
        <w:spacing w:after="100"/>
      </w:pPr>
    </w:p>
    <w:p>
      <w:pPr>
        <w:spacing w:after="120" w:line="276"/>
      </w:pPr>
      <w:r>
        <w:rPr>
          <w:b w:val="false"/>
          <w:bCs w:val="false"/>
        </w:rPr>
        <w:t xml:space="preserve">Thresholds are 12 and 30 minutes: Share adds a minute or two on top of the sensor's 5-minute cadence, so a single missed reading is routine and must not raise an alarm, while a genuine gap should surface before the user acts on an old number.</w:t>
      </w:r>
    </w:p>
    <w:p>
      <w:pPr>
        <w:spacing w:after="120" w:line="276"/>
      </w:pPr>
      <w:r>
        <w:rPr>
          <w:b/>
          <w:bCs/>
        </w:rPr>
        <w:t xml:space="preserve">The trend arrow is hidden in the critically-stale state.</w:t>
      </w:r>
      <w:r>
        <w:rPr>
          <w:b w:val="false"/>
          <w:bCs w:val="false"/>
        </w:rPr>
        <w:t xml:space="preserve"> An arrow is a claim about the present derived from the recent past; on data half an hour old it is not merely unhelpful but misleading.</w:t>
      </w:r>
    </w:p>
    <w:p>
      <w:pPr>
        <w:spacing w:after="100" w:before="180"/>
      </w:pPr>
      <w:r>
        <w:rPr>
          <w:b/>
          <w:bCs/>
          <w:color w:val="1F4D78"/>
        </w:rPr>
        <w:t xml:space="preserve">What is lost relative to the Bluetooth design</w:t>
      </w:r>
    </w:p>
    <w:p>
      <w:pPr>
        <w:spacing w:after="120" w:line="276"/>
      </w:pPr>
      <w:r>
        <w:rPr>
          <w:b w:val="false"/>
          <w:bCs w:val="false"/>
        </w:rPr>
        <w:t xml:space="preserve">The BLE path would have supplied </w:t>
      </w:r>
      <w:r>
        <w:rPr>
          <w:rFonts w:ascii="Consolas" w:cs="Consolas" w:eastAsia="Consolas" w:hAnsi="Consolas"/>
          <w:b w:val="false"/>
          <w:bCs w:val="false"/>
          <w:sz w:val="19"/>
          <w:szCs w:val="19"/>
        </w:rPr>
        <w:t xml:space="preserve">algorithmState</w:t>
      </w:r>
      <w:r>
        <w:rPr>
          <w:b w:val="false"/>
          <w:bCs w:val="false"/>
        </w:rPr>
        <w:t xml:space="preserve"> (26 distinct sensor states including specific failure modes), a measured </w:t>
      </w:r>
      <w:r>
        <w:rPr>
          <w:rFonts w:ascii="Consolas" w:cs="Consolas" w:eastAsia="Consolas" w:hAnsi="Consolas"/>
          <w:b w:val="false"/>
          <w:bCs w:val="false"/>
          <w:sz w:val="19"/>
          <w:szCs w:val="19"/>
        </w:rPr>
        <w:t xml:space="preserve">age</w:t>
      </w:r>
      <w:r>
        <w:rPr>
          <w:b w:val="false"/>
          <w:bCs w:val="false"/>
        </w:rPr>
        <w:t xml:space="preserve"> in seconds per reading, and the sensor's own forward prediction. None is available via Share. Sensor session tracking (§3.3) becomes inference from gap patterns rather than direct reporting, and is correspondingly less reliable.</w:t>
      </w:r>
    </w:p>
    <w:p>
      <w:pPr>
        <w:pStyle w:val="Heading3"/>
        <w:spacing w:after="120" w:before="220"/>
      </w:pPr>
      <w:r>
        <w:rPr>
          <w:b w:val="false"/>
          <w:bCs w:val="false"/>
        </w:rPr>
        <w:t xml:space="preserve">3.1.4 Adaptive Theme System</w:t>
      </w:r>
    </w:p>
    <w:p>
      <w:pPr>
        <w:pStyle w:val="ListParagraph"/>
        <w:numPr>
          <w:ilvl w:val="0"/>
          <w:numId w:val="2"/>
        </w:numPr>
        <w:spacing w:after="80" w:line="276"/>
      </w:pPr>
      <w:r>
        <w:rPr>
          <w:b/>
          <w:bCs/>
        </w:rPr>
        <w:t xml:space="preserve">Three themes:</w:t>
      </w:r>
      <w:r>
        <w:rPr>
          <w:b w:val="false"/>
          <w:bCs w:val="false"/>
        </w:rPr>
        <w:t xml:space="preserve"> True Black (OLED, pure #000000 background), Soft Dark (#1C1C1E, iOS-standard), Light (high-contrast white for outdoor visibility).</w:t>
      </w:r>
    </w:p>
    <w:p>
      <w:pPr>
        <w:pStyle w:val="ListParagraph"/>
        <w:numPr>
          <w:ilvl w:val="0"/>
          <w:numId w:val="2"/>
        </w:numPr>
        <w:spacing w:after="80" w:line="276"/>
      </w:pPr>
      <w:r>
        <w:rPr>
          <w:b/>
          <w:bCs/>
        </w:rPr>
        <w:t xml:space="preserve">System sync:</w:t>
      </w:r>
      <w:r>
        <w:rPr>
          <w:b w:val="false"/>
          <w:bCs w:val="false"/>
        </w:rPr>
        <w:t xml:space="preserve"> honour the iOS appearance setting by default; the user can override.</w:t>
      </w:r>
    </w:p>
    <w:p>
      <w:pPr>
        <w:pStyle w:val="ListParagraph"/>
        <w:numPr>
          <w:ilvl w:val="0"/>
          <w:numId w:val="2"/>
        </w:numPr>
        <w:spacing w:after="80" w:line="276"/>
      </w:pPr>
      <w:r>
        <w:rPr>
          <w:b/>
          <w:bCs/>
        </w:rPr>
        <w:t xml:space="preserve">Bedside Mode:</w:t>
      </w:r>
      <w:r>
        <w:rPr>
          <w:b w:val="false"/>
          <w:bCs w:val="false"/>
        </w:rPr>
        <w:t xml:space="preserve"> a separate toggle — dimmed, red-shifted palette for nighttime checks without disrupting dark adaptation. Activates manually or on a schedule (default 10pm to 7am), with the ambient light sensor used only as a modifier, never as the sole trigger (§8).</w:t>
      </w:r>
    </w:p>
    <w:p>
      <w:pPr>
        <w:pStyle w:val="ListParagraph"/>
        <w:numPr>
          <w:ilvl w:val="0"/>
          <w:numId w:val="2"/>
        </w:numPr>
        <w:spacing w:after="80" w:line="276"/>
      </w:pPr>
      <w:r>
        <w:rPr>
          <w:b/>
          <w:bCs/>
        </w:rPr>
        <w:t xml:space="preserve">Colour-blind safety:</w:t>
      </w:r>
      <w:r>
        <w:rPr>
          <w:b w:val="false"/>
          <w:bCs w:val="false"/>
        </w:rPr>
        <w:t xml:space="preserve"> range state is encoded in colour </w:t>
      </w:r>
      <w:r>
        <w:rPr>
          <w:b/>
          <w:bCs/>
        </w:rPr>
        <w:t xml:space="preserve">and</w:t>
      </w:r>
      <w:r>
        <w:rPr>
          <w:b w:val="false"/>
          <w:bCs w:val="false"/>
        </w:rPr>
        <w:t xml:space="preserve"> shape (a distinct glyph per range), because in-range green and low red are precisely the deuteranopia-confusable pair. The glyph is load-bearing, not decorative, and must be legible at complication size.</w:t>
      </w:r>
    </w:p>
    <w:p>
      <w:pPr>
        <w:spacing w:after="120" w:line="276"/>
      </w:pPr>
      <w:r>
        <w:rPr>
          <w:b w:val="false"/>
          <w:bCs w:val="false"/>
        </w:rPr>
        <w:t xml:space="preserve">Implementation details, including the corrected dimming approach, are in §5.3.</w:t>
      </w:r>
    </w:p>
    <w:p>
      <w:pPr>
        <w:pStyle w:val="Heading3"/>
        <w:spacing w:after="120" w:before="220"/>
      </w:pPr>
      <w:r>
        <w:rPr>
          <w:b w:val="false"/>
          <w:bCs w:val="false"/>
        </w:rPr>
        <w:t xml:space="preserve">3.1.5 Historical View &amp; Statistics</w:t>
      </w:r>
    </w:p>
    <w:p>
      <w:pPr>
        <w:pBdr>
          <w:left w:val="single" w:color="BFD3E6" w:sz="12" w:space="8"/>
        </w:pBdr>
        <w:spacing w:after="160" w:line="260"/>
        <w:ind w:left="180"/>
      </w:pPr>
      <w:r>
        <w:rPr>
          <w:b w:val="false"/>
          <w:bCs w:val="false"/>
          <w:i/>
          <w:iCs/>
          <w:color w:val="595959"/>
          <w:sz w:val="20"/>
          <w:szCs w:val="20"/>
        </w:rPr>
        <w:t xml:space="preserve">Implemented in v1.5.</w:t>
      </w:r>
    </w:p>
    <w:p>
      <w:pPr>
        <w:pStyle w:val="ListParagraph"/>
        <w:numPr>
          <w:ilvl w:val="0"/>
          <w:numId w:val="2"/>
        </w:numPr>
        <w:spacing w:after="80" w:line="276"/>
      </w:pPr>
      <w:r>
        <w:rPr>
          <w:b/>
          <w:bCs/>
        </w:rPr>
        <w:t xml:space="preserve">Time windows:</w:t>
      </w:r>
      <w:r>
        <w:rPr>
          <w:b w:val="false"/>
          <w:bCs w:val="false"/>
        </w:rPr>
        <w:t xml:space="preserve"> 3h, 6h, 12h, 24h, 7d, 14d, 30d.</w:t>
      </w:r>
    </w:p>
    <w:p>
      <w:pPr>
        <w:spacing w:after="100" w:before="180"/>
      </w:pPr>
      <w:r>
        <w:rPr>
          <w:b/>
          <w:bCs/>
          <w:color w:val="1F4D78"/>
        </w:rPr>
        <w:t xml:space="preserve">Glycemic bands</w:t>
      </w:r>
    </w:p>
    <w:p>
      <w:pPr>
        <w:spacing w:after="120" w:line="276"/>
      </w:pPr>
      <w:r>
        <w:rPr>
          <w:b w:val="false"/>
          <w:bCs w:val="false"/>
        </w:rPr>
        <w:t xml:space="preserve">Classification lives in a single </w:t>
      </w:r>
      <w:r>
        <w:rPr>
          <w:rFonts w:ascii="Consolas" w:cs="Consolas" w:eastAsia="Consolas" w:hAnsi="Consolas"/>
          <w:b w:val="false"/>
          <w:bCs w:val="false"/>
          <w:sz w:val="19"/>
          <w:szCs w:val="19"/>
        </w:rPr>
        <w:t xml:space="preserve">GlycemicBand</w:t>
      </w:r>
      <w:r>
        <w:rPr>
          <w:b w:val="false"/>
          <w:bCs w:val="false"/>
        </w:rPr>
        <w:t xml:space="preserve"> type, deliberately free of any UI framework. The same rule drives chart colouring and the statistics below; two copies would eventually disagree, and an app whose stated time-in-range contradicts its own chart is worse than one that reports neither.</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000"/>
        <w:gridCol w:w="2100"/>
        <w:gridCol w:w="2200"/>
        <w:gridCol w:w="3060"/>
      </w:tblGrid>
      <w:tr>
        <w:trPr>
          <w:tblHeader/>
        </w:trPr>
        <w:tc>
          <w:tcPr>
            <w:tcW w:type="dxa" w:w="2000"/>
            <w:shd w:fill="DEEAF6" w:color="auto" w:val="clear"/>
            <w:tcMar>
              <w:top w:type="dxa" w:w="60"/>
              <w:left w:type="dxa" w:w="100"/>
              <w:bottom w:type="dxa" w:w="60"/>
              <w:right w:type="dxa" w:w="100"/>
            </w:tcMar>
          </w:tcPr>
          <w:p>
            <w:pPr>
              <w:spacing w:after="0" w:line="250"/>
            </w:pPr>
            <w:r>
              <w:rPr>
                <w:b/>
                <w:bCs/>
                <w:sz w:val="20"/>
                <w:szCs w:val="20"/>
              </w:rPr>
              <w:t xml:space="preserve">Band</w:t>
            </w:r>
          </w:p>
        </w:tc>
        <w:tc>
          <w:tcPr>
            <w:tcW w:type="dxa" w:w="2100"/>
            <w:shd w:fill="DEEAF6" w:color="auto" w:val="clear"/>
            <w:tcMar>
              <w:top w:type="dxa" w:w="60"/>
              <w:left w:type="dxa" w:w="100"/>
              <w:bottom w:type="dxa" w:w="60"/>
              <w:right w:type="dxa" w:w="100"/>
            </w:tcMar>
          </w:tcPr>
          <w:p>
            <w:pPr>
              <w:spacing w:after="0" w:line="250"/>
            </w:pPr>
            <w:r>
              <w:rPr>
                <w:b/>
                <w:bCs/>
                <w:sz w:val="20"/>
                <w:szCs w:val="20"/>
              </w:rPr>
              <w:t xml:space="preserve">mg/dL</w:t>
            </w:r>
          </w:p>
        </w:tc>
        <w:tc>
          <w:tcPr>
            <w:tcW w:type="dxa" w:w="2200"/>
            <w:shd w:fill="DEEAF6" w:color="auto" w:val="clear"/>
            <w:tcMar>
              <w:top w:type="dxa" w:w="60"/>
              <w:left w:type="dxa" w:w="100"/>
              <w:bottom w:type="dxa" w:w="60"/>
              <w:right w:type="dxa" w:w="100"/>
            </w:tcMar>
          </w:tcPr>
          <w:p>
            <w:pPr>
              <w:spacing w:after="0" w:line="250"/>
            </w:pPr>
            <w:r>
              <w:rPr>
                <w:b/>
                <w:bCs/>
                <w:sz w:val="20"/>
                <w:szCs w:val="20"/>
              </w:rPr>
              <w:t xml:space="preserve">mmol/L</w:t>
            </w:r>
          </w:p>
        </w:tc>
        <w:tc>
          <w:tcPr>
            <w:tcW w:type="dxa" w:w="3060"/>
            <w:shd w:fill="DEEAF6" w:color="auto" w:val="clear"/>
            <w:tcMar>
              <w:top w:type="dxa" w:w="60"/>
              <w:left w:type="dxa" w:w="100"/>
              <w:bottom w:type="dxa" w:w="60"/>
              <w:right w:type="dxa" w:w="100"/>
            </w:tcMar>
          </w:tcPr>
          <w:p>
            <w:pPr>
              <w:spacing w:after="0" w:line="250"/>
            </w:pPr>
            <w:r>
              <w:rPr>
                <w:b/>
                <w:bCs/>
                <w:sz w:val="20"/>
                <w:szCs w:val="20"/>
              </w:rPr>
              <w:t xml:space="preserve">Consensus target</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Low</w:t>
            </w:r>
          </w:p>
        </w:tc>
        <w:tc>
          <w:tcPr>
            <w:tcW w:type="dxa" w:w="2100"/>
            <w:tcMar>
              <w:top w:type="dxa" w:w="60"/>
              <w:left w:type="dxa" w:w="100"/>
              <w:bottom w:type="dxa" w:w="60"/>
              <w:right w:type="dxa" w:w="100"/>
            </w:tcMar>
          </w:tcPr>
          <w:p>
            <w:pPr>
              <w:spacing w:after="0" w:line="250"/>
            </w:pPr>
            <w:r>
              <w:rPr>
                <w:b w:val="false"/>
                <w:bCs w:val="false"/>
                <w:sz w:val="20"/>
                <w:szCs w:val="20"/>
              </w:rPr>
              <w:t xml:space="preserve">&lt; 54</w:t>
            </w:r>
          </w:p>
        </w:tc>
        <w:tc>
          <w:tcPr>
            <w:tcW w:type="dxa" w:w="2200"/>
            <w:tcMar>
              <w:top w:type="dxa" w:w="60"/>
              <w:left w:type="dxa" w:w="100"/>
              <w:bottom w:type="dxa" w:w="60"/>
              <w:right w:type="dxa" w:w="100"/>
            </w:tcMar>
          </w:tcPr>
          <w:p>
            <w:pPr>
              <w:spacing w:after="0" w:line="250"/>
            </w:pPr>
            <w:r>
              <w:rPr>
                <w:b w:val="false"/>
                <w:bCs w:val="false"/>
                <w:sz w:val="20"/>
                <w:szCs w:val="20"/>
              </w:rPr>
              <w:t xml:space="preserve">&lt; 3.0</w:t>
            </w:r>
          </w:p>
        </w:tc>
        <w:tc>
          <w:tcPr>
            <w:tcW w:type="dxa" w:w="3060"/>
            <w:tcMar>
              <w:top w:type="dxa" w:w="60"/>
              <w:left w:type="dxa" w:w="100"/>
              <w:bottom w:type="dxa" w:w="60"/>
              <w:right w:type="dxa" w:w="100"/>
            </w:tcMar>
          </w:tcPr>
          <w:p>
            <w:pPr>
              <w:spacing w:after="0" w:line="250"/>
            </w:pPr>
            <w:r>
              <w:rPr>
                <w:b w:val="false"/>
                <w:bCs w:val="false"/>
                <w:sz w:val="20"/>
                <w:szCs w:val="20"/>
              </w:rPr>
              <w:t xml:space="preserve">&lt; 1% of readings</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Low</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54 – 69</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3.0 – 3.8</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4% (Low + Very Low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Target</w:t>
            </w:r>
          </w:p>
        </w:tc>
        <w:tc>
          <w:tcPr>
            <w:tcW w:type="dxa" w:w="2100"/>
            <w:tcMar>
              <w:top w:type="dxa" w:w="60"/>
              <w:left w:type="dxa" w:w="100"/>
              <w:bottom w:type="dxa" w:w="60"/>
              <w:right w:type="dxa" w:w="100"/>
            </w:tcMar>
          </w:tcPr>
          <w:p>
            <w:pPr>
              <w:spacing w:after="0" w:line="250"/>
            </w:pPr>
            <w:r>
              <w:rPr>
                <w:b w:val="false"/>
                <w:bCs w:val="false"/>
                <w:sz w:val="20"/>
                <w:szCs w:val="20"/>
              </w:rPr>
              <w:t xml:space="preserve">70 – 180</w:t>
            </w:r>
          </w:p>
        </w:tc>
        <w:tc>
          <w:tcPr>
            <w:tcW w:type="dxa" w:w="2200"/>
            <w:tcMar>
              <w:top w:type="dxa" w:w="60"/>
              <w:left w:type="dxa" w:w="100"/>
              <w:bottom w:type="dxa" w:w="60"/>
              <w:right w:type="dxa" w:w="100"/>
            </w:tcMar>
          </w:tcPr>
          <w:p>
            <w:pPr>
              <w:spacing w:after="0" w:line="250"/>
            </w:pPr>
            <w:r>
              <w:rPr>
                <w:b w:val="false"/>
                <w:bCs w:val="false"/>
                <w:sz w:val="20"/>
                <w:szCs w:val="20"/>
              </w:rPr>
              <w:t xml:space="preserve">3.9 – 10.0</w:t>
            </w:r>
          </w:p>
        </w:tc>
        <w:tc>
          <w:tcPr>
            <w:tcW w:type="dxa" w:w="3060"/>
            <w:tcMar>
              <w:top w:type="dxa" w:w="60"/>
              <w:left w:type="dxa" w:w="100"/>
              <w:bottom w:type="dxa" w:w="60"/>
              <w:right w:type="dxa" w:w="100"/>
            </w:tcMar>
          </w:tcPr>
          <w:p>
            <w:pPr>
              <w:spacing w:after="0" w:line="250"/>
            </w:pPr>
            <w:r>
              <w:rPr>
                <w:b w:val="false"/>
                <w:bCs w:val="false"/>
                <w:sz w:val="20"/>
                <w:szCs w:val="20"/>
              </w:rPr>
              <w:t xml:space="preserve">&gt; 70%</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High</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181 – 250</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10.1 – 13.9</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25% (High + Very High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High</w:t>
            </w:r>
          </w:p>
        </w:tc>
        <w:tc>
          <w:tcPr>
            <w:tcW w:type="dxa" w:w="2100"/>
            <w:tcMar>
              <w:top w:type="dxa" w:w="60"/>
              <w:left w:type="dxa" w:w="100"/>
              <w:bottom w:type="dxa" w:w="60"/>
              <w:right w:type="dxa" w:w="100"/>
            </w:tcMar>
          </w:tcPr>
          <w:p>
            <w:pPr>
              <w:spacing w:after="0" w:line="250"/>
            </w:pPr>
            <w:r>
              <w:rPr>
                <w:b w:val="false"/>
                <w:bCs w:val="false"/>
                <w:sz w:val="20"/>
                <w:szCs w:val="20"/>
              </w:rPr>
              <w:t xml:space="preserve">&gt; 250</w:t>
            </w:r>
          </w:p>
        </w:tc>
        <w:tc>
          <w:tcPr>
            <w:tcW w:type="dxa" w:w="2200"/>
            <w:tcMar>
              <w:top w:type="dxa" w:w="60"/>
              <w:left w:type="dxa" w:w="100"/>
              <w:bottom w:type="dxa" w:w="60"/>
              <w:right w:type="dxa" w:w="100"/>
            </w:tcMar>
          </w:tcPr>
          <w:p>
            <w:pPr>
              <w:spacing w:after="0" w:line="250"/>
            </w:pPr>
            <w:r>
              <w:rPr>
                <w:b w:val="false"/>
                <w:bCs w:val="false"/>
                <w:sz w:val="20"/>
                <w:szCs w:val="20"/>
              </w:rPr>
              <w:t xml:space="preserve">&gt; 13.9</w:t>
            </w:r>
          </w:p>
        </w:tc>
        <w:tc>
          <w:tcPr>
            <w:tcW w:type="dxa" w:w="3060"/>
            <w:tcMar>
              <w:top w:type="dxa" w:w="60"/>
              <w:left w:type="dxa" w:w="100"/>
              <w:bottom w:type="dxa" w:w="60"/>
              <w:right w:type="dxa" w:w="100"/>
            </w:tcMar>
          </w:tcPr>
          <w:p>
            <w:pPr>
              <w:spacing w:after="0" w:line="250"/>
            </w:pPr>
            <w:r>
              <w:rPr>
                <w:b w:val="false"/>
                <w:bCs w:val="false"/>
                <w:sz w:val="20"/>
                <w:szCs w:val="20"/>
              </w:rPr>
              <w:t xml:space="preserve">&lt; 5%</w:t>
            </w:r>
          </w:p>
        </w:tc>
      </w:tr>
    </w:tbl>
    <w:p>
      <w:pPr>
        <w:spacing w:after="100"/>
      </w:pPr>
    </w:p>
    <w:p>
      <w:pPr>
        <w:spacing w:after="120" w:line="276"/>
      </w:pPr>
      <w:r>
        <w:rPr>
          <w:b w:val="false"/>
          <w:bCs w:val="false"/>
        </w:rPr>
        <w:t xml:space="preserve">Thresholds are fixed at consensus values and are not user-editable. Making them adjustable would let the reported time-in-range drift away from the figure an endocrinologist reads on an AGP report, silently.</w:t>
      </w:r>
    </w:p>
    <w:p>
      <w:pPr>
        <w:spacing w:after="100" w:before="180"/>
      </w:pPr>
      <w:r>
        <w:rPr>
          <w:b/>
          <w:bCs/>
          <w:color w:val="1F4D78"/>
        </w:rPr>
        <w:t xml:space="preserve">Reported statistics</w:t>
      </w:r>
    </w:p>
    <w:p>
      <w:pPr>
        <w:pStyle w:val="ListParagraph"/>
        <w:numPr>
          <w:ilvl w:val="0"/>
          <w:numId w:val="2"/>
        </w:numPr>
        <w:spacing w:after="80" w:line="276"/>
      </w:pPr>
      <w:r>
        <w:rPr>
          <w:b/>
          <w:bCs/>
        </w:rPr>
        <w:t xml:space="preserve">Average</w:t>
      </w:r>
      <w:r>
        <w:rPr>
          <w:b w:val="false"/>
          <w:bCs w:val="false"/>
        </w:rPr>
        <w:t xml:space="preserve"> and </w:t>
      </w:r>
      <w:r>
        <w:rPr>
          <w:b/>
          <w:bCs/>
        </w:rPr>
        <w:t xml:space="preserve">median</w:t>
      </w:r>
      <w:r>
        <w:rPr>
          <w:b w:val="false"/>
          <w:bCs w:val="false"/>
        </w:rPr>
        <w:t xml:space="preserve">. The median is retained because a single sensor artifact moves the mean substantially and the median barely at all.</w:t>
      </w:r>
    </w:p>
    <w:p>
      <w:pPr>
        <w:pStyle w:val="ListParagraph"/>
        <w:numPr>
          <w:ilvl w:val="0"/>
          <w:numId w:val="2"/>
        </w:numPr>
        <w:spacing w:after="80" w:line="276"/>
      </w:pPr>
      <w:r>
        <w:rPr>
          <w:b/>
          <w:bCs/>
        </w:rPr>
        <w:t xml:space="preserve">Coefficient of variation (CV%)</w:t>
      </w:r>
      <w:r>
        <w:rPr>
          <w:b w:val="false"/>
          <w:bCs w:val="false"/>
        </w:rPr>
        <w:t xml:space="preserve"> = SD / mean × 100, target below 36%. The headline variability metric, because it scales with glucose level and is therefore comparable across weeks; raw SD is not. Displayed with a target indicator.</w:t>
      </w:r>
    </w:p>
    <w:p>
      <w:pPr>
        <w:pStyle w:val="ListParagraph"/>
        <w:numPr>
          <w:ilvl w:val="0"/>
          <w:numId w:val="2"/>
        </w:numPr>
        <w:spacing w:after="80" w:line="276"/>
      </w:pPr>
      <w:r>
        <w:rPr>
          <w:b/>
          <w:bCs/>
        </w:rPr>
        <w:t xml:space="preserve">Standard deviation</w:t>
      </w:r>
      <w:r>
        <w:rPr>
          <w:b w:val="false"/>
          <w:bCs w:val="false"/>
        </w:rPr>
        <w:t xml:space="preserve">, sample (n−1), retained but de-emphasised. Shown where GMI is not yet available.</w:t>
      </w:r>
    </w:p>
    <w:p>
      <w:pPr>
        <w:pStyle w:val="ListParagraph"/>
        <w:numPr>
          <w:ilvl w:val="0"/>
          <w:numId w:val="2"/>
        </w:numPr>
        <w:spacing w:after="80" w:line="276"/>
      </w:pPr>
      <w:r>
        <w:rPr>
          <w:b/>
          <w:bCs/>
        </w:rPr>
        <w:t xml:space="preserve">GMI</w:t>
      </w:r>
      <w:r>
        <w:rPr>
          <w:b w:val="false"/>
          <w:bCs w:val="false"/>
        </w:rPr>
        <w:t xml:space="preserve"> = </w:t>
      </w:r>
      <w:r>
        <w:rPr>
          <w:rFonts w:ascii="Consolas" w:cs="Consolas" w:eastAsia="Consolas" w:hAnsi="Consolas"/>
          <w:b w:val="false"/>
          <w:bCs w:val="false"/>
          <w:sz w:val="19"/>
          <w:szCs w:val="19"/>
        </w:rPr>
        <w:t xml:space="preserve">3.31 + 0.02392 × mean mg/dL</w:t>
      </w:r>
      <w:r>
        <w:rPr>
          <w:b w:val="false"/>
          <w:bCs w:val="false"/>
        </w:rPr>
        <w:t xml:space="preserve">. </w:t>
      </w:r>
      <w:r>
        <w:rPr>
          <w:b/>
          <w:bCs/>
        </w:rPr>
        <w:t xml:space="preserve">Displayed only for windows of 14 days or more at 70% coverage or better.</w:t>
      </w:r>
      <w:r>
        <w:rPr>
          <w:b w:val="false"/>
          <w:bCs w:val="false"/>
        </w:rPr>
        <w:t xml:space="preserve"> Below either threshold it is hidden and the reason is stated. Showing a number with a caveat invites the number being read and the caveat ignored.</w:t>
      </w:r>
    </w:p>
    <w:p>
      <w:pPr>
        <w:pStyle w:val="ListParagraph"/>
        <w:numPr>
          <w:ilvl w:val="0"/>
          <w:numId w:val="2"/>
        </w:numPr>
        <w:spacing w:after="80" w:line="276"/>
      </w:pPr>
      <w:r>
        <w:rPr>
          <w:b/>
          <w:bCs/>
        </w:rPr>
        <w:t xml:space="preserve">Coverage</w:t>
      </w:r>
      <w:r>
        <w:rPr>
          <w:b w:val="false"/>
          <w:bCs w:val="false"/>
        </w:rPr>
        <w:t xml:space="preserve"> — the proportion of expected 5-minute samples present. Every other figure is unreliable below roughly 70%, so it is surfaced alongside them rather than buried, and the whole panel is marked indicative when it falls short.</w:t>
      </w:r>
    </w:p>
    <w:p>
      <w:pPr>
        <w:spacing w:after="100" w:before="180"/>
      </w:pPr>
      <w:r>
        <w:rPr>
          <w:b/>
          <w:bCs/>
          <w:color w:val="1F4D78"/>
        </w:rPr>
        <w:t xml:space="preserve">Presentation details that carry meaning</w:t>
      </w:r>
    </w:p>
    <w:p>
      <w:pPr>
        <w:pStyle w:val="ListParagraph"/>
        <w:numPr>
          <w:ilvl w:val="0"/>
          <w:numId w:val="2"/>
        </w:numPr>
        <w:spacing w:after="80" w:line="276"/>
      </w:pPr>
      <w:r>
        <w:rPr>
          <w:b w:val="false"/>
          <w:bCs w:val="false"/>
        </w:rPr>
        <w:t xml:space="preserve">A stacked proportional bar orders bands low-to-high, matching how an AGP report presents the same distribution.</w:t>
      </w:r>
    </w:p>
    <w:p>
      <w:pPr>
        <w:pStyle w:val="ListParagraph"/>
        <w:numPr>
          <w:ilvl w:val="0"/>
          <w:numId w:val="2"/>
        </w:numPr>
        <w:spacing w:after="80" w:line="276"/>
      </w:pPr>
      <w:r>
        <w:rPr>
          <w:b/>
          <w:bCs/>
        </w:rPr>
        <w:t xml:space="preserve">Non-zero fractions below 1% render as “&lt;1%”, never “0%”.</w:t>
      </w:r>
      <w:r>
        <w:rPr>
          <w:b w:val="false"/>
          <w:bCs w:val="false"/>
        </w:rPr>
        <w:t xml:space="preserve"> Rounding a genuine hypo out of existence is precisely the wrong failure for this application.</w:t>
      </w:r>
    </w:p>
    <w:p>
      <w:pPr>
        <w:spacing w:after="100" w:before="180"/>
      </w:pPr>
      <w:r>
        <w:rPr>
          <w:b/>
          <w:bCs/>
          <w:color w:val="1F4D78"/>
        </w:rPr>
        <w:t xml:space="preserve">Ambulatory Glucose Profile</w:t>
      </w:r>
    </w:p>
    <w:p>
      <w:pPr>
        <w:spacing w:after="120" w:line="276"/>
      </w:pPr>
      <w:r>
        <w:rPr>
          <w:b w:val="false"/>
          <w:bCs w:val="false"/>
        </w:rPr>
        <w:t xml:space="preserve">Not yet built. A true AGP bins readings by time of day and plots percentile bands — 5th, 25th, 50th, 75th, 95th — rather than overlaying raw daily curves. Building the percentile computation makes the v3 PDF export a rendering exercise rather than a new feature.</w:t>
      </w:r>
    </w:p>
    <w:p>
      <w:pPr>
        <w:pStyle w:val="Heading3"/>
        <w:spacing w:after="120" w:before="220"/>
      </w:pPr>
      <w:r>
        <w:rPr>
          <w:b w:val="false"/>
          <w:bCs w:val="false"/>
        </w:rPr>
        <w:t xml:space="preserve">3.1.6 Settings</w:t>
      </w:r>
    </w:p>
    <w:p>
      <w:pPr>
        <w:pStyle w:val="ListParagraph"/>
        <w:numPr>
          <w:ilvl w:val="0"/>
          <w:numId w:val="2"/>
        </w:numPr>
        <w:spacing w:after="80" w:line="276"/>
      </w:pPr>
      <w:r>
        <w:rPr>
          <w:b/>
          <w:bCs/>
        </w:rPr>
        <w:t xml:space="preserve">Dexcom Share</w:t>
      </w:r>
      <w:r>
        <w:rPr>
          <w:b w:val="false"/>
          <w:bCs w:val="false"/>
        </w:rPr>
        <w:t xml:space="preserve"> credentials and region (optional; the app is fully functional in HealthKit-only mode).</w:t>
      </w:r>
    </w:p>
    <w:p>
      <w:pPr>
        <w:pStyle w:val="ListParagraph"/>
        <w:numPr>
          <w:ilvl w:val="0"/>
          <w:numId w:val="2"/>
        </w:numPr>
        <w:spacing w:after="80" w:line="276"/>
      </w:pPr>
      <w:r>
        <w:rPr>
          <w:b/>
          <w:bCs/>
        </w:rPr>
        <w:t xml:space="preserve">HealthKit permission status</w:t>
      </w:r>
      <w:r>
        <w:rPr>
          <w:b w:val="false"/>
          <w:bCs w:val="false"/>
        </w:rPr>
        <w:t xml:space="preserve"> with a shortcut to Settings.app if denied, listed per data type.</w:t>
      </w:r>
    </w:p>
    <w:p>
      <w:pPr>
        <w:pStyle w:val="ListParagraph"/>
        <w:numPr>
          <w:ilvl w:val="0"/>
          <w:numId w:val="2"/>
        </w:numPr>
        <w:spacing w:after="80" w:line="276"/>
      </w:pPr>
      <w:r>
        <w:rPr>
          <w:b/>
          <w:bCs/>
        </w:rPr>
        <w:t xml:space="preserve">Active source indicator</w:t>
      </w:r>
      <w:r>
        <w:rPr>
          <w:b w:val="false"/>
          <w:bCs w:val="false"/>
        </w:rPr>
        <w:t xml:space="preserve"> showing which source provided the most recent reading.</w:t>
      </w:r>
    </w:p>
    <w:p>
      <w:pPr>
        <w:pStyle w:val="ListParagraph"/>
        <w:numPr>
          <w:ilvl w:val="0"/>
          <w:numId w:val="2"/>
        </w:numPr>
        <w:spacing w:after="80" w:line="276"/>
      </w:pPr>
      <w:r>
        <w:rPr>
          <w:b/>
          <w:bCs/>
        </w:rPr>
        <w:t xml:space="preserve">Units</w:t>
      </w:r>
      <w:r>
        <w:rPr>
          <w:b w:val="false"/>
          <w:bCs w:val="false"/>
        </w:rPr>
        <w:t xml:space="preserve"> (mg/dL or mmol/L), toggleable directly from the reading screen. Defaults from device region.</w:t>
      </w:r>
    </w:p>
    <w:p>
      <w:pPr>
        <w:pBdr>
          <w:left w:val="single" w:color="BFD3E6" w:sz="12" w:space="8"/>
        </w:pBdr>
        <w:spacing w:after="160" w:line="260"/>
        <w:ind w:left="180"/>
      </w:pPr>
      <w:r>
        <w:rPr>
          <w:b w:val="false"/>
          <w:bCs w:val="false"/>
          <w:i/>
          <w:iCs/>
          <w:color w:val="595959"/>
          <w:sz w:val="20"/>
          <w:szCs w:val="20"/>
        </w:rPr>
        <w:t xml:space="preserve">Conversion constant, corrected in v1.4: mmol/L = mg/dL ÷ </w:t>
      </w:r>
      <w:r>
        <w:rPr>
          <w:b/>
          <w:bCs/>
          <w:i/>
          <w:iCs/>
          <w:color w:val="595959"/>
          <w:sz w:val="20"/>
          <w:szCs w:val="20"/>
        </w:rPr>
        <w:t xml:space="preserve">18.0182</w:t>
      </w:r>
      <w:r>
        <w:rPr>
          <w:b w:val="false"/>
          <w:bCs w:val="false"/>
          <w:i/>
          <w:iCs/>
          <w:color w:val="595959"/>
          <w:sz w:val="20"/>
          <w:szCs w:val="20"/>
        </w:rPr>
        <w:t xml:space="preserve">, which is Dexcom's own divisor — not the precise molar mass 18.01559. The two disagree at boundary values: 100 mg/dL renders as </w:t>
      </w:r>
      <w:r>
        <w:rPr>
          <w:b/>
          <w:bCs/>
          <w:i/>
          <w:iCs/>
          <w:color w:val="595959"/>
          <w:sz w:val="20"/>
          <w:szCs w:val="20"/>
        </w:rPr>
        <w:t xml:space="preserve">5.5</w:t>
      </w:r>
      <w:r>
        <w:rPr>
          <w:b w:val="false"/>
          <w:bCs w:val="false"/>
          <w:i/>
          <w:iCs/>
          <w:color w:val="595959"/>
          <w:sz w:val="20"/>
          <w:szCs w:val="20"/>
        </w:rPr>
        <w:t xml:space="preserve"> under Dexcom's constant and </w:t>
      </w:r>
      <w:r>
        <w:rPr>
          <w:b/>
          <w:bCs/>
          <w:i/>
          <w:iCs/>
          <w:color w:val="595959"/>
          <w:sz w:val="20"/>
          <w:szCs w:val="20"/>
        </w:rPr>
        <w:t xml:space="preserve">5.6</w:t>
      </w:r>
      <w:r>
        <w:rPr>
          <w:b w:val="false"/>
          <w:bCs w:val="false"/>
          <w:i/>
          <w:iCs/>
          <w:color w:val="595959"/>
          <w:sz w:val="20"/>
          <w:szCs w:val="20"/>
        </w:rPr>
        <w:t xml:space="preserve"> under the chemically precise one. An app that disagrees with the device the user is checking against is worse than no app. Seven boundary values are pinned by test.</w:t>
      </w:r>
    </w:p>
    <w:p>
      <w:pPr>
        <w:pStyle w:val="ListParagraph"/>
        <w:numPr>
          <w:ilvl w:val="0"/>
          <w:numId w:val="2"/>
        </w:numPr>
        <w:spacing w:after="80" w:line="276"/>
      </w:pPr>
      <w:r>
        <w:rPr>
          <w:b/>
          <w:bCs/>
        </w:rPr>
        <w:t xml:space="preserve">Target range</w:t>
      </w:r>
      <w:r>
        <w:rPr>
          <w:b w:val="false"/>
          <w:bCs w:val="false"/>
        </w:rPr>
        <w:t xml:space="preserve"> (default 70–180 mg/dL, fully editable). Band thresholds for Very Low/Very High are fixed at the consensus values and are not user-editable, because editing them would silently invalidate comparison against clinical targets.</w:t>
      </w:r>
    </w:p>
    <w:p>
      <w:pPr>
        <w:pStyle w:val="ListParagraph"/>
        <w:numPr>
          <w:ilvl w:val="0"/>
          <w:numId w:val="2"/>
        </w:numPr>
        <w:spacing w:after="80" w:line="276"/>
      </w:pPr>
      <w:r>
        <w:rPr>
          <w:b/>
          <w:bCs/>
        </w:rPr>
        <w:t xml:space="preserve">Insulin sensitivity factor (ISF)</w:t>
      </w:r>
      <w:r>
        <w:rPr>
          <w:b w:val="false"/>
          <w:bCs w:val="false"/>
        </w:rPr>
        <w:t xml:space="preserve"> — mg/dL drop per unit. Required by the prediction engine (§4.4). No default is guessed; the field is empty until the user enters a value, and the meal-response forecast is disabled until then.</w:t>
      </w:r>
    </w:p>
    <w:p>
      <w:pPr>
        <w:pStyle w:val="ListParagraph"/>
        <w:numPr>
          <w:ilvl w:val="0"/>
          <w:numId w:val="2"/>
        </w:numPr>
        <w:spacing w:after="80" w:line="276"/>
      </w:pPr>
      <w:r>
        <w:rPr>
          <w:b/>
          <w:bCs/>
        </w:rPr>
        <w:t xml:space="preserve">Insulin-to-carb ratio (ICR)</w:t>
      </w:r>
      <w:r>
        <w:rPr>
          <w:b w:val="false"/>
          <w:bCs w:val="false"/>
        </w:rPr>
        <w:t xml:space="preserve"> — grams covered per unit. Same treatment as ISF.</w:t>
      </w:r>
    </w:p>
    <w:p>
      <w:pPr>
        <w:pStyle w:val="ListParagraph"/>
        <w:numPr>
          <w:ilvl w:val="0"/>
          <w:numId w:val="2"/>
        </w:numPr>
        <w:spacing w:after="80" w:line="276"/>
      </w:pPr>
      <w:r>
        <w:rPr>
          <w:b/>
          <w:bCs/>
        </w:rPr>
        <w:t xml:space="preserve">Insulin action curve</w:t>
      </w:r>
      <w:r>
        <w:rPr>
          <w:b w:val="false"/>
          <w:bCs w:val="false"/>
        </w:rPr>
        <w:t xml:space="preserve"> — peak time and duration of action per insulin type (§4.4), pre-filled with the defaults in that section and editable.</w:t>
      </w:r>
    </w:p>
    <w:p>
      <w:pPr>
        <w:pStyle w:val="ListParagraph"/>
        <w:numPr>
          <w:ilvl w:val="0"/>
          <w:numId w:val="2"/>
        </w:numPr>
        <w:spacing w:after="80" w:line="276"/>
      </w:pPr>
      <w:r>
        <w:rPr>
          <w:b/>
          <w:bCs/>
        </w:rPr>
        <w:t xml:space="preserve">Carb absorption time</w:t>
      </w:r>
      <w:r>
        <w:rPr>
          <w:b w:val="false"/>
          <w:bCs w:val="false"/>
        </w:rPr>
        <w:t xml:space="preserve"> — default 180 minutes, with faster and slower presets.</w:t>
      </w:r>
    </w:p>
    <w:p>
      <w:pPr>
        <w:pStyle w:val="ListParagraph"/>
        <w:numPr>
          <w:ilvl w:val="0"/>
          <w:numId w:val="2"/>
        </w:numPr>
        <w:spacing w:after="80" w:line="276"/>
      </w:pPr>
      <w:r>
        <w:rPr>
          <w:b/>
          <w:bCs/>
        </w:rPr>
        <w:t xml:space="preserve">Theme and Bedside Mode schedule.</w:t>
      </w:r>
    </w:p>
    <w:p>
      <w:pPr>
        <w:pStyle w:val="ListParagraph"/>
        <w:numPr>
          <w:ilvl w:val="0"/>
          <w:numId w:val="2"/>
        </w:numPr>
        <w:spacing w:after="80" w:line="276"/>
      </w:pPr>
      <w:r>
        <w:rPr>
          <w:b/>
          <w:bCs/>
        </w:rPr>
        <w:t xml:space="preserve">Export and backup</w:t>
      </w:r>
      <w:r>
        <w:rPr>
          <w:b w:val="false"/>
          <w:bCs w:val="false"/>
        </w:rPr>
        <w:t xml:space="preserve"> (§3.1.7).</w:t>
      </w:r>
    </w:p>
    <w:p>
      <w:pPr>
        <w:pStyle w:val="ListParagraph"/>
        <w:numPr>
          <w:ilvl w:val="0"/>
          <w:numId w:val="2"/>
        </w:numPr>
        <w:spacing w:after="80" w:line="276"/>
      </w:pPr>
      <w:r>
        <w:rPr>
          <w:b/>
          <w:bCs/>
        </w:rPr>
        <w:t xml:space="preserve">Diagnostics</w:t>
      </w:r>
      <w:r>
        <w:rPr>
          <w:b w:val="false"/>
          <w:bCs w:val="false"/>
        </w:rPr>
        <w:t xml:space="preserve"> — local-only log of source errors, parse failures, and background wake events, with a copy-to-clipboard action. For an app talking to an undocumented API, this is what makes a 2am failure debuggable.</w:t>
      </w:r>
    </w:p>
    <w:p>
      <w:pPr>
        <w:pStyle w:val="ListParagraph"/>
        <w:numPr>
          <w:ilvl w:val="0"/>
          <w:numId w:val="2"/>
        </w:numPr>
        <w:spacing w:after="80" w:line="276"/>
      </w:pPr>
      <w:r>
        <w:rPr>
          <w:b/>
          <w:bCs/>
        </w:rPr>
        <w:t xml:space="preserve">Always-visible safety disclaimer.</w:t>
      </w:r>
    </w:p>
    <w:p>
      <w:pPr>
        <w:pStyle w:val="ListParagraph"/>
        <w:numPr>
          <w:ilvl w:val="0"/>
          <w:numId w:val="2"/>
        </w:numPr>
        <w:spacing w:after="80" w:line="276"/>
      </w:pPr>
      <w:r>
        <w:rPr>
          <w:b/>
          <w:bCs/>
        </w:rPr>
        <w:t xml:space="preserve">Sign out and clear local data</w:t>
      </w:r>
      <w:r>
        <w:rPr>
          <w:b w:val="false"/>
          <w:bCs w:val="false"/>
        </w:rPr>
        <w:t xml:space="preserve">, with an explicit confirmation naming how many readings and events will be destroyed.</w:t>
      </w:r>
    </w:p>
    <w:p>
      <w:pPr>
        <w:pBdr>
          <w:left w:val="single" w:color="BFD3E6" w:sz="12" w:space="8"/>
        </w:pBdr>
        <w:spacing w:after="160" w:line="260"/>
        <w:ind w:left="180"/>
      </w:pPr>
      <w:r>
        <w:rPr>
          <w:b w:val="false"/>
          <w:bCs w:val="false"/>
          <w:i/>
          <w:iCs/>
          <w:color w:val="595959"/>
          <w:sz w:val="20"/>
          <w:szCs w:val="20"/>
        </w:rPr>
        <w:t xml:space="preserve">Changed in v1.2: ISF, ICR, insulin action curve, carb absorption, and export/backup are new. ISF and ICR were mathematically required by v1.1's §4.4 but appeared in neither its settings nor its data model.</w:t>
      </w:r>
    </w:p>
    <w:p>
      <w:pPr>
        <w:pStyle w:val="Heading3"/>
        <w:spacing w:after="120" w:before="220"/>
      </w:pPr>
      <w:r>
        <w:rPr>
          <w:b w:val="false"/>
          <w:bCs w:val="false"/>
        </w:rPr>
        <w:t xml:space="preserve">3.1.7 Export &amp; Backup</w:t>
      </w:r>
    </w:p>
    <w:p>
      <w:pPr>
        <w:pBdr>
          <w:left w:val="single" w:color="BFD3E6" w:sz="12" w:space="8"/>
        </w:pBdr>
        <w:spacing w:after="160" w:line="260"/>
        <w:ind w:left="180"/>
      </w:pPr>
      <w:r>
        <w:rPr>
          <w:b w:val="false"/>
          <w:bCs w:val="false"/>
          <w:i/>
          <w:iCs/>
          <w:color w:val="595959"/>
          <w:sz w:val="20"/>
          <w:szCs w:val="20"/>
        </w:rPr>
        <w:t xml:space="preserve">Implemented in v1.6. Shipped in v1, not v3: everything else in this app can be rebuilt from source, and the readings cannot.</w:t>
      </w:r>
    </w:p>
    <w:p>
      <w:pPr>
        <w:spacing w:after="120" w:line="276"/>
      </w:pPr>
      <w:r>
        <w:rPr>
          <w:b w:val="false"/>
          <w:bCs w:val="false"/>
        </w:rPr>
        <w:t xml:space="preserve">Dexcom Share retains 24 hours and Apple Health 90 days. History beyond that exists on one device and nowhere else, which makes export a correctness requirement rather than a convenience.</w:t>
      </w:r>
    </w:p>
    <w:p>
      <w:pPr>
        <w:spacing w:after="100" w:before="180"/>
      </w:pPr>
      <w:r>
        <w:rPr>
          <w:b/>
          <w:bCs/>
          <w:color w:val="1F4D78"/>
        </w:rPr>
        <w:t xml:space="preserve">Formats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600"/>
        <w:gridCol w:w="2400"/>
        <w:gridCol w:w="5360"/>
      </w:tblGrid>
      <w:tr>
        <w:trPr>
          <w:tblHeader/>
        </w:trPr>
        <w:tc>
          <w:tcPr>
            <w:tcW w:type="dxa" w:w="1600"/>
            <w:shd w:fill="DEEAF6" w:color="auto" w:val="clear"/>
            <w:tcMar>
              <w:top w:type="dxa" w:w="60"/>
              <w:left w:type="dxa" w:w="100"/>
              <w:bottom w:type="dxa" w:w="60"/>
              <w:right w:type="dxa" w:w="100"/>
            </w:tcMar>
          </w:tcPr>
          <w:p>
            <w:pPr>
              <w:spacing w:after="0" w:line="250"/>
            </w:pPr>
            <w:r>
              <w:rPr>
                <w:b/>
                <w:bCs/>
                <w:sz w:val="20"/>
                <w:szCs w:val="20"/>
              </w:rPr>
              <w:t xml:space="preserve">Format</w:t>
            </w:r>
          </w:p>
        </w:tc>
        <w:tc>
          <w:tcPr>
            <w:tcW w:type="dxa" w:w="2400"/>
            <w:shd w:fill="DEEAF6" w:color="auto" w:val="clear"/>
            <w:tcMar>
              <w:top w:type="dxa" w:w="60"/>
              <w:left w:type="dxa" w:w="100"/>
              <w:bottom w:type="dxa" w:w="60"/>
              <w:right w:type="dxa" w:w="100"/>
            </w:tcMar>
          </w:tcPr>
          <w:p>
            <w:pPr>
              <w:spacing w:after="0" w:line="250"/>
            </w:pPr>
            <w:r>
              <w:rPr>
                <w:b/>
                <w:bCs/>
                <w:sz w:val="20"/>
                <w:szCs w:val="20"/>
              </w:rPr>
              <w:t xml:space="preserve">Purpose</w:t>
            </w:r>
          </w:p>
        </w:tc>
        <w:tc>
          <w:tcPr>
            <w:tcW w:type="dxa" w:w="53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CSV</w:t>
            </w:r>
          </w:p>
        </w:tc>
        <w:tc>
          <w:tcPr>
            <w:tcW w:type="dxa" w:w="2400"/>
            <w:tcMar>
              <w:top w:type="dxa" w:w="60"/>
              <w:left w:type="dxa" w:w="100"/>
              <w:bottom w:type="dxa" w:w="60"/>
              <w:right w:type="dxa" w:w="100"/>
            </w:tcMar>
          </w:tcPr>
          <w:p>
            <w:pPr>
              <w:spacing w:after="0" w:line="250"/>
            </w:pPr>
            <w:r>
              <w:rPr>
                <w:b w:val="false"/>
                <w:bCs w:val="false"/>
                <w:sz w:val="20"/>
                <w:szCs w:val="20"/>
              </w:rPr>
              <w:t xml:space="preserve">Spreadsheets, ad-hoc analysis</w:t>
            </w:r>
          </w:p>
        </w:tc>
        <w:tc>
          <w:tcPr>
            <w:tcW w:type="dxa" w:w="5360"/>
            <w:tcMar>
              <w:top w:type="dxa" w:w="60"/>
              <w:left w:type="dxa" w:w="100"/>
              <w:bottom w:type="dxa" w:w="60"/>
              <w:right w:type="dxa" w:w="100"/>
            </w:tcMar>
          </w:tcPr>
          <w:p>
            <w:pPr>
              <w:spacing w:after="0" w:line="250"/>
            </w:pPr>
            <w:r>
              <w:rPr>
                <w:b w:val="false"/>
                <w:bCs w:val="false"/>
                <w:sz w:val="20"/>
                <w:szCs w:val="20"/>
              </w:rPr>
              <w:t xml:space="preserve">One row per reading. Carries </w:t>
            </w:r>
            <w:r>
              <w:rPr>
                <w:b/>
                <w:bCs/>
                <w:sz w:val="20"/>
                <w:szCs w:val="20"/>
              </w:rPr>
              <w:t xml:space="preserve">both</w:t>
            </w:r>
            <w:r>
              <w:rPr>
                <w:b w:val="false"/>
                <w:bCs w:val="false"/>
                <w:sz w:val="20"/>
                <w:szCs w:val="20"/>
              </w:rPr>
              <w:t xml:space="preserve"> mg/dL and mmol/L columns so the file is interpretable without knowing the app's display setting. mg/dL remains canonical.</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JSON backup</w:t>
            </w:r>
          </w:p>
        </w:tc>
        <w:tc>
          <w:tcPr>
            <w:tcW w:type="dxa" w:w="2400"/>
            <w:shd w:fill="F5F8FC" w:color="auto" w:val="clear"/>
            <w:tcMar>
              <w:top w:type="dxa" w:w="60"/>
              <w:left w:type="dxa" w:w="100"/>
              <w:bottom w:type="dxa" w:w="60"/>
              <w:right w:type="dxa" w:w="100"/>
            </w:tcMar>
          </w:tcPr>
          <w:p>
            <w:pPr>
              <w:spacing w:after="0" w:line="250"/>
            </w:pPr>
            <w:r>
              <w:rPr>
                <w:b w:val="false"/>
                <w:bCs w:val="false"/>
                <w:sz w:val="20"/>
                <w:szCs w:val="20"/>
              </w:rPr>
              <w:t xml:space="preserve">The file that restores</w:t>
            </w:r>
          </w:p>
        </w:tc>
        <w:tc>
          <w:tcPr>
            <w:tcW w:type="dxa" w:w="5360"/>
            <w:shd w:fill="F5F8FC" w:color="auto" w:val="clear"/>
            <w:tcMar>
              <w:top w:type="dxa" w:w="60"/>
              <w:left w:type="dxa" w:w="100"/>
              <w:bottom w:type="dxa" w:w="60"/>
              <w:right w:type="dxa" w:w="100"/>
            </w:tcMar>
          </w:tcPr>
          <w:p>
            <w:pPr>
              <w:spacing w:after="0" w:line="250"/>
            </w:pPr>
            <w:r>
              <w:rPr>
                <w:b w:val="false"/>
                <w:bCs w:val="false"/>
                <w:sz w:val="20"/>
                <w:szCs w:val="20"/>
              </w:rPr>
              <w:t xml:space="preserve">Versioned and self-describing, so a file is validated before anything is written and a future schema change can migrate old backups rather than rejecting them.</w:t>
            </w:r>
          </w:p>
        </w:tc>
      </w:tr>
      <w:tr>
        <w:tc>
          <w:tcPr>
            <w:tcW w:type="dxa" w:w="1600"/>
            <w:tcMar>
              <w:top w:type="dxa" w:w="60"/>
              <w:left w:type="dxa" w:w="100"/>
              <w:bottom w:type="dxa" w:w="60"/>
              <w:right w:type="dxa" w:w="100"/>
            </w:tcMar>
          </w:tcPr>
          <w:p>
            <w:pPr>
              <w:spacing w:after="0" w:line="250"/>
            </w:pPr>
            <w:r>
              <w:rPr>
                <w:b w:val="false"/>
                <w:bCs w:val="false"/>
                <w:sz w:val="20"/>
                <w:szCs w:val="20"/>
              </w:rPr>
              <w:t xml:space="preserve">Nightscout entries</w:t>
            </w:r>
          </w:p>
        </w:tc>
        <w:tc>
          <w:tcPr>
            <w:tcW w:type="dxa" w:w="2400"/>
            <w:tcMar>
              <w:top w:type="dxa" w:w="60"/>
              <w:left w:type="dxa" w:w="100"/>
              <w:bottom w:type="dxa" w:w="60"/>
              <w:right w:type="dxa" w:w="100"/>
            </w:tcMar>
          </w:tcPr>
          <w:p>
            <w:pPr>
              <w:spacing w:after="0" w:line="250"/>
            </w:pPr>
            <w:r>
              <w:rPr>
                <w:b w:val="false"/>
                <w:bCs w:val="false"/>
                <w:sz w:val="20"/>
                <w:szCs w:val="20"/>
              </w:rPr>
              <w:t xml:space="preserve">Portability</w:t>
            </w:r>
          </w:p>
        </w:tc>
        <w:tc>
          <w:tcPr>
            <w:tcW w:type="dxa" w:w="5360"/>
            <w:tcMar>
              <w:top w:type="dxa" w:w="60"/>
              <w:left w:type="dxa" w:w="100"/>
              <w:bottom w:type="dxa" w:w="60"/>
              <w:right w:type="dxa" w:w="100"/>
            </w:tcMar>
          </w:tcPr>
          <w:p>
            <w:pPr>
              <w:spacing w:after="0" w:line="250"/>
            </w:pPr>
            <w:r>
              <w:rPr>
                <w:b w:val="false"/>
                <w:bCs w:val="false"/>
                <w:sz w:val="20"/>
                <w:szCs w:val="20"/>
              </w:rPr>
              <w:t xml:space="preserve">Standard </w:t>
            </w:r>
            <w:r>
              <w:rPr>
                <w:rFonts w:ascii="Consolas" w:cs="Consolas" w:eastAsia="Consolas" w:hAnsi="Consolas"/>
                <w:b w:val="false"/>
                <w:bCs w:val="false"/>
                <w:sz w:val="19"/>
                <w:szCs w:val="19"/>
              </w:rPr>
              <w:t xml:space="preserve">sgv</w:t>
            </w:r>
            <w:r>
              <w:rPr>
                <w:b w:val="false"/>
                <w:bCs w:val="false"/>
                <w:sz w:val="20"/>
                <w:szCs w:val="20"/>
              </w:rPr>
              <w:t xml:space="preserve"> entries with Nightscout's own direction strings, which differ from Dexcom's for the non-directional states.</w:t>
            </w:r>
          </w:p>
        </w:tc>
      </w:tr>
    </w:tbl>
    <w:p>
      <w:pPr>
        <w:spacing w:after="100"/>
      </w:pPr>
    </w:p>
    <w:p>
      <w:pPr>
        <w:spacing w:after="100" w:before="180"/>
      </w:pPr>
      <w:r>
        <w:rPr>
          <w:b/>
          <w:bCs/>
          <w:color w:val="1F4D78"/>
        </w:rPr>
        <w:t xml:space="preserve">Restore semantics</w:t>
      </w:r>
    </w:p>
    <w:p>
      <w:pPr>
        <w:pStyle w:val="ListParagraph"/>
        <w:numPr>
          <w:ilvl w:val="0"/>
          <w:numId w:val="2"/>
        </w:numPr>
        <w:spacing w:after="80" w:line="276"/>
      </w:pPr>
      <w:r>
        <w:rPr>
          <w:b/>
          <w:bCs/>
        </w:rPr>
        <w:t xml:space="preserve">Additive, never destructive.</w:t>
      </w:r>
      <w:r>
        <w:rPr>
          <w:b w:val="false"/>
          <w:bCs w:val="false"/>
        </w:rPr>
        <w:t xml:space="preserve"> A backup restored onto a store that has collected new readings since yields the union. Restoring is not a rollback, and restoring the same file twice inserts nothing the second time.</w:t>
      </w:r>
    </w:p>
    <w:p>
      <w:pPr>
        <w:pStyle w:val="ListParagraph"/>
        <w:numPr>
          <w:ilvl w:val="0"/>
          <w:numId w:val="2"/>
        </w:numPr>
        <w:spacing w:after="80" w:line="276"/>
      </w:pPr>
      <w:r>
        <w:rPr>
          <w:b/>
          <w:bCs/>
        </w:rPr>
        <w:t xml:space="preserve">Provenance survives the round trip.</w:t>
      </w:r>
      <w:r>
        <w:rPr>
          <w:b w:val="false"/>
          <w:bCs w:val="false"/>
        </w:rPr>
        <w:t xml:space="preserve"> Readings imported from Health stay flagged through export and restore, so a restore cannot promote a three-hour-stale Health row into something displayable as a current reading.</w:t>
      </w:r>
    </w:p>
    <w:p>
      <w:pPr>
        <w:pStyle w:val="ListParagraph"/>
        <w:numPr>
          <w:ilvl w:val="0"/>
          <w:numId w:val="2"/>
        </w:numPr>
        <w:spacing w:after="80" w:line="276"/>
      </w:pPr>
      <w:r>
        <w:rPr>
          <w:b/>
          <w:bCs/>
        </w:rPr>
        <w:t xml:space="preserve">Validation precedes any write.</w:t>
      </w:r>
      <w:r>
        <w:rPr>
          <w:b w:val="false"/>
          <w:bCs w:val="false"/>
        </w:rPr>
        <w:t xml:space="preserve"> A file that is not a GlucoNoir backup, or carries a newer format version, is rejected outright rather than partially applied.</w:t>
      </w:r>
    </w:p>
    <w:p>
      <w:pPr>
        <w:spacing w:after="100" w:before="180"/>
      </w:pPr>
      <w:r>
        <w:rPr>
          <w:b/>
          <w:bCs/>
          <w:color w:val="1F4D78"/>
        </w:rPr>
        <w:t xml:space="preserve">File handling</w:t>
      </w:r>
    </w:p>
    <w:p>
      <w:pPr>
        <w:spacing w:after="120" w:line="276"/>
      </w:pPr>
      <w:r>
        <w:rPr>
          <w:b w:val="false"/>
          <w:bCs w:val="false"/>
        </w:rPr>
        <w:t xml:space="preserve">Each export is written into its own directory. A timestamped filename alone is insufficient: at minute resolution two exports in the same minute collide and the second silently overwrites the first — including a CSV overwriting a JSON backup the user had not yet shared. Files leave the sandbox only through the share sheet, always by explicit user action.</w:t>
      </w:r>
    </w:p>
    <w:p>
      <w:pPr>
        <w:pStyle w:val="Heading2"/>
        <w:spacing w:after="140" w:before="280"/>
      </w:pPr>
      <w:r>
        <w:rPr>
          <w:b w:val="false"/>
          <w:bCs w:val="false"/>
        </w:rPr>
        <w:t xml:space="preserve">3.2 v2 — Logging, Prediction &amp; Glanceable Surfaces</w:t>
      </w:r>
    </w:p>
    <w:p>
      <w:pPr>
        <w:pStyle w:val="Heading3"/>
        <w:spacing w:after="120" w:before="220"/>
      </w:pPr>
      <w:r>
        <w:rPr>
          <w:b w:val="false"/>
          <w:bCs w:val="false"/>
        </w:rPr>
        <w:t xml:space="preserve">3.2.1 Event Logging</w:t>
      </w:r>
    </w:p>
    <w:p>
      <w:pPr>
        <w:pStyle w:val="ListParagraph"/>
        <w:numPr>
          <w:ilvl w:val="0"/>
          <w:numId w:val="2"/>
        </w:numPr>
        <w:spacing w:after="80" w:line="276"/>
      </w:pPr>
      <w:r>
        <w:rPr>
          <w:b/>
          <w:bCs/>
        </w:rPr>
        <w:t xml:space="preserve">Meal log:</w:t>
      </w:r>
      <w:r>
        <w:rPr>
          <w:b w:val="false"/>
          <w:bCs w:val="false"/>
        </w:rPr>
        <w:t xml:space="preserve"> photo, carb count in grams, optional notes, optional meal tag (breakfast/lunch/dinner/snack), and an optional name that links it to the food memory (§3.2.5). Carbs are entered in grams only — a second “S/M/L” unit system would have to be reconciled with ICR arithmetic for no real speed gain (§8). A quick-pick row of the user's own recent and frequent entries provides the speed instead.</w:t>
      </w:r>
    </w:p>
    <w:p>
      <w:pPr>
        <w:pStyle w:val="ListParagraph"/>
        <w:numPr>
          <w:ilvl w:val="0"/>
          <w:numId w:val="2"/>
        </w:numPr>
        <w:spacing w:after="80" w:line="276"/>
      </w:pPr>
      <w:r>
        <w:rPr>
          <w:b/>
          <w:bCs/>
        </w:rPr>
        <w:t xml:space="preserve">Insulin log:</w:t>
      </w:r>
      <w:r>
        <w:rPr>
          <w:b w:val="false"/>
          <w:bCs w:val="false"/>
        </w:rPr>
        <w:t xml:space="preserve"> units, type, optional injection site. Type carries the action curve parameters used by the IOB calculation, so what matters is the curve, not the brand name — a short pre-seeded list is offered with free-text entry allowed, and every entry maps to an editable peak/duration pair (§8).</w:t>
      </w:r>
    </w:p>
    <w:p>
      <w:pPr>
        <w:pStyle w:val="ListParagraph"/>
        <w:numPr>
          <w:ilvl w:val="0"/>
          <w:numId w:val="2"/>
        </w:numPr>
        <w:spacing w:after="80" w:line="276"/>
      </w:pPr>
      <w:r>
        <w:rPr>
          <w:b/>
          <w:bCs/>
        </w:rPr>
        <w:t xml:space="preserve">Basal insulin is logged but excluded from IOB.</w:t>
      </w:r>
      <w:r>
        <w:rPr>
          <w:b w:val="false"/>
          <w:bCs w:val="false"/>
        </w:rPr>
        <w:t xml:space="preserve"> Long-acting insulin has a fundamentally different action profile and adding it to bolus IOB makes the number meaningless. It appears on the timeline and in its own display, never in the IOB figure used by the forecast.</w:t>
      </w:r>
    </w:p>
    <w:p>
      <w:pPr>
        <w:pStyle w:val="ListParagraph"/>
        <w:numPr>
          <w:ilvl w:val="0"/>
          <w:numId w:val="2"/>
        </w:numPr>
        <w:spacing w:after="80" w:line="276"/>
      </w:pPr>
      <w:r>
        <w:rPr>
          <w:b/>
          <w:bCs/>
        </w:rPr>
        <w:t xml:space="preserve">Exercise log:</w:t>
      </w:r>
      <w:r>
        <w:rPr>
          <w:b w:val="false"/>
          <w:bCs w:val="false"/>
        </w:rPr>
        <w:t xml:space="preserve"> type (cardio/strength/walk/other), duration, perceived intensity (1–5). Auto-suggested from HealthKit workouts so most entries are a confirmation tap rather than a form.</w:t>
      </w:r>
    </w:p>
    <w:p>
      <w:pPr>
        <w:pStyle w:val="ListParagraph"/>
        <w:numPr>
          <w:ilvl w:val="0"/>
          <w:numId w:val="2"/>
        </w:numPr>
        <w:spacing w:after="80" w:line="276"/>
      </w:pPr>
      <w:r>
        <w:rPr>
          <w:b/>
          <w:bCs/>
        </w:rPr>
        <w:t xml:space="preserve">Quick-add</w:t>
      </w:r>
      <w:r>
        <w:rPr>
          <w:b w:val="false"/>
          <w:bCs w:val="false"/>
        </w:rPr>
        <w:t xml:space="preserve"> via App Intents (§3.2.4).</w:t>
      </w:r>
    </w:p>
    <w:p>
      <w:pPr>
        <w:pStyle w:val="ListParagraph"/>
        <w:numPr>
          <w:ilvl w:val="0"/>
          <w:numId w:val="2"/>
        </w:numPr>
        <w:spacing w:after="80" w:line="276"/>
      </w:pPr>
      <w:r>
        <w:rPr>
          <w:b/>
          <w:bCs/>
        </w:rPr>
        <w:t xml:space="preserve">Edit and delete:</w:t>
      </w:r>
      <w:r>
        <w:rPr>
          <w:b w:val="false"/>
          <w:bCs w:val="false"/>
        </w:rPr>
        <w:t xml:space="preserve"> all logged events are editable with an audit trail (created/edited timestamps).</w:t>
      </w:r>
    </w:p>
    <w:p>
      <w:pPr>
        <w:pStyle w:val="Heading3"/>
        <w:spacing w:after="120" w:before="220"/>
      </w:pPr>
      <w:r>
        <w:rPr>
          <w:b w:val="false"/>
          <w:bCs w:val="false"/>
        </w:rPr>
        <w:t xml:space="preserve">3.2.2 Unified Timeline</w:t>
      </w:r>
    </w:p>
    <w:p>
      <w:pPr>
        <w:pStyle w:val="ListParagraph"/>
        <w:numPr>
          <w:ilvl w:val="0"/>
          <w:numId w:val="2"/>
        </w:numPr>
        <w:spacing w:after="80" w:line="276"/>
      </w:pPr>
      <w:r>
        <w:rPr>
          <w:b w:val="false"/>
          <w:bCs w:val="false"/>
        </w:rPr>
        <w:t xml:space="preserve">Glucose curve with overlaid event markers (meal, insulin, exercise glyphs).</w:t>
      </w:r>
    </w:p>
    <w:p>
      <w:pPr>
        <w:pStyle w:val="ListParagraph"/>
        <w:numPr>
          <w:ilvl w:val="0"/>
          <w:numId w:val="2"/>
        </w:numPr>
        <w:spacing w:after="80" w:line="276"/>
      </w:pPr>
      <w:r>
        <w:rPr>
          <w:b w:val="false"/>
          <w:bCs w:val="false"/>
        </w:rPr>
        <w:t xml:space="preserve">Tap an event to see details and the glucose response over the following 1, 2, and 3 hours.</w:t>
      </w:r>
    </w:p>
    <w:p>
      <w:pPr>
        <w:pStyle w:val="ListParagraph"/>
        <w:numPr>
          <w:ilvl w:val="0"/>
          <w:numId w:val="2"/>
        </w:numPr>
        <w:spacing w:after="80" w:line="276"/>
      </w:pPr>
      <w:r>
        <w:rPr>
          <w:b w:val="false"/>
          <w:bCs w:val="false"/>
        </w:rPr>
        <w:t xml:space="preserve">Filter by event type.</w:t>
      </w:r>
    </w:p>
    <w:p>
      <w:pPr>
        <w:pStyle w:val="ListParagraph"/>
        <w:numPr>
          <w:ilvl w:val="0"/>
          <w:numId w:val="2"/>
        </w:numPr>
        <w:spacing w:after="80" w:line="276"/>
      </w:pPr>
      <w:r>
        <w:rPr>
          <w:b w:val="false"/>
          <w:bCs w:val="false"/>
        </w:rPr>
        <w:t xml:space="preserve">Long-press an event to compare it against the median response to the same tagged meal (§3.2.5).</w:t>
      </w:r>
    </w:p>
    <w:p>
      <w:pPr>
        <w:pStyle w:val="Heading3"/>
        <w:spacing w:after="120" w:before="220"/>
      </w:pPr>
      <w:r>
        <w:rPr>
          <w:b w:val="false"/>
          <w:bCs w:val="false"/>
        </w:rPr>
        <w:t xml:space="preserve">3.2.3 Prediction Engine</w:t>
      </w:r>
    </w:p>
    <w:p>
      <w:pPr>
        <w:spacing w:after="120" w:line="276"/>
      </w:pPr>
      <w:r>
        <w:rPr>
          <w:b w:val="false"/>
          <w:bCs w:val="false"/>
        </w:rPr>
        <w:t xml:space="preserve">All prediction is transparent statistics — no machine learning, no black boxes. Every prediction surface carries a “How is this calculated?” link that shows the actual formula and the actual input values used. Full mathematics is in §4.4.</w:t>
      </w:r>
    </w:p>
    <w:p>
      <w:pPr>
        <w:pStyle w:val="ListParagraph"/>
        <w:numPr>
          <w:ilvl w:val="0"/>
          <w:numId w:val="2"/>
        </w:numPr>
        <w:spacing w:after="80" w:line="276"/>
      </w:pPr>
      <w:r>
        <w:rPr>
          <w:b/>
          <w:bCs/>
        </w:rPr>
        <w:t xml:space="preserve">Short-term forecast (15 to 30 min):</w:t>
      </w:r>
      <w:r>
        <w:rPr>
          <w:b w:val="false"/>
          <w:bCs w:val="false"/>
        </w:rPr>
        <w:t xml:space="preserve"> ordinary least-squares regression on the last 30 minutes of readings, projected forward with </w:t>
      </w:r>
      <w:r>
        <w:rPr>
          <w:b/>
          <w:bCs/>
        </w:rPr>
        <w:t xml:space="preserve">exponential damping</w:t>
      </w:r>
      <w:r>
        <w:rPr>
          <w:b w:val="false"/>
          <w:bCs w:val="false"/>
        </w:rPr>
        <w:t xml:space="preserve"> so the projection flattens toward the horizon rather than continuing linearly. Undamped extrapolation overshoots badly at exactly the moments the user cares about — the post-meal peak and the post-correction nadir. The slope is additionally clamped to ±4 mg/dL/min, outside which glucose does not physiologically move.</w:t>
      </w:r>
    </w:p>
    <w:p>
      <w:pPr>
        <w:pStyle w:val="ListParagraph"/>
        <w:numPr>
          <w:ilvl w:val="0"/>
          <w:numId w:val="2"/>
        </w:numPr>
        <w:spacing w:after="80" w:line="276"/>
      </w:pPr>
      <w:r>
        <w:rPr>
          <w:b/>
          <w:bCs/>
        </w:rPr>
        <w:t xml:space="preserve">Confidence band:</w:t>
      </w:r>
      <w:r>
        <w:rPr>
          <w:b w:val="false"/>
          <w:bCs w:val="false"/>
        </w:rPr>
        <w:t xml:space="preserve"> empirical quantiles (10th/90th) of the app's own historical forecast errors at the same horizon, computed by backtesting against the user's own stored data. Not ±1 SD — that assumes residuals are stationary and normally distributed, and glucose residuals are neither (§8).</w:t>
      </w:r>
    </w:p>
    <w:p>
      <w:pPr>
        <w:pStyle w:val="ListParagraph"/>
        <w:numPr>
          <w:ilvl w:val="0"/>
          <w:numId w:val="2"/>
        </w:numPr>
        <w:spacing w:after="80" w:line="276"/>
      </w:pPr>
      <w:r>
        <w:rPr>
          <w:b/>
          <w:bCs/>
        </w:rPr>
        <w:t xml:space="preserve">Post-meal forecast:</w:t>
      </w:r>
      <w:r>
        <w:rPr>
          <w:b w:val="false"/>
          <w:bCs w:val="false"/>
        </w:rPr>
        <w:t xml:space="preserve"> carb absorption and insulin activity combined into an expected curve using the user's ISF and ICR, compared against actual readings as they arrive. The gap between expected and actual is the useful output — it surfaces dosing accuracy.</w:t>
      </w:r>
    </w:p>
    <w:p>
      <w:pPr>
        <w:pStyle w:val="ListParagraph"/>
        <w:numPr>
          <w:ilvl w:val="0"/>
          <w:numId w:val="2"/>
        </w:numPr>
        <w:spacing w:after="80" w:line="276"/>
      </w:pPr>
      <w:r>
        <w:rPr>
          <w:b/>
          <w:bCs/>
        </w:rPr>
        <w:t xml:space="preserve">IOB:</w:t>
      </w:r>
      <w:r>
        <w:rPr>
          <w:b w:val="false"/>
          <w:bCs w:val="false"/>
        </w:rPr>
        <w:t xml:space="preserve"> continuously calculated from logged bolus doses using the bi-exponential model (§4.4), visible as a numeric badge. </w:t>
      </w:r>
      <w:r>
        <w:rPr>
          <w:b/>
          <w:bCs/>
        </w:rPr>
        <w:t xml:space="preserve">COB</w:t>
      </w:r>
      <w:r>
        <w:rPr>
          <w:b w:val="false"/>
          <w:bCs w:val="false"/>
        </w:rPr>
        <w:t xml:space="preserve"> is displayed alongside it.</w:t>
      </w:r>
    </w:p>
    <w:p>
      <w:pPr>
        <w:pStyle w:val="ListParagraph"/>
        <w:numPr>
          <w:ilvl w:val="0"/>
          <w:numId w:val="2"/>
        </w:numPr>
        <w:spacing w:after="80" w:line="276"/>
      </w:pPr>
      <w:r>
        <w:rPr>
          <w:b/>
          <w:bCs/>
        </w:rPr>
        <w:t xml:space="preserve">Exercise adjustment:</w:t>
      </w:r>
      <w:r>
        <w:rPr>
          <w:b w:val="false"/>
          <w:bCs w:val="false"/>
        </w:rPr>
        <w:t xml:space="preserve"> an active or recent exercise event applies a documented multiplier to insulin sensitivity in the forecast. v1.1 logged exercise and then never used it anywhere, despite it being one of the largest drivers of glucose response.</w:t>
      </w:r>
    </w:p>
    <w:p>
      <w:pPr>
        <w:spacing w:after="100" w:before="180"/>
      </w:pPr>
      <w:r>
        <w:rPr>
          <w:b/>
          <w:bCs/>
          <w:color w:val="1F4D78"/>
        </w:rPr>
        <w:t xml:space="preserve">Predicted-low heads-up</w:t>
      </w:r>
    </w:p>
    <w:p>
      <w:pPr>
        <w:spacing w:after="120" w:line="276"/>
      </w:pPr>
      <w:r>
        <w:rPr>
          <w:b w:val="false"/>
          <w:bCs w:val="false"/>
        </w:rPr>
        <w:t xml:space="preserve">When the forecast crosses the low threshold within the horizon, the app surfaces it prominently in-app, on the Live Activity, and on the Watch complication. It does </w:t>
      </w:r>
      <w:r>
        <w:rPr>
          <w:b/>
          <w:bCs/>
        </w:rPr>
        <w:t xml:space="preserve">not</w:t>
      </w:r>
      <w:r>
        <w:rPr>
          <w:b w:val="false"/>
          <w:bCs w:val="false"/>
        </w:rPr>
        <w:t xml:space="preserve"> send a notification (§1.3). This is deliberately a pull, not a push: the official app keeps the alarm, GlucoNoir keeps the foresight.</w:t>
      </w:r>
    </w:p>
    <w:p>
      <w:pPr>
        <w:spacing w:after="120" w:line="276"/>
      </w:pPr>
      <w:r>
        <w:rPr>
          <w:b w:val="false"/>
          <w:bCs w:val="false"/>
        </w:rPr>
        <w:t xml:space="preserve">The heads-up is visually distinct from anything actionable. A prediction curve sitting next to a dose entry field is dose guidance in practice regardless of how it is labelled, so the two never share a screen region.</w:t>
      </w:r>
    </w:p>
    <w:p>
      <w:pPr>
        <w:pStyle w:val="Heading3"/>
        <w:spacing w:after="120" w:before="220"/>
      </w:pPr>
      <w:r>
        <w:rPr>
          <w:b w:val="false"/>
          <w:bCs w:val="false"/>
        </w:rPr>
        <w:t xml:space="preserve">3.2.4 Glanceable Surfaces</w:t>
      </w:r>
    </w:p>
    <w:p>
      <w:pPr>
        <w:pBdr>
          <w:left w:val="single" w:color="BFD3E6" w:sz="12" w:space="8"/>
        </w:pBdr>
        <w:spacing w:after="160" w:line="260"/>
        <w:ind w:left="180"/>
      </w:pPr>
      <w:r>
        <w:rPr>
          <w:b w:val="false"/>
          <w:bCs w:val="false"/>
          <w:i/>
          <w:iCs/>
          <w:color w:val="595959"/>
          <w:sz w:val="20"/>
          <w:szCs w:val="20"/>
        </w:rPr>
        <w:t xml:space="preserve">New in v1.2 as a consolidated section. v1.1 placed the widget and Watch complication in v2 (§3.2.1) while simultaneously listing them in v3 (§3.3, §4.5). They are consolidated here, in v2, because §2.2's dominant use case is a glance that should not require opening an app.</w:t>
      </w:r>
    </w:p>
    <w:p>
      <w:pPr>
        <w:spacing w:after="100" w:before="180"/>
      </w:pPr>
      <w:r>
        <w:rPr>
          <w:b/>
          <w:bCs/>
          <w:color w:val="1F4D78"/>
        </w:rPr>
        <w:t xml:space="preserve">Live Activity &amp; Dynamic Island</w:t>
      </w:r>
    </w:p>
    <w:p>
      <w:pPr>
        <w:pStyle w:val="ListParagraph"/>
        <w:numPr>
          <w:ilvl w:val="0"/>
          <w:numId w:val="2"/>
        </w:numPr>
        <w:spacing w:after="80" w:line="276"/>
      </w:pPr>
      <w:r>
        <w:rPr>
          <w:b w:val="false"/>
          <w:bCs w:val="false"/>
        </w:rPr>
        <w:t xml:space="preserve">Current value, trend arrow, minutes since reading, and — when relevant — the predicted-low heads-up.</w:t>
      </w:r>
    </w:p>
    <w:p>
      <w:pPr>
        <w:pStyle w:val="ListParagraph"/>
        <w:numPr>
          <w:ilvl w:val="0"/>
          <w:numId w:val="2"/>
        </w:numPr>
        <w:spacing w:after="80" w:line="276"/>
      </w:pPr>
      <w:r>
        <w:rPr>
          <w:b w:val="false"/>
          <w:bCs w:val="false"/>
        </w:rPr>
        <w:t xml:space="preserve">Updated from the same HealthKit background wake that drives everything else (§4.2.1). Add </w:t>
      </w:r>
      <w:r>
        <w:rPr>
          <w:rFonts w:ascii="Consolas" w:cs="Consolas" w:eastAsia="Consolas" w:hAnsi="Consolas"/>
          <w:b w:val="false"/>
          <w:bCs w:val="false"/>
          <w:sz w:val="19"/>
          <w:szCs w:val="19"/>
        </w:rPr>
        <w:t xml:space="preserve">NSSupportsLiveActivitiesFrequentUpdates</w:t>
      </w:r>
      <w:r>
        <w:rPr>
          <w:b w:val="false"/>
          <w:bCs w:val="false"/>
        </w:rPr>
        <w:t xml:space="preserve"> to Info.plist.</w:t>
      </w:r>
    </w:p>
    <w:p>
      <w:pPr>
        <w:pStyle w:val="ListParagraph"/>
        <w:numPr>
          <w:ilvl w:val="0"/>
          <w:numId w:val="2"/>
        </w:numPr>
        <w:spacing w:after="80" w:line="276"/>
      </w:pPr>
      <w:r>
        <w:rPr>
          <w:b w:val="false"/>
          <w:bCs w:val="false"/>
        </w:rPr>
        <w:t xml:space="preserve">Live Activities age out after roughly 8 hours. Plan for it: re-arm on app foreground, and provide an explicit “restart” affordance on the Lock Screen widget rather than pretending the session is indefinite.</w:t>
      </w:r>
    </w:p>
    <w:p>
      <w:pPr>
        <w:pStyle w:val="ListParagraph"/>
        <w:numPr>
          <w:ilvl w:val="0"/>
          <w:numId w:val="2"/>
        </w:numPr>
        <w:spacing w:after="80" w:line="276"/>
      </w:pPr>
      <w:r>
        <w:rPr>
          <w:b w:val="false"/>
          <w:bCs w:val="false"/>
        </w:rPr>
        <w:t xml:space="preserve">The compact and minimal Dynamic Island presentations must remain legible at a glance — value and arrow only, no chart.</w:t>
      </w:r>
    </w:p>
    <w:p>
      <w:pPr>
        <w:spacing w:after="100" w:before="180"/>
      </w:pPr>
      <w:r>
        <w:rPr>
          <w:b/>
          <w:bCs/>
          <w:color w:val="1F4D78"/>
        </w:rPr>
        <w:t xml:space="preserve">Apple Watch complication</w:t>
      </w:r>
    </w:p>
    <w:p>
      <w:pPr>
        <w:pStyle w:val="ListParagraph"/>
        <w:numPr>
          <w:ilvl w:val="0"/>
          <w:numId w:val="2"/>
        </w:numPr>
        <w:spacing w:after="80" w:line="276"/>
      </w:pPr>
      <w:r>
        <w:rPr>
          <w:b w:val="false"/>
          <w:bCs w:val="false"/>
        </w:rPr>
        <w:t xml:space="preserve">Current value, trend arrow, and staleness. The dominant surface for the 20–50 daily glances.</w:t>
      </w:r>
    </w:p>
    <w:p>
      <w:pPr>
        <w:pStyle w:val="ListParagraph"/>
        <w:numPr>
          <w:ilvl w:val="0"/>
          <w:numId w:val="2"/>
        </w:numPr>
        <w:spacing w:after="80" w:line="276"/>
      </w:pPr>
      <w:r>
        <w:rPr>
          <w:b w:val="false"/>
          <w:bCs w:val="false"/>
        </w:rPr>
        <w:t xml:space="preserve">The Watch app reads HealthKit </w:t>
      </w:r>
      <w:r>
        <w:rPr>
          <w:b/>
          <w:bCs/>
        </w:rPr>
        <w:t xml:space="preserve">directly</w:t>
      </w:r>
      <w:r>
        <w:rPr>
          <w:b w:val="false"/>
          <w:bCs w:val="false"/>
        </w:rPr>
        <w:t xml:space="preserve"> rather than depending on WatchConnectivity background transfer, which is unreliable and would make the complication the least fresh surface in the system instead of the most-used one.</w:t>
      </w:r>
    </w:p>
    <w:p>
      <w:pPr>
        <w:spacing w:after="100" w:before="180"/>
      </w:pPr>
      <w:r>
        <w:rPr>
          <w:b/>
          <w:bCs/>
          <w:color w:val="1F4D78"/>
        </w:rPr>
        <w:t xml:space="preserve">App Intents</w:t>
      </w:r>
    </w:p>
    <w:p>
      <w:pPr>
        <w:pStyle w:val="ListParagraph"/>
        <w:numPr>
          <w:ilvl w:val="0"/>
          <w:numId w:val="2"/>
        </w:numPr>
        <w:spacing w:after="80" w:line="276"/>
      </w:pPr>
      <w:r>
        <w:rPr>
          <w:b w:val="false"/>
          <w:bCs w:val="false"/>
        </w:rPr>
        <w:t xml:space="preserve">“Log 4 units”, “Log 30 grams of carbs”, “What's my glucose”. Voice or Lock Screen entry is the fastest logging path available and directly serves §10's sub-30-second target.</w:t>
      </w:r>
    </w:p>
    <w:p>
      <w:pPr>
        <w:pStyle w:val="ListParagraph"/>
        <w:numPr>
          <w:ilvl w:val="0"/>
          <w:numId w:val="2"/>
        </w:numPr>
        <w:spacing w:after="80" w:line="276"/>
      </w:pPr>
      <w:r>
        <w:rPr>
          <w:b w:val="false"/>
          <w:bCs w:val="false"/>
        </w:rPr>
        <w:t xml:space="preserve">One App Intents implementation yields Siri, Shortcuts, Spotlight, and interactive widget buttons together, which is why it belongs in v2 rather than being spread across v3.</w:t>
      </w:r>
    </w:p>
    <w:p>
      <w:pPr>
        <w:pStyle w:val="Heading3"/>
        <w:spacing w:after="120" w:before="220"/>
      </w:pPr>
      <w:r>
        <w:rPr>
          <w:b w:val="false"/>
          <w:bCs w:val="false"/>
        </w:rPr>
        <w:t xml:space="preserve">3.2.5 Meal Fingerprinting</w:t>
      </w:r>
    </w:p>
    <w:p>
      <w:pPr>
        <w:pBdr>
          <w:left w:val="single" w:color="BFD3E6" w:sz="12" w:space="8"/>
        </w:pBdr>
        <w:spacing w:after="160" w:line="260"/>
        <w:ind w:left="180"/>
      </w:pPr>
      <w:r>
        <w:rPr>
          <w:b w:val="false"/>
          <w:bCs w:val="false"/>
          <w:i/>
          <w:iCs/>
          <w:color w:val="595959"/>
          <w:sz w:val="20"/>
          <w:szCs w:val="20"/>
        </w:rPr>
        <w:t xml:space="preserve">Promoted in v1.2 from v1.1's v3 line item “personal food database”, and expanded. This is the feature the official app structurally cannot offer, and it is what justifies the logging discipline the rest of v2 asks for.</w:t>
      </w:r>
    </w:p>
    <w:p>
      <w:pPr>
        <w:pStyle w:val="ListParagraph"/>
        <w:numPr>
          <w:ilvl w:val="0"/>
          <w:numId w:val="2"/>
        </w:numPr>
        <w:spacing w:after="80" w:line="276"/>
      </w:pPr>
      <w:r>
        <w:rPr>
          <w:b w:val="false"/>
          <w:bCs w:val="false"/>
        </w:rPr>
        <w:t xml:space="preserve">Tag a meal with a name. Every subsequent log of the same name links to the same food record.</w:t>
      </w:r>
    </w:p>
    <w:p>
      <w:pPr>
        <w:pStyle w:val="ListParagraph"/>
        <w:numPr>
          <w:ilvl w:val="0"/>
          <w:numId w:val="2"/>
        </w:numPr>
        <w:spacing w:after="80" w:line="276"/>
      </w:pPr>
      <w:r>
        <w:rPr>
          <w:b w:val="false"/>
          <w:bCs w:val="false"/>
        </w:rPr>
        <w:t xml:space="preserve">Opening a tagged meal shows every past glucose response to it overlaid, with a median curve: “the last four times you ate this, you peaked at 210 around 75 minutes.”</w:t>
      </w:r>
    </w:p>
    <w:p>
      <w:pPr>
        <w:pStyle w:val="ListParagraph"/>
        <w:numPr>
          <w:ilvl w:val="0"/>
          <w:numId w:val="2"/>
        </w:numPr>
        <w:spacing w:after="80" w:line="276"/>
      </w:pPr>
      <w:r>
        <w:rPr>
          <w:b w:val="false"/>
          <w:bCs w:val="false"/>
        </w:rPr>
        <w:t xml:space="preserve">Per-meal derived statistics: median peak value, median time-to-peak, median 3-hour delta, and the observed effective carb ratio when a dose was logged with it.</w:t>
      </w:r>
    </w:p>
    <w:p>
      <w:pPr>
        <w:pStyle w:val="ListParagraph"/>
        <w:numPr>
          <w:ilvl w:val="0"/>
          <w:numId w:val="2"/>
        </w:numPr>
        <w:spacing w:after="80" w:line="276"/>
      </w:pPr>
      <w:r>
        <w:rPr>
          <w:b w:val="false"/>
          <w:bCs w:val="false"/>
        </w:rPr>
        <w:t xml:space="preserve">Sorted views: the meals with the highest peaks, the most variable responses, and the flattest curves.</w:t>
      </w:r>
    </w:p>
    <w:p>
      <w:pPr>
        <w:pStyle w:val="Heading3"/>
        <w:spacing w:after="120" w:before="220"/>
      </w:pPr>
      <w:r>
        <w:rPr>
          <w:b w:val="false"/>
          <w:bCs w:val="false"/>
        </w:rPr>
        <w:t xml:space="preserve">3.2.6 Overnight Report Card</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A card presented on first open each morning, covering the sleep window (segmented from HealthKit </w:t>
      </w:r>
      <w:r>
        <w:rPr>
          <w:rFonts w:ascii="Consolas" w:cs="Consolas" w:eastAsia="Consolas" w:hAnsi="Consolas"/>
          <w:b w:val="false"/>
          <w:bCs w:val="false"/>
          <w:sz w:val="19"/>
          <w:szCs w:val="19"/>
        </w:rPr>
        <w:t xml:space="preserve">sleepAnalysis</w:t>
      </w:r>
      <w:r>
        <w:rPr>
          <w:b w:val="false"/>
          <w:bCs w:val="false"/>
        </w:rPr>
        <w:t xml:space="preserve"> where available, otherwise the Bedside Mode schedule):</w:t>
      </w:r>
    </w:p>
    <w:p>
      <w:pPr>
        <w:pStyle w:val="ListParagraph"/>
        <w:numPr>
          <w:ilvl w:val="0"/>
          <w:numId w:val="2"/>
        </w:numPr>
        <w:spacing w:after="80" w:line="276"/>
      </w:pPr>
      <w:r>
        <w:rPr>
          <w:b w:val="false"/>
          <w:bCs w:val="false"/>
        </w:rPr>
        <w:t xml:space="preserve">Overnight low and high with times; time-in-range while asleep; longest flat stretch.</w:t>
      </w:r>
    </w:p>
    <w:p>
      <w:pPr>
        <w:pStyle w:val="ListParagraph"/>
        <w:numPr>
          <w:ilvl w:val="0"/>
          <w:numId w:val="2"/>
        </w:numPr>
        <w:spacing w:after="80" w:line="276"/>
      </w:pPr>
      <w:r>
        <w:rPr>
          <w:b w:val="false"/>
          <w:bCs w:val="false"/>
        </w:rPr>
        <w:t xml:space="preserve">A suspected </w:t>
      </w:r>
      <w:r>
        <w:rPr>
          <w:b/>
          <w:bCs/>
        </w:rPr>
        <w:t xml:space="preserve">compression low</w:t>
      </w:r>
      <w:r>
        <w:rPr>
          <w:b w:val="false"/>
          <w:bCs w:val="false"/>
        </w:rPr>
        <w:t xml:space="preserve"> flag — a sharp drop to a low value with an equally sharp recovery and no corresponding treatment, which is a sensor artifact rather than a physiological event. Flagging these prevents the user from over-correcting a pattern that was never real, and prevents the prediction engine's own error statistics from being polluted by them.</w:t>
      </w:r>
    </w:p>
    <w:p>
      <w:pPr>
        <w:pStyle w:val="ListParagraph"/>
        <w:numPr>
          <w:ilvl w:val="0"/>
          <w:numId w:val="2"/>
        </w:numPr>
        <w:spacing w:after="80" w:line="276"/>
      </w:pPr>
      <w:r>
        <w:rPr>
          <w:b w:val="false"/>
          <w:bCs w:val="false"/>
        </w:rPr>
        <w:t xml:space="preserve">Comparison against the trailing 14-night median.</w:t>
      </w:r>
    </w:p>
    <w:p>
      <w:pPr>
        <w:pStyle w:val="Heading3"/>
        <w:spacing w:after="120" w:before="220"/>
      </w:pPr>
      <w:r>
        <w:rPr>
          <w:b w:val="false"/>
          <w:bCs w:val="false"/>
        </w:rPr>
        <w:t xml:space="preserve">3.2.7 Bolus Outcome Review</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For each logged dose, show predicted versus actual glucose over the following three hours. This reuses the prediction engine with no new math, closes the loop between logging and learning, and directly serves the dosing-accuracy goal — while never recommending a dose. It is retrospective by construction, which is what keeps it on the safe side of §1.2.</w:t>
      </w:r>
    </w:p>
    <w:p>
      <w:pPr>
        <w:pStyle w:val="Heading2"/>
        <w:spacing w:after="140" w:before="280"/>
      </w:pPr>
      <w:r>
        <w:rPr>
          <w:b w:val="false"/>
          <w:bCs w:val="false"/>
        </w:rPr>
        <w:t xml:space="preserve">3.3 v3 — Polish &amp; Stretch</w:t>
      </w:r>
    </w:p>
    <w:p>
      <w:pPr>
        <w:pStyle w:val="ListParagraph"/>
        <w:numPr>
          <w:ilvl w:val="0"/>
          <w:numId w:val="2"/>
        </w:numPr>
        <w:spacing w:after="80" w:line="276"/>
      </w:pPr>
      <w:r>
        <w:rPr>
          <w:b/>
          <w:bCs/>
        </w:rPr>
        <w:t xml:space="preserve">AGP PDF export</w:t>
      </w:r>
      <w:r>
        <w:rPr>
          <w:b w:val="false"/>
          <w:bCs w:val="false"/>
        </w:rPr>
        <w:t xml:space="preserve"> styled like the report endocrinologists use, built on the percentile computation already shipped in §3.1.5.</w:t>
      </w:r>
    </w:p>
    <w:p>
      <w:pPr>
        <w:pStyle w:val="ListParagraph"/>
        <w:numPr>
          <w:ilvl w:val="0"/>
          <w:numId w:val="2"/>
        </w:numPr>
        <w:spacing w:after="80" w:line="276"/>
      </w:pPr>
      <w:r>
        <w:rPr>
          <w:b/>
          <w:bCs/>
        </w:rPr>
        <w:t xml:space="preserve">Auto-generated endo prep</w:t>
      </w:r>
      <w:r>
        <w:rPr>
          <w:b w:val="false"/>
          <w:bCs w:val="false"/>
        </w:rPr>
        <w:t xml:space="preserve"> — the top three patterns detected across 90 days (“Tuesday post-lunch spikes”, “overnight drift low after evening exercise”), attached to the export. More useful in an appointment than the raw AGP page.</w:t>
      </w:r>
    </w:p>
    <w:p>
      <w:pPr>
        <w:pStyle w:val="ListParagraph"/>
        <w:numPr>
          <w:ilvl w:val="0"/>
          <w:numId w:val="2"/>
        </w:numPr>
        <w:spacing w:after="80" w:line="276"/>
      </w:pPr>
      <w:r>
        <w:rPr>
          <w:b/>
          <w:bCs/>
        </w:rPr>
        <w:t xml:space="preserve">Lock Screen and StandBy widgets</w:t>
      </w:r>
      <w:r>
        <w:rPr>
          <w:b w:val="false"/>
          <w:bCs w:val="false"/>
        </w:rPr>
        <w:t xml:space="preserve">, extending §3.2.4's surfaces.</w:t>
      </w:r>
    </w:p>
    <w:p>
      <w:pPr>
        <w:pStyle w:val="ListParagraph"/>
        <w:numPr>
          <w:ilvl w:val="0"/>
          <w:numId w:val="2"/>
        </w:numPr>
        <w:spacing w:after="80" w:line="276"/>
      </w:pPr>
      <w:r>
        <w:rPr>
          <w:b/>
          <w:bCs/>
        </w:rPr>
        <w:t xml:space="preserve">HealthKit write-back</w:t>
      </w:r>
      <w:r>
        <w:rPr>
          <w:b w:val="false"/>
          <w:bCs w:val="false"/>
        </w:rPr>
        <w:t xml:space="preserve"> so logged events are visible to other Apple Health apps.</w:t>
      </w:r>
    </w:p>
    <w:p>
      <w:pPr>
        <w:pStyle w:val="ListParagraph"/>
        <w:numPr>
          <w:ilvl w:val="0"/>
          <w:numId w:val="2"/>
        </w:numPr>
        <w:spacing w:after="80" w:line="276"/>
      </w:pPr>
      <w:r>
        <w:rPr>
          <w:b/>
          <w:bCs/>
        </w:rPr>
        <w:t xml:space="preserve">iCloud sync</w:t>
      </w:r>
      <w:r>
        <w:rPr>
          <w:b w:val="false"/>
          <w:bCs w:val="false"/>
        </w:rPr>
        <w:t xml:space="preserve"> of logged events across the user's own devices, via CloudKit private database (see §4.3 for the schema constraints this imposes from day one).</w:t>
      </w:r>
    </w:p>
    <w:p>
      <w:pPr>
        <w:pStyle w:val="ListParagraph"/>
        <w:numPr>
          <w:ilvl w:val="0"/>
          <w:numId w:val="2"/>
        </w:numPr>
        <w:spacing w:after="80" w:line="276"/>
      </w:pPr>
      <w:r>
        <w:rPr>
          <w:b/>
          <w:bCs/>
        </w:rPr>
        <w:t xml:space="preserve">Full Apple Watch app</w:t>
      </w:r>
      <w:r>
        <w:rPr>
          <w:b w:val="false"/>
          <w:bCs w:val="false"/>
        </w:rPr>
        <w:t xml:space="preserve"> beyond the complication — historical chart and logging on-wrist.</w:t>
      </w:r>
    </w:p>
    <w:p>
      <w:pPr>
        <w:pBdr>
          <w:left w:val="single" w:color="BFD3E6" w:sz="12" w:space="8"/>
        </w:pBdr>
        <w:spacing w:after="160" w:line="260"/>
        <w:ind w:left="180"/>
      </w:pPr>
      <w:r>
        <w:rPr>
          <w:b w:val="false"/>
          <w:bCs w:val="false"/>
          <w:i/>
          <w:iCs/>
          <w:color w:val="595959"/>
          <w:sz w:val="20"/>
          <w:szCs w:val="20"/>
        </w:rPr>
        <w:t xml:space="preserve">Changed in v1.2: Watch complication, widgets for logging, Siri, and the food database moved to v2 (§3.2.4, §3.2.5). What remains here is genuinely stretch.</w:t>
      </w:r>
    </w:p>
    <w:p>
      <w:pPr>
        <w:pStyle w:val="Heading1"/>
        <w:spacing w:after="160" w:before="360"/>
      </w:pPr>
      <w:r>
        <w:rPr>
          <w:b w:val="false"/>
          <w:bCs w:val="false"/>
        </w:rPr>
        <w:t xml:space="preserve">4. Technical Architecture</w:t>
      </w:r>
    </w:p>
    <w:p>
      <w:pPr>
        <w:pStyle w:val="Heading2"/>
        <w:spacing w:after="140" w:before="280"/>
      </w:pPr>
      <w:r>
        <w:rPr>
          <w:b w:val="false"/>
          <w:bCs w:val="false"/>
        </w:rPr>
        <w:t xml:space="preserve">4.1 Stack</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600"/>
        <w:gridCol w:w="2300"/>
        <w:gridCol w:w="5460"/>
      </w:tblGrid>
      <w:tr>
        <w:trPr>
          <w:tblHeader/>
        </w:trPr>
        <w:tc>
          <w:tcPr>
            <w:tcW w:type="dxa" w:w="1600"/>
            <w:shd w:fill="DEEAF6" w:color="auto" w:val="clear"/>
            <w:tcMar>
              <w:top w:type="dxa" w:w="60"/>
              <w:left w:type="dxa" w:w="100"/>
              <w:bottom w:type="dxa" w:w="60"/>
              <w:right w:type="dxa" w:w="100"/>
            </w:tcMar>
          </w:tcPr>
          <w:p>
            <w:pPr>
              <w:spacing w:after="0" w:line="250"/>
            </w:pPr>
            <w:r>
              <w:rPr>
                <w:b/>
                <w:bCs/>
                <w:sz w:val="20"/>
                <w:szCs w:val="20"/>
              </w:rPr>
              <w:t xml:space="preserve">Layer</w:t>
            </w:r>
          </w:p>
        </w:tc>
        <w:tc>
          <w:tcPr>
            <w:tcW w:type="dxa" w:w="2300"/>
            <w:shd w:fill="DEEAF6" w:color="auto" w:val="clear"/>
            <w:tcMar>
              <w:top w:type="dxa" w:w="60"/>
              <w:left w:type="dxa" w:w="100"/>
              <w:bottom w:type="dxa" w:w="60"/>
              <w:right w:type="dxa" w:w="100"/>
            </w:tcMar>
          </w:tcPr>
          <w:p>
            <w:pPr>
              <w:spacing w:after="0" w:line="250"/>
            </w:pPr>
            <w:r>
              <w:rPr>
                <w:b/>
                <w:bCs/>
                <w:sz w:val="20"/>
                <w:szCs w:val="20"/>
              </w:rPr>
              <w:t xml:space="preserve">Choice</w:t>
            </w:r>
          </w:p>
        </w:tc>
        <w:tc>
          <w:tcPr>
            <w:tcW w:type="dxa" w:w="5460"/>
            <w:shd w:fill="DEEAF6" w:color="auto" w:val="clear"/>
            <w:tcMar>
              <w:top w:type="dxa" w:w="60"/>
              <w:left w:type="dxa" w:w="100"/>
              <w:bottom w:type="dxa" w:w="60"/>
              <w:right w:type="dxa" w:w="100"/>
            </w:tcMar>
          </w:tcPr>
          <w:p>
            <w:pPr>
              <w:spacing w:after="0" w:line="250"/>
            </w:pPr>
            <w:r>
              <w:rPr>
                <w:b/>
                <w:bCs/>
                <w:sz w:val="20"/>
                <w:szCs w:val="20"/>
              </w:rPr>
              <w:t xml:space="preserve">Rationale</w:t>
            </w:r>
          </w:p>
        </w:tc>
      </w:tr>
      <w:tr>
        <w:tc>
          <w:tcPr>
            <w:tcW w:type="dxa" w:w="1600"/>
            <w:tcMar>
              <w:top w:type="dxa" w:w="60"/>
              <w:left w:type="dxa" w:w="100"/>
              <w:bottom w:type="dxa" w:w="60"/>
              <w:right w:type="dxa" w:w="100"/>
            </w:tcMar>
          </w:tcPr>
          <w:p>
            <w:pPr>
              <w:spacing w:after="0" w:line="250"/>
            </w:pPr>
            <w:r>
              <w:rPr>
                <w:b w:val="false"/>
                <w:bCs w:val="false"/>
                <w:sz w:val="20"/>
                <w:szCs w:val="20"/>
              </w:rPr>
              <w:t xml:space="preserve">Language</w:t>
            </w:r>
          </w:p>
        </w:tc>
        <w:tc>
          <w:tcPr>
            <w:tcW w:type="dxa" w:w="2300"/>
            <w:tcMar>
              <w:top w:type="dxa" w:w="60"/>
              <w:left w:type="dxa" w:w="100"/>
              <w:bottom w:type="dxa" w:w="60"/>
              <w:right w:type="dxa" w:w="100"/>
            </w:tcMar>
          </w:tcPr>
          <w:p>
            <w:pPr>
              <w:spacing w:after="0" w:line="250"/>
            </w:pPr>
            <w:r>
              <w:rPr>
                <w:b w:val="false"/>
                <w:bCs w:val="false"/>
                <w:sz w:val="20"/>
                <w:szCs w:val="20"/>
              </w:rPr>
              <w:t xml:space="preserve">Swift 6</w:t>
            </w:r>
          </w:p>
        </w:tc>
        <w:tc>
          <w:tcPr>
            <w:tcW w:type="dxa" w:w="5460"/>
            <w:tcMar>
              <w:top w:type="dxa" w:w="60"/>
              <w:left w:type="dxa" w:w="100"/>
              <w:bottom w:type="dxa" w:w="60"/>
              <w:right w:type="dxa" w:w="100"/>
            </w:tcMar>
          </w:tcPr>
          <w:p>
            <w:pPr>
              <w:spacing w:after="0" w:line="250"/>
            </w:pPr>
            <w:r>
              <w:rPr>
                <w:b w:val="false"/>
                <w:bCs w:val="false"/>
                <w:sz w:val="20"/>
                <w:szCs w:val="20"/>
              </w:rPr>
              <w:t xml:space="preserve">Xcode 26 defaults new projects to MainActor isolation; pure value types must be marked </w:t>
            </w:r>
            <w:r>
              <w:rPr>
                <w:rFonts w:ascii="Consolas" w:cs="Consolas" w:eastAsia="Consolas" w:hAnsi="Consolas"/>
                <w:b w:val="false"/>
                <w:bCs w:val="false"/>
                <w:sz w:val="19"/>
                <w:szCs w:val="19"/>
              </w:rPr>
              <w:t xml:space="preserve">nonisolated</w:t>
            </w:r>
            <w:r>
              <w:rPr>
                <w:b w:val="false"/>
                <w:bCs w:val="false"/>
                <w:sz w:val="20"/>
                <w:szCs w:val="20"/>
              </w:rPr>
              <w:t xml:space="preserve"> to be usable from URLSession and CoreBluetooth callbacks.</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UI</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SwiftUI</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Adaptive theming, and later widgets and Live Activities.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Min iOS</w:t>
            </w:r>
          </w:p>
        </w:tc>
        <w:tc>
          <w:tcPr>
            <w:tcW w:type="dxa" w:w="2300"/>
            <w:tcMar>
              <w:top w:type="dxa" w:w="60"/>
              <w:left w:type="dxa" w:w="100"/>
              <w:bottom w:type="dxa" w:w="60"/>
              <w:right w:type="dxa" w:w="100"/>
            </w:tcMar>
          </w:tcPr>
          <w:p>
            <w:pPr>
              <w:spacing w:after="0" w:line="250"/>
            </w:pPr>
            <w:r>
              <w:rPr>
                <w:b w:val="false"/>
                <w:bCs w:val="false"/>
                <w:sz w:val="20"/>
                <w:szCs w:val="20"/>
              </w:rPr>
              <w:t xml:space="preserve">26.5</w:t>
            </w:r>
          </w:p>
        </w:tc>
        <w:tc>
          <w:tcPr>
            <w:tcW w:type="dxa" w:w="5460"/>
            <w:tcMar>
              <w:top w:type="dxa" w:w="60"/>
              <w:left w:type="dxa" w:w="100"/>
              <w:bottom w:type="dxa" w:w="60"/>
              <w:right w:type="dxa" w:w="100"/>
            </w:tcMar>
          </w:tcPr>
          <w:p>
            <w:pPr>
              <w:spacing w:after="0" w:line="250"/>
            </w:pPr>
            <w:r>
              <w:rPr>
                <w:b w:val="false"/>
                <w:bCs w:val="false"/>
                <w:sz w:val="20"/>
                <w:szCs w:val="20"/>
              </w:rPr>
              <w:t xml:space="preserve">One user, one phone — no backward-compatibility burden.</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Live data</w:t>
            </w:r>
          </w:p>
        </w:tc>
        <w:tc>
          <w:tcPr>
            <w:tcW w:type="dxa" w:w="2300"/>
            <w:shd w:fill="F5F8FC" w:color="auto" w:val="clear"/>
            <w:tcMar>
              <w:top w:type="dxa" w:w="60"/>
              <w:left w:type="dxa" w:w="100"/>
              <w:bottom w:type="dxa" w:w="60"/>
              <w:right w:type="dxa" w:w="100"/>
            </w:tcMar>
          </w:tcPr>
          <w:p>
            <w:pPr>
              <w:spacing w:after="0" w:line="250"/>
            </w:pPr>
            <w:r>
              <w:rPr>
                <w:b/>
                <w:bCs/>
                <w:sz w:val="20"/>
                <w:szCs w:val="20"/>
              </w:rPr>
              <w:t xml:space="preserve">Dexcom Share over URLSession</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Changed in v1.4. Direct BLE was implemented and empirically ruled out (§4.2.1).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History</w:t>
            </w:r>
          </w:p>
        </w:tc>
        <w:tc>
          <w:tcPr>
            <w:tcW w:type="dxa" w:w="2300"/>
            <w:tcMar>
              <w:top w:type="dxa" w:w="60"/>
              <w:left w:type="dxa" w:w="100"/>
              <w:bottom w:type="dxa" w:w="60"/>
              <w:right w:type="dxa" w:w="100"/>
            </w:tcMar>
          </w:tcPr>
          <w:p>
            <w:pPr>
              <w:spacing w:after="0" w:line="250"/>
            </w:pPr>
            <w:r>
              <w:rPr>
                <w:b w:val="false"/>
                <w:bCs w:val="false"/>
                <w:sz w:val="20"/>
                <w:szCs w:val="20"/>
              </w:rPr>
              <w:t xml:space="preserve">HealthKit anchored queries</w:t>
            </w:r>
          </w:p>
        </w:tc>
        <w:tc>
          <w:tcPr>
            <w:tcW w:type="dxa" w:w="5460"/>
            <w:tcMar>
              <w:top w:type="dxa" w:w="60"/>
              <w:left w:type="dxa" w:w="100"/>
              <w:bottom w:type="dxa" w:w="60"/>
              <w:right w:type="dxa" w:w="100"/>
            </w:tcMar>
          </w:tcPr>
          <w:p>
            <w:pPr>
              <w:spacing w:after="0" w:line="250"/>
            </w:pPr>
            <w:r>
              <w:rPr>
                <w:b w:val="false"/>
                <w:bCs w:val="false"/>
                <w:sz w:val="20"/>
                <w:szCs w:val="20"/>
              </w:rPr>
              <w:t xml:space="preserve">90-day backfill. Three-hour delay, so backfill only.</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Persistence</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SwiftData</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Versioned migrations; CloudKit-ready subject to §4.3's constraints.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Charts</w:t>
            </w:r>
          </w:p>
        </w:tc>
        <w:tc>
          <w:tcPr>
            <w:tcW w:type="dxa" w:w="2300"/>
            <w:tcMar>
              <w:top w:type="dxa" w:w="60"/>
              <w:left w:type="dxa" w:w="100"/>
              <w:bottom w:type="dxa" w:w="60"/>
              <w:right w:type="dxa" w:w="100"/>
            </w:tcMar>
          </w:tcPr>
          <w:p>
            <w:pPr>
              <w:spacing w:after="0" w:line="250"/>
            </w:pPr>
            <w:r>
              <w:rPr>
                <w:b w:val="false"/>
                <w:bCs w:val="false"/>
                <w:sz w:val="20"/>
                <w:szCs w:val="20"/>
              </w:rPr>
              <w:t xml:space="preserve">Swift Charts (Apple)</w:t>
            </w:r>
          </w:p>
        </w:tc>
        <w:tc>
          <w:tcPr>
            <w:tcW w:type="dxa" w:w="5460"/>
            <w:tcMar>
              <w:top w:type="dxa" w:w="60"/>
              <w:left w:type="dxa" w:w="100"/>
              <w:bottom w:type="dxa" w:w="60"/>
              <w:right w:type="dxa" w:w="100"/>
            </w:tcMar>
          </w:tcPr>
          <w:p>
            <w:pPr>
              <w:spacing w:after="0" w:line="250"/>
            </w:pPr>
            <w:r>
              <w:rPr>
                <w:b w:val="false"/>
                <w:bCs w:val="false"/>
                <w:sz w:val="20"/>
                <w:szCs w:val="20"/>
              </w:rPr>
              <w:t xml:space="preserve">Requires downsampling above ~2,000 points (§4.5).</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Secrets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Keychain Services</w:t>
            </w:r>
          </w:p>
        </w:tc>
        <w:tc>
          <w:tcPr>
            <w:tcW w:type="dxa" w:w="5460"/>
            <w:shd w:fill="F5F8FC" w:color="auto" w:val="clear"/>
            <w:tcMar>
              <w:top w:type="dxa" w:w="60"/>
              <w:left w:type="dxa" w:w="100"/>
              <w:bottom w:type="dxa" w:w="60"/>
              <w:right w:type="dxa" w:w="100"/>
            </w:tcMar>
          </w:tcPr>
          <w:p>
            <w:pPr>
              <w:spacing w:after="0" w:line="250"/>
            </w:pPr>
            <w:r>
              <w:rPr>
                <w:rFonts w:ascii="Consolas" w:cs="Consolas" w:eastAsia="Consolas" w:hAnsi="Consolas"/>
                <w:b w:val="false"/>
                <w:bCs w:val="false"/>
                <w:sz w:val="19"/>
                <w:szCs w:val="19"/>
              </w:rPr>
              <w:t xml:space="preserve">kSecAttrAccessibleAfterFirstUnlockThisDeviceOnly</w:t>
            </w:r>
            <w:r>
              <w:rPr>
                <w:b w:val="false"/>
                <w:bCs w:val="false"/>
                <w:sz w:val="20"/>
                <w:szCs w:val="20"/>
              </w:rPr>
              <w:t xml:space="preserve"> — </w:t>
            </w:r>
            <w:r>
              <w:rPr>
                <w:rFonts w:ascii="Consolas" w:cs="Consolas" w:eastAsia="Consolas" w:hAnsi="Consolas"/>
                <w:b w:val="false"/>
                <w:bCs w:val="false"/>
                <w:sz w:val="19"/>
                <w:szCs w:val="19"/>
              </w:rPr>
              <w:t xml:space="preserve">WhenUnlocked</w:t>
            </w:r>
            <w:r>
              <w:rPr>
                <w:b w:val="false"/>
                <w:bCs w:val="false"/>
                <w:sz w:val="20"/>
                <w:szCs w:val="20"/>
              </w:rPr>
              <w:t xml:space="preserve"> would break polling while the phone is locked.</w:t>
            </w:r>
          </w:p>
        </w:tc>
      </w:tr>
      <w:tr>
        <w:tc>
          <w:tcPr>
            <w:tcW w:type="dxa" w:w="1600"/>
            <w:tcMar>
              <w:top w:type="dxa" w:w="60"/>
              <w:left w:type="dxa" w:w="100"/>
              <w:bottom w:type="dxa" w:w="60"/>
              <w:right w:type="dxa" w:w="100"/>
            </w:tcMar>
          </w:tcPr>
          <w:p>
            <w:pPr>
              <w:spacing w:after="0" w:line="250"/>
            </w:pPr>
            <w:r>
              <w:rPr>
                <w:b w:val="false"/>
                <w:bCs w:val="false"/>
                <w:sz w:val="20"/>
                <w:szCs w:val="20"/>
              </w:rPr>
              <w:t xml:space="preserve">Background</w:t>
            </w:r>
          </w:p>
        </w:tc>
        <w:tc>
          <w:tcPr>
            <w:tcW w:type="dxa" w:w="2300"/>
            <w:tcMar>
              <w:top w:type="dxa" w:w="60"/>
              <w:left w:type="dxa" w:w="100"/>
              <w:bottom w:type="dxa" w:w="60"/>
              <w:right w:type="dxa" w:w="100"/>
            </w:tcMar>
          </w:tcPr>
          <w:p>
            <w:pPr>
              <w:spacing w:after="0" w:line="250"/>
            </w:pPr>
            <w:r>
              <w:rPr>
                <w:b w:val="false"/>
                <w:bCs w:val="false"/>
                <w:sz w:val="20"/>
                <w:szCs w:val="20"/>
              </w:rPr>
              <w:t xml:space="preserve">BGAppRefreshTask (opportunistic)</w:t>
            </w:r>
          </w:p>
        </w:tc>
        <w:tc>
          <w:tcPr>
            <w:tcW w:type="dxa" w:w="5460"/>
            <w:tcMar>
              <w:top w:type="dxa" w:w="60"/>
              <w:left w:type="dxa" w:w="100"/>
              <w:bottom w:type="dxa" w:w="60"/>
              <w:right w:type="dxa" w:w="100"/>
            </w:tcMar>
          </w:tcPr>
          <w:p>
            <w:pPr>
              <w:spacing w:after="0" w:line="250"/>
            </w:pPr>
            <w:r>
              <w:rPr>
                <w:b w:val="false"/>
                <w:bCs w:val="false"/>
                <w:sz w:val="20"/>
                <w:szCs w:val="20"/>
              </w:rPr>
              <w:t xml:space="preserve">Changed in v1.4. With BLE ruled out there is no push wake mechanism; background freshness is now best-effort and must not be relied upon (§4.2.1).</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Entitlements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HealthKit; App Groups (v2, paid)</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v1 is buildable on a free personal team (§6.1).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Testing</w:t>
            </w:r>
          </w:p>
        </w:tc>
        <w:tc>
          <w:tcPr>
            <w:tcW w:type="dxa" w:w="2300"/>
            <w:tcMar>
              <w:top w:type="dxa" w:w="60"/>
              <w:left w:type="dxa" w:w="100"/>
              <w:bottom w:type="dxa" w:w="60"/>
              <w:right w:type="dxa" w:w="100"/>
            </w:tcMar>
          </w:tcPr>
          <w:p>
            <w:pPr>
              <w:spacing w:after="0" w:line="250"/>
            </w:pPr>
            <w:r>
              <w:rPr>
                <w:b w:val="false"/>
                <w:bCs w:val="false"/>
                <w:sz w:val="20"/>
                <w:szCs w:val="20"/>
              </w:rPr>
              <w:t xml:space="preserve">Swift Testing</w:t>
            </w:r>
          </w:p>
        </w:tc>
        <w:tc>
          <w:tcPr>
            <w:tcW w:type="dxa" w:w="5460"/>
            <w:tcMar>
              <w:top w:type="dxa" w:w="60"/>
              <w:left w:type="dxa" w:w="100"/>
              <w:bottom w:type="dxa" w:w="60"/>
              <w:right w:type="dxa" w:w="100"/>
            </w:tcMar>
          </w:tcPr>
          <w:p>
            <w:pPr>
              <w:spacing w:after="0" w:line="250"/>
            </w:pPr>
            <w:r>
              <w:rPr>
                <w:b w:val="false"/>
                <w:bCs w:val="false"/>
                <w:sz w:val="20"/>
                <w:szCs w:val="20"/>
              </w:rPr>
              <w:t xml:space="preserve">35 tests covering Share parsing, unit conversion, and error classification.</w:t>
            </w:r>
          </w:p>
        </w:tc>
      </w:tr>
    </w:tbl>
    <w:p>
      <w:pPr>
        <w:pStyle w:val="Heading2"/>
        <w:spacing w:after="140" w:before="280"/>
      </w:pPr>
      <w:r>
        <w:rPr>
          <w:b w:val="false"/>
          <w:bCs w:val="false"/>
        </w:rPr>
        <w:t xml:space="preserve">4.2 Data Source Layer</w:t>
      </w:r>
    </w:p>
    <w:p>
      <w:pPr>
        <w:pStyle w:val="Heading3"/>
        <w:spacing w:after="120" w:before="220"/>
      </w:pPr>
      <w:r>
        <w:rPr>
          <w:b w:val="false"/>
          <w:bCs w:val="false"/>
        </w:rPr>
        <w:t xml:space="preserve">4.2.1 Background Refresh — and its limits</w:t>
      </w:r>
    </w:p>
    <w:p>
      <w:pPr>
        <w:pBdr>
          <w:left w:val="single" w:color="BFD3E6" w:sz="12" w:space="8"/>
        </w:pBdr>
        <w:spacing w:after="160" w:line="260"/>
        <w:ind w:left="180"/>
      </w:pPr>
      <w:r>
        <w:rPr>
          <w:b w:val="false"/>
          <w:bCs w:val="false"/>
          <w:i/>
          <w:iCs/>
          <w:color w:val="595959"/>
          <w:sz w:val="20"/>
          <w:szCs w:val="20"/>
        </w:rPr>
        <w:t xml:space="preserve">Rewritten in v1.4. Both prior designs are dead: v1.1's BGAppRefreshTask assumption was wrong, v1.2's HealthKit background delivery is three hours stale, and v1.3's CoreBluetooth restoration depended on a BLE path that does not work.</w:t>
      </w:r>
    </w:p>
    <w:p>
      <w:pPr>
        <w:spacing w:after="120" w:line="276"/>
      </w:pPr>
      <w:r>
        <w:rPr>
          <w:b/>
          <w:bCs/>
        </w:rPr>
        <w:t xml:space="preserve">GlucoNoir has no reliable background wake mechanism.</w:t>
      </w:r>
      <w:r>
        <w:rPr>
          <w:b w:val="false"/>
          <w:bCs w:val="false"/>
        </w:rPr>
        <w:t xml:space="preserve"> This should be stated plainly rather than engineered around:</w:t>
      </w:r>
    </w:p>
    <w:p>
      <w:pPr>
        <w:pStyle w:val="ListParagraph"/>
        <w:numPr>
          <w:ilvl w:val="0"/>
          <w:numId w:val="2"/>
        </w:numPr>
        <w:spacing w:after="80" w:line="276"/>
      </w:pPr>
      <w:r>
        <w:rPr>
          <w:rFonts w:ascii="Consolas" w:cs="Consolas" w:eastAsia="Consolas" w:hAnsi="Consolas"/>
          <w:b w:val="false"/>
          <w:bCs w:val="false"/>
          <w:sz w:val="19"/>
          <w:szCs w:val="19"/>
        </w:rPr>
        <w:t xml:space="preserve">BGAppRefreshTask</w:t>
      </w:r>
      <w:r>
        <w:rPr>
          <w:b w:val="false"/>
          <w:bCs w:val="false"/>
        </w:rPr>
        <w:t xml:space="preserve"> schedules at the system's discretion. </w:t>
      </w:r>
      <w:r>
        <w:rPr>
          <w:rFonts w:ascii="Consolas" w:cs="Consolas" w:eastAsia="Consolas" w:hAnsi="Consolas"/>
          <w:b w:val="false"/>
          <w:bCs w:val="false"/>
          <w:sz w:val="19"/>
          <w:szCs w:val="19"/>
        </w:rPr>
        <w:t xml:space="preserve">earliestBeginDate</w:t>
      </w:r>
      <w:r>
        <w:rPr>
          <w:b w:val="false"/>
          <w:bCs w:val="false"/>
        </w:rPr>
        <w:t xml:space="preserve"> is a floor, not a schedule, and the task is least likely to run overnight when the app has been idle for hours.</w:t>
      </w:r>
    </w:p>
    <w:p>
      <w:pPr>
        <w:pStyle w:val="ListParagraph"/>
        <w:numPr>
          <w:ilvl w:val="0"/>
          <w:numId w:val="2"/>
        </w:numPr>
        <w:spacing w:after="80" w:line="276"/>
      </w:pPr>
      <w:r>
        <w:rPr>
          <w:b w:val="false"/>
          <w:bCs w:val="false"/>
        </w:rPr>
        <w:t xml:space="preserve">HealthKit background delivery would fire reliably but carries three-hour-old data.</w:t>
      </w:r>
    </w:p>
    <w:p>
      <w:pPr>
        <w:pStyle w:val="ListParagraph"/>
        <w:numPr>
          <w:ilvl w:val="0"/>
          <w:numId w:val="2"/>
        </w:numPr>
        <w:spacing w:after="80" w:line="276"/>
      </w:pPr>
      <w:r>
        <w:rPr>
          <w:b w:val="false"/>
          <w:bCs w:val="false"/>
        </w:rPr>
        <w:t xml:space="preserve">CoreBluetooth restoration is unavailable, since the sensor will not stream to this app at all.</w:t>
      </w:r>
    </w:p>
    <w:p>
      <w:pPr>
        <w:spacing w:after="120" w:line="276"/>
      </w:pPr>
      <w:r>
        <w:rPr>
          <w:b/>
          <w:bCs/>
        </w:rPr>
        <w:t xml:space="preserve">Consequence:</w:t>
      </w:r>
      <w:r>
        <w:rPr>
          <w:b w:val="false"/>
          <w:bCs w:val="false"/>
        </w:rPr>
        <w:t xml:space="preserve"> freshness is a foreground property. Opening the app triggers an immediate poll and produces a current reading within a second or two. In the background the app polls while it remains alive, and stops when the system suspends it. A value seen on opening the app is trustworthy; the app being open in the background is not a guarantee of anything.</w:t>
      </w:r>
    </w:p>
    <w:p>
      <w:pPr>
        <w:spacing w:after="120" w:line="276"/>
      </w:pPr>
      <w:r>
        <w:rPr>
          <w:b w:val="false"/>
          <w:bCs w:val="false"/>
        </w:rPr>
        <w:t xml:space="preserve">This is precisely why alarms remain with the official Dexcom app (§1.3), and why Phase 9's Live Activity is a convenience rather than a monitoring surface.</w:t>
      </w:r>
    </w:p>
    <w:p>
      <w:pPr>
        <w:spacing w:after="100" w:before="180"/>
      </w:pPr>
      <w:r>
        <w:rPr>
          <w:b/>
          <w:bCs/>
          <w:color w:val="1F4D78"/>
        </w:rPr>
        <w:t xml:space="preserve">What this means for the user, stated plainly</w:t>
      </w:r>
    </w:p>
    <w:p>
      <w:pPr>
        <w:spacing w:after="120" w:line="276"/>
      </w:pPr>
      <w:r>
        <w:rPr>
          <w:b w:val="false"/>
          <w:bCs w:val="false"/>
        </w:rPr>
        <w:t xml:space="preserve">Added in v1.5 after the question was asked directly. GlucoNoir does not collect data continuously. It collects when it is open.</w:t>
      </w:r>
    </w:p>
    <w:p>
      <w:pPr>
        <w:pStyle w:val="ListParagraph"/>
        <w:numPr>
          <w:ilvl w:val="0"/>
          <w:numId w:val="2"/>
        </w:numPr>
        <w:spacing w:after="80" w:line="276"/>
      </w:pPr>
      <w:r>
        <w:rPr>
          <w:b/>
          <w:bCs/>
        </w:rPr>
        <w:t xml:space="preserve">A value seen on opening the app is trustworthy</w:t>
      </w:r>
      <w:r>
        <w:rPr>
          <w:b w:val="false"/>
          <w:bCs w:val="false"/>
        </w:rPr>
        <w:t xml:space="preserve"> — the app polls immediately on becoming active, so a glance always fetches rather than showing a cached number.</w:t>
      </w:r>
    </w:p>
    <w:p>
      <w:pPr>
        <w:pStyle w:val="ListParagraph"/>
        <w:numPr>
          <w:ilvl w:val="0"/>
          <w:numId w:val="2"/>
        </w:numPr>
        <w:spacing w:after="80" w:line="276"/>
      </w:pPr>
      <w:r>
        <w:rPr>
          <w:b/>
          <w:bCs/>
        </w:rPr>
        <w:t xml:space="preserve">The app being open in the background guarantees nothing.</w:t>
      </w:r>
      <w:r>
        <w:rPr>
          <w:b w:val="false"/>
          <w:bCs w:val="false"/>
        </w:rPr>
        <w:t xml:space="preserve"> iOS suspends it within seconds to minutes and polling stops.</w:t>
      </w:r>
    </w:p>
    <w:p>
      <w:pPr>
        <w:pStyle w:val="ListParagraph"/>
        <w:numPr>
          <w:ilvl w:val="0"/>
          <w:numId w:val="2"/>
        </w:numPr>
        <w:spacing w:after="80" w:line="276"/>
      </w:pPr>
      <w:r>
        <w:rPr>
          <w:b/>
          <w:bCs/>
        </w:rPr>
        <w:t xml:space="preserve">History still closes its own gaps.</w:t>
      </w:r>
      <w:r>
        <w:rPr>
          <w:b w:val="false"/>
          <w:bCs w:val="false"/>
        </w:rPr>
        <w:t xml:space="preserve"> Because Share retains 24 hours and the fetch window sizes itself to the gap since the newest stored reading, opening the app once a day yields continuous stored history despite the app having been asleep for most of it (§4.3). Beyond 24 hours, HealthKit backfill extends the repair window to 90 days.</w:t>
      </w:r>
    </w:p>
    <w:p>
      <w:pPr>
        <w:spacing w:after="120" w:line="276"/>
      </w:pPr>
      <w:r>
        <w:rPr>
          <w:b w:val="false"/>
          <w:bCs w:val="false"/>
        </w:rPr>
        <w:t xml:space="preserve">So GlucoNoir is a “look at it” application, not a monitoring one. The distinction is not pedantic: it is the whole reason the FDA-cleared alarms stay on an app that reads the sensor directly and depends on neither a network nor a scheduler.</w:t>
      </w:r>
    </w:p>
    <w:p>
      <w:pPr>
        <w:pStyle w:val="Heading3"/>
        <w:spacing w:after="120" w:before="220"/>
      </w:pPr>
      <w:r>
        <w:rPr>
          <w:b w:val="false"/>
          <w:bCs w:val="false"/>
        </w:rPr>
        <w:t xml:space="preserve">4.2.2 ShareMonitor</w:t>
      </w:r>
    </w:p>
    <w:p>
      <w:pPr>
        <w:pStyle w:val="ListParagraph"/>
        <w:numPr>
          <w:ilvl w:val="0"/>
          <w:numId w:val="2"/>
        </w:numPr>
        <w:spacing w:after="80" w:line="276"/>
      </w:pPr>
      <w:r>
        <w:rPr>
          <w:b w:val="false"/>
          <w:bCs w:val="false"/>
        </w:rPr>
        <w:t xml:space="preserve">Owns polling and publishes the state the UI observes.</w:t>
      </w:r>
    </w:p>
    <w:p>
      <w:pPr>
        <w:pStyle w:val="ListParagraph"/>
        <w:numPr>
          <w:ilvl w:val="0"/>
          <w:numId w:val="2"/>
        </w:numPr>
        <w:spacing w:after="80" w:line="276"/>
      </w:pPr>
      <w:r>
        <w:rPr>
          <w:b/>
          <w:bCs/>
        </w:rPr>
        <w:t xml:space="preserve">Cadence anchored to the sensor</w:t>
      </w:r>
      <w:r>
        <w:rPr>
          <w:b w:val="false"/>
          <w:bCs w:val="false"/>
        </w:rPr>
        <w:t xml:space="preserve">, not a fixed timer: after a reading timestamped T, the next poll is scheduled at T + 5min + 25s. Blind interval polling would either waste requests or systematically miss readings by up to a full cycle.</w:t>
      </w:r>
    </w:p>
    <w:p>
      <w:pPr>
        <w:pStyle w:val="ListParagraph"/>
        <w:numPr>
          <w:ilvl w:val="0"/>
          <w:numId w:val="2"/>
        </w:numPr>
        <w:spacing w:after="80" w:line="276"/>
      </w:pPr>
      <w:r>
        <w:rPr>
          <w:b/>
          <w:bCs/>
        </w:rPr>
        <w:t xml:space="preserve">Immediate poll on </w:t>
      </w:r>
      <w:r>
        <w:rPr>
          <w:rFonts w:ascii="Consolas" w:cs="Consolas" w:eastAsia="Consolas" w:hAnsi="Consolas"/>
          <w:b/>
          <w:bCs/>
          <w:sz w:val="19"/>
          <w:szCs w:val="19"/>
        </w:rPr>
        <w:t xml:space="preserve">scenePhase == .active</w:t>
      </w:r>
      <w:r>
        <w:rPr>
          <w:b/>
          <w:bCs/>
        </w:rPr>
        <w:t xml:space="preserve">.</w:t>
      </w:r>
      <w:r>
        <w:rPr>
          <w:b w:val="false"/>
          <w:bCs w:val="false"/>
        </w:rPr>
        <w:t xml:space="preserve"> The dominant use case is a glance, and a glance must fetch.</w:t>
      </w:r>
    </w:p>
    <w:p>
      <w:pPr>
        <w:pStyle w:val="ListParagraph"/>
        <w:numPr>
          <w:ilvl w:val="0"/>
          <w:numId w:val="2"/>
        </w:numPr>
        <w:spacing w:after="80" w:line="276"/>
      </w:pPr>
      <w:r>
        <w:rPr>
          <w:b/>
          <w:bCs/>
        </w:rPr>
        <w:t xml:space="preserve">Backoff on transient failure only:</w:t>
      </w:r>
      <w:r>
        <w:rPr>
          <w:b w:val="false"/>
          <w:bCs w:val="false"/>
        </w:rPr>
        <w:t xml:space="preserve"> 30s, 60s, 120s, 300s. Terminal failures stop polling entirely.</w:t>
      </w:r>
    </w:p>
    <w:p>
      <w:pPr>
        <w:pStyle w:val="ListParagraph"/>
        <w:numPr>
          <w:ilvl w:val="0"/>
          <w:numId w:val="2"/>
        </w:numPr>
        <w:spacing w:after="80" w:line="276"/>
      </w:pPr>
      <w:r>
        <w:rPr>
          <w:b w:val="false"/>
          <w:bCs w:val="false"/>
        </w:rPr>
        <w:t xml:space="preserve">Requests a 180-minute / 36-reading window rather than a single value, so the 3-hour chart is populated by the same call that refreshes the hero number.</w:t>
      </w:r>
    </w:p>
    <w:p>
      <w:pPr>
        <w:pStyle w:val="Heading3"/>
        <w:spacing w:after="120" w:before="220"/>
      </w:pPr>
      <w:r>
        <w:rPr>
          <w:b w:val="false"/>
          <w:bCs w:val="false"/>
        </w:rPr>
        <w:t xml:space="preserve">4.2.3 DexcomShareClient</w:t>
      </w:r>
    </w:p>
    <w:p>
      <w:pPr>
        <w:spacing w:after="120" w:line="276"/>
      </w:pPr>
      <w:r>
        <w:rPr>
          <w:b w:val="false"/>
          <w:bCs w:val="false"/>
        </w:rPr>
        <w:t xml:space="preserve">An actor, so concurrent callers cannot trigger duplicate logins. Endpoints and constants verified against pydexcom, the maintained reference implementation.</w:t>
      </w:r>
    </w:p>
    <w:p>
      <w:pPr>
        <w:spacing w:after="100" w:before="180"/>
      </w:pPr>
      <w:r>
        <w:rPr>
          <w:b/>
          <w:bCs/>
          <w:color w:val="1F4D78"/>
        </w:rPr>
        <w:t xml:space="preserve">Authentication flow</w:t>
      </w:r>
    </w:p>
    <w:p>
      <w:pPr>
        <w:pStyle w:val="ListParagraph"/>
        <w:numPr>
          <w:ilvl w:val="0"/>
          <w:numId w:val="3"/>
        </w:numPr>
        <w:spacing w:after="80" w:line="276"/>
      </w:pPr>
      <w:r>
        <w:rPr>
          <w:rFonts w:ascii="Consolas" w:cs="Consolas" w:eastAsia="Consolas" w:hAnsi="Consolas"/>
          <w:b w:val="false"/>
          <w:bCs w:val="false"/>
          <w:sz w:val="19"/>
          <w:szCs w:val="19"/>
        </w:rPr>
        <w:t xml:space="preserve">POST General/AuthenticatePublisherAccount</w:t>
      </w:r>
      <w:r>
        <w:rPr>
          <w:b w:val="false"/>
          <w:bCs w:val="false"/>
        </w:rPr>
        <w:t xml:space="preserve"> with </w:t>
      </w:r>
      <w:r>
        <w:rPr>
          <w:rFonts w:ascii="Consolas" w:cs="Consolas" w:eastAsia="Consolas" w:hAnsi="Consolas"/>
          <w:b w:val="false"/>
          <w:bCs w:val="false"/>
          <w:sz w:val="19"/>
          <w:szCs w:val="19"/>
        </w:rPr>
        <w:t xml:space="preserve">accountName</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account ID.</w:t>
      </w:r>
    </w:p>
    <w:p>
      <w:pPr>
        <w:pStyle w:val="ListParagraph"/>
        <w:numPr>
          <w:ilvl w:val="0"/>
          <w:numId w:val="3"/>
        </w:numPr>
        <w:spacing w:after="80" w:line="276"/>
      </w:pPr>
      <w:r>
        <w:rPr>
          <w:rFonts w:ascii="Consolas" w:cs="Consolas" w:eastAsia="Consolas" w:hAnsi="Consolas"/>
          <w:b w:val="false"/>
          <w:bCs w:val="false"/>
          <w:sz w:val="19"/>
          <w:szCs w:val="19"/>
        </w:rPr>
        <w:t xml:space="preserve">POST General/LoginPublisherAccountById</w:t>
      </w:r>
      <w:r>
        <w:rPr>
          <w:b w:val="false"/>
          <w:bCs w:val="false"/>
        </w:rPr>
        <w:t xml:space="preserve"> with </w:t>
      </w:r>
      <w:r>
        <w:rPr>
          <w:rFonts w:ascii="Consolas" w:cs="Consolas" w:eastAsia="Consolas" w:hAnsi="Consolas"/>
          <w:b w:val="false"/>
          <w:bCs w:val="false"/>
          <w:sz w:val="19"/>
          <w:szCs w:val="19"/>
        </w:rPr>
        <w:t xml:space="preserve">accountId</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session ID.</w:t>
      </w:r>
    </w:p>
    <w:p>
      <w:pPr>
        <w:pStyle w:val="ListParagraph"/>
        <w:numPr>
          <w:ilvl w:val="0"/>
          <w:numId w:val="3"/>
        </w:numPr>
        <w:spacing w:after="80" w:line="276"/>
      </w:pPr>
      <w:r>
        <w:rPr>
          <w:rFonts w:ascii="Consolas" w:cs="Consolas" w:eastAsia="Consolas" w:hAnsi="Consolas"/>
          <w:b w:val="false"/>
          <w:bCs w:val="false"/>
          <w:sz w:val="19"/>
          <w:szCs w:val="19"/>
        </w:rPr>
        <w:t xml:space="preserve">POST Publisher/ReadPublisherLatestGlucoseValues</w:t>
      </w:r>
      <w:r>
        <w:rPr>
          <w:b w:val="false"/>
          <w:bCs w:val="false"/>
        </w:rPr>
        <w:t xml:space="preserve"> with </w:t>
      </w:r>
      <w:r>
        <w:rPr>
          <w:rFonts w:ascii="Consolas" w:cs="Consolas" w:eastAsia="Consolas" w:hAnsi="Consolas"/>
          <w:b w:val="false"/>
          <w:bCs w:val="false"/>
          <w:sz w:val="19"/>
          <w:szCs w:val="19"/>
        </w:rPr>
        <w:t xml:space="preserve">sessionId</w:t>
      </w:r>
      <w:r>
        <w:rPr>
          <w:b w:val="false"/>
          <w:bCs w:val="false"/>
        </w:rPr>
        <w:t xml:space="preserve">, </w:t>
      </w:r>
      <w:r>
        <w:rPr>
          <w:rFonts w:ascii="Consolas" w:cs="Consolas" w:eastAsia="Consolas" w:hAnsi="Consolas"/>
          <w:b w:val="false"/>
          <w:bCs w:val="false"/>
          <w:sz w:val="19"/>
          <w:szCs w:val="19"/>
        </w:rPr>
        <w:t xml:space="preserve">minutes</w:t>
      </w:r>
      <w:r>
        <w:rPr>
          <w:b w:val="false"/>
          <w:bCs w:val="false"/>
        </w:rPr>
        <w:t xml:space="preserve"> (≤1440), </w:t>
      </w:r>
      <w:r>
        <w:rPr>
          <w:rFonts w:ascii="Consolas" w:cs="Consolas" w:eastAsia="Consolas" w:hAnsi="Consolas"/>
          <w:b w:val="false"/>
          <w:bCs w:val="false"/>
          <w:sz w:val="19"/>
          <w:szCs w:val="19"/>
        </w:rPr>
        <w:t xml:space="preserve">maxCount</w:t>
      </w:r>
      <w:r>
        <w:rPr>
          <w:b w:val="false"/>
          <w:bCs w:val="false"/>
        </w:rPr>
        <w:t xml:space="preserve"> (≤288) as query parameters → readings.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500"/>
        <w:gridCol w:w="3000"/>
        <w:gridCol w:w="4860"/>
      </w:tblGrid>
      <w:tr>
        <w:trPr>
          <w:tblHeader/>
        </w:trPr>
        <w:tc>
          <w:tcPr>
            <w:tcW w:type="dxa" w:w="1500"/>
            <w:shd w:fill="DEEAF6" w:color="auto" w:val="clear"/>
            <w:tcMar>
              <w:top w:type="dxa" w:w="60"/>
              <w:left w:type="dxa" w:w="100"/>
              <w:bottom w:type="dxa" w:w="60"/>
              <w:right w:type="dxa" w:w="100"/>
            </w:tcMar>
          </w:tcPr>
          <w:p>
            <w:pPr>
              <w:spacing w:after="0" w:line="250"/>
            </w:pPr>
            <w:r>
              <w:rPr>
                <w:b/>
                <w:bCs/>
                <w:sz w:val="20"/>
                <w:szCs w:val="20"/>
              </w:rPr>
              <w:t xml:space="preserve">Region</w:t>
            </w:r>
          </w:p>
        </w:tc>
        <w:tc>
          <w:tcPr>
            <w:tcW w:type="dxa" w:w="3000"/>
            <w:shd w:fill="DEEAF6" w:color="auto" w:val="clear"/>
            <w:tcMar>
              <w:top w:type="dxa" w:w="60"/>
              <w:left w:type="dxa" w:w="100"/>
              <w:bottom w:type="dxa" w:w="60"/>
              <w:right w:type="dxa" w:w="100"/>
            </w:tcMar>
          </w:tcPr>
          <w:p>
            <w:pPr>
              <w:spacing w:after="0" w:line="250"/>
            </w:pPr>
            <w:r>
              <w:rPr>
                <w:b/>
                <w:bCs/>
                <w:sz w:val="20"/>
                <w:szCs w:val="20"/>
              </w:rPr>
              <w:t xml:space="preserve">Base URL</w:t>
            </w:r>
          </w:p>
        </w:tc>
        <w:tc>
          <w:tcPr>
            <w:tcW w:type="dxa" w:w="4860"/>
            <w:shd w:fill="DEEAF6" w:color="auto" w:val="clear"/>
            <w:tcMar>
              <w:top w:type="dxa" w:w="60"/>
              <w:left w:type="dxa" w:w="100"/>
              <w:bottom w:type="dxa" w:w="60"/>
              <w:right w:type="dxa" w:w="100"/>
            </w:tcMar>
          </w:tcPr>
          <w:p>
            <w:pPr>
              <w:spacing w:after="0" w:line="250"/>
            </w:pPr>
            <w:r>
              <w:rPr>
                <w:b/>
                <w:bCs/>
                <w:sz w:val="20"/>
                <w:szCs w:val="20"/>
              </w:rPr>
              <w:t xml:space="preserve">applicationId</w:t>
            </w:r>
          </w:p>
        </w:tc>
      </w:tr>
      <w:tr>
        <w:tc>
          <w:tcPr>
            <w:tcW w:type="dxa" w:w="1500"/>
            <w:tcMar>
              <w:top w:type="dxa" w:w="60"/>
              <w:left w:type="dxa" w:w="100"/>
              <w:bottom w:type="dxa" w:w="60"/>
              <w:right w:type="dxa" w:w="100"/>
            </w:tcMar>
          </w:tcPr>
          <w:p>
            <w:pPr>
              <w:spacing w:after="0" w:line="250"/>
            </w:pPr>
            <w:r>
              <w:rPr>
                <w:b w:val="false"/>
                <w:bCs w:val="false"/>
                <w:sz w:val="20"/>
                <w:szCs w:val="20"/>
              </w:rPr>
              <w:t xml:space="preserve">US</w:t>
            </w:r>
          </w:p>
        </w:tc>
        <w:tc>
          <w:tcPr>
            <w:tcW w:type="dxa" w:w="3000"/>
            <w:tcMar>
              <w:top w:type="dxa" w:w="60"/>
              <w:left w:type="dxa" w:w="100"/>
              <w:bottom w:type="dxa" w:w="60"/>
              <w:right w:type="dxa" w:w="100"/>
            </w:tcMar>
          </w:tcPr>
          <w:p>
            <w:pPr>
              <w:spacing w:after="0" w:line="250"/>
            </w:pPr>
            <w:r>
              <w:rPr>
                <w:b w:val="false"/>
                <w:bCs w:val="false"/>
                <w:sz w:val="20"/>
                <w:szCs w:val="20"/>
              </w:rPr>
              <w:t xml:space="preserve">share2.dexcom.com</w:t>
            </w:r>
          </w:p>
        </w:tc>
        <w:tc>
          <w:tcPr>
            <w:tcW w:type="dxa" w:w="4860"/>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Outside US</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shareous1.dexcom.com</w:t>
            </w:r>
          </w:p>
        </w:tc>
        <w:tc>
          <w:tcPr>
            <w:tcW w:type="dxa" w:w="4860"/>
            <w:shd w:fill="F5F8FC" w:color="auto" w:val="clear"/>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tcMar>
              <w:top w:type="dxa" w:w="60"/>
              <w:left w:type="dxa" w:w="100"/>
              <w:bottom w:type="dxa" w:w="60"/>
              <w:right w:type="dxa" w:w="100"/>
            </w:tcMar>
          </w:tcPr>
          <w:p>
            <w:pPr>
              <w:spacing w:after="0" w:line="250"/>
            </w:pPr>
            <w:r>
              <w:rPr>
                <w:b w:val="false"/>
                <w:bCs w:val="false"/>
                <w:sz w:val="20"/>
                <w:szCs w:val="20"/>
              </w:rPr>
              <w:t xml:space="preserve">Japan</w:t>
            </w:r>
          </w:p>
        </w:tc>
        <w:tc>
          <w:tcPr>
            <w:tcW w:type="dxa" w:w="3000"/>
            <w:tcMar>
              <w:top w:type="dxa" w:w="60"/>
              <w:left w:type="dxa" w:w="100"/>
              <w:bottom w:type="dxa" w:w="60"/>
              <w:right w:type="dxa" w:w="100"/>
            </w:tcMar>
          </w:tcPr>
          <w:p>
            <w:pPr>
              <w:spacing w:after="0" w:line="250"/>
            </w:pPr>
            <w:r>
              <w:rPr>
                <w:b w:val="false"/>
                <w:bCs w:val="false"/>
                <w:sz w:val="20"/>
                <w:szCs w:val="20"/>
              </w:rPr>
              <w:t xml:space="preserve">share.dexcom.jp</w:t>
            </w:r>
          </w:p>
        </w:tc>
        <w:tc>
          <w:tcPr>
            <w:tcW w:type="dxa" w:w="4860"/>
            <w:tcMar>
              <w:top w:type="dxa" w:w="60"/>
              <w:left w:type="dxa" w:w="100"/>
              <w:bottom w:type="dxa" w:w="60"/>
              <w:right w:type="dxa" w:w="100"/>
            </w:tcMar>
          </w:tcPr>
          <w:p>
            <w:pPr>
              <w:spacing w:after="0" w:line="250"/>
            </w:pPr>
            <w:r>
              <w:rPr>
                <w:b w:val="false"/>
                <w:bCs w:val="false"/>
                <w:sz w:val="20"/>
                <w:szCs w:val="20"/>
              </w:rPr>
              <w:t xml:space="preserve">d8665ade-9673-4e27-9ff6-92db4ce13d13</w:t>
            </w:r>
          </w:p>
        </w:tc>
      </w:tr>
    </w:tbl>
    <w:p>
      <w:pPr>
        <w:spacing w:after="100"/>
      </w:pPr>
    </w:p>
    <w:p>
      <w:pPr>
        <w:spacing w:after="100" w:before="180"/>
      </w:pPr>
      <w:r>
        <w:rPr>
          <w:b/>
          <w:bCs/>
          <w:color w:val="1F4D78"/>
        </w:rPr>
        <w:t xml:space="preserve">Error classification — the safety-critical part</w:t>
      </w:r>
    </w:p>
    <w:p>
      <w:pPr>
        <w:spacing w:after="120" w:line="276"/>
      </w:pPr>
      <w:r>
        <w:rPr>
          <w:b w:val="false"/>
          <w:bCs w:val="false"/>
        </w:rPr>
        <w:t xml:space="preserve">Misclassifying an authentication failure as transient will lock the user out of the Dexcom account the official app depends on. The split is explicit and tested: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000"/>
        <w:gridCol w:w="1800"/>
        <w:gridCol w:w="4560"/>
      </w:tblGrid>
      <w:tr>
        <w:trPr>
          <w:tblHeader/>
        </w:trPr>
        <w:tc>
          <w:tcPr>
            <w:tcW w:type="dxa" w:w="3000"/>
            <w:shd w:fill="DEEAF6" w:color="auto" w:val="clear"/>
            <w:tcMar>
              <w:top w:type="dxa" w:w="60"/>
              <w:left w:type="dxa" w:w="100"/>
              <w:bottom w:type="dxa" w:w="60"/>
              <w:right w:type="dxa" w:w="100"/>
            </w:tcMar>
          </w:tcPr>
          <w:p>
            <w:pPr>
              <w:spacing w:after="0" w:line="250"/>
            </w:pPr>
            <w:r>
              <w:rPr>
                <w:b/>
                <w:bCs/>
                <w:sz w:val="20"/>
                <w:szCs w:val="20"/>
              </w:rPr>
              <w:t xml:space="preserve">Dexcom code</w:t>
            </w:r>
          </w:p>
        </w:tc>
        <w:tc>
          <w:tcPr>
            <w:tcW w:type="dxa" w:w="1800"/>
            <w:shd w:fill="DEEAF6" w:color="auto" w:val="clear"/>
            <w:tcMar>
              <w:top w:type="dxa" w:w="60"/>
              <w:left w:type="dxa" w:w="100"/>
              <w:bottom w:type="dxa" w:w="60"/>
              <w:right w:type="dxa" w:w="100"/>
            </w:tcMar>
          </w:tcPr>
          <w:p>
            <w:pPr>
              <w:spacing w:after="0" w:line="250"/>
            </w:pPr>
            <w:r>
              <w:rPr>
                <w:b/>
                <w:bCs/>
                <w:sz w:val="20"/>
                <w:szCs w:val="20"/>
              </w:rPr>
              <w:t xml:space="preserve">Classification</w:t>
            </w:r>
          </w:p>
        </w:tc>
        <w:tc>
          <w:tcPr>
            <w:tcW w:type="dxa" w:w="4560"/>
            <w:shd w:fill="DEEAF6" w:color="auto" w:val="clear"/>
            <w:tcMar>
              <w:top w:type="dxa" w:w="60"/>
              <w:left w:type="dxa" w:w="100"/>
              <w:bottom w:type="dxa" w:w="60"/>
              <w:right w:type="dxa" w:w="100"/>
            </w:tcMar>
          </w:tcPr>
          <w:p>
            <w:pPr>
              <w:spacing w:after="0" w:line="250"/>
            </w:pPr>
            <w:r>
              <w:rPr>
                <w:b/>
                <w:bCs/>
                <w:sz w:val="20"/>
                <w:szCs w:val="20"/>
              </w:rPr>
              <w:t xml:space="preserve">Action</w:t>
            </w:r>
          </w:p>
        </w:tc>
      </w:tr>
      <w:tr>
        <w:tc>
          <w:tcPr>
            <w:tcW w:type="dxa" w:w="3000"/>
            <w:tcMar>
              <w:top w:type="dxa" w:w="60"/>
              <w:left w:type="dxa" w:w="100"/>
              <w:bottom w:type="dxa" w:w="60"/>
              <w:right w:type="dxa" w:w="100"/>
            </w:tcMar>
          </w:tcPr>
          <w:p>
            <w:pPr>
              <w:spacing w:after="0" w:line="250"/>
            </w:pPr>
            <w:r>
              <w:rPr>
                <w:b w:val="false"/>
                <w:bCs w:val="false"/>
                <w:sz w:val="20"/>
                <w:szCs w:val="20"/>
              </w:rPr>
              <w:t xml:space="preserve">AccountPasswordInvalid</w:t>
            </w:r>
          </w:p>
        </w:tc>
        <w:tc>
          <w:tcPr>
            <w:tcW w:type="dxa" w:w="1800"/>
            <w:tcMar>
              <w:top w:type="dxa" w:w="60"/>
              <w:left w:type="dxa" w:w="100"/>
              <w:bottom w:type="dxa" w:w="60"/>
              <w:right w:type="dxa" w:w="100"/>
            </w:tcMar>
          </w:tcPr>
          <w:p>
            <w:pPr>
              <w:spacing w:after="0" w:line="250"/>
            </w:pPr>
            <w:r>
              <w:rPr>
                <w:b/>
                <w:bCs/>
                <w:sz w:val="20"/>
                <w:szCs w:val="20"/>
              </w:rPr>
              <w:t xml:space="preserve">Terminal</w:t>
            </w:r>
          </w:p>
        </w:tc>
        <w:tc>
          <w:tcPr>
            <w:tcW w:type="dxa" w:w="4560"/>
            <w:tcMar>
              <w:top w:type="dxa" w:w="60"/>
              <w:left w:type="dxa" w:w="100"/>
              <w:bottom w:type="dxa" w:w="60"/>
              <w:right w:type="dxa" w:w="100"/>
            </w:tcMar>
          </w:tcPr>
          <w:p>
            <w:pPr>
              <w:spacing w:after="0" w:line="250"/>
            </w:pPr>
            <w:r>
              <w:rPr>
                <w:b w:val="false"/>
                <w:bCs w:val="false"/>
                <w:sz w:val="20"/>
                <w:szCs w:val="20"/>
              </w:rPr>
              <w:t xml:space="preserve">Stop polling. Prompt for credentials. Never retry.</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SSO_AuthenticateMaxAttemptsExceeded</w:t>
            </w:r>
          </w:p>
        </w:tc>
        <w:tc>
          <w:tcPr>
            <w:tcW w:type="dxa" w:w="1800"/>
            <w:shd w:fill="F5F8FC" w:color="auto" w:val="clear"/>
            <w:tcMar>
              <w:top w:type="dxa" w:w="60"/>
              <w:left w:type="dxa" w:w="100"/>
              <w:bottom w:type="dxa" w:w="60"/>
              <w:right w:type="dxa" w:w="100"/>
            </w:tcMar>
          </w:tcPr>
          <w:p>
            <w:pPr>
              <w:spacing w:after="0" w:line="250"/>
            </w:pPr>
            <w:r>
              <w:rPr>
                <w:b/>
                <w:bCs/>
                <w:sz w:val="20"/>
                <w:szCs w:val="20"/>
              </w:rPr>
              <w:t xml:space="preserve">Terminal</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Account is locking. Stop. Direct the user to the official app.</w:t>
            </w:r>
          </w:p>
        </w:tc>
      </w:tr>
      <w:tr>
        <w:tc>
          <w:tcPr>
            <w:tcW w:type="dxa" w:w="3000"/>
            <w:tcMar>
              <w:top w:type="dxa" w:w="60"/>
              <w:left w:type="dxa" w:w="100"/>
              <w:bottom w:type="dxa" w:w="60"/>
              <w:right w:type="dxa" w:w="100"/>
            </w:tcMar>
          </w:tcPr>
          <w:p>
            <w:pPr>
              <w:spacing w:after="0" w:line="250"/>
            </w:pPr>
            <w:r>
              <w:rPr>
                <w:b w:val="false"/>
                <w:bCs w:val="false"/>
                <w:sz w:val="20"/>
                <w:szCs w:val="20"/>
              </w:rPr>
              <w:t xml:space="preserve">SSO_InternalError (Cannot Authenticate)</w:t>
            </w:r>
          </w:p>
        </w:tc>
        <w:tc>
          <w:tcPr>
            <w:tcW w:type="dxa" w:w="1800"/>
            <w:tcMar>
              <w:top w:type="dxa" w:w="60"/>
              <w:left w:type="dxa" w:w="100"/>
              <w:bottom w:type="dxa" w:w="60"/>
              <w:right w:type="dxa" w:w="100"/>
            </w:tcMar>
          </w:tcPr>
          <w:p>
            <w:pPr>
              <w:spacing w:after="0" w:line="250"/>
            </w:pPr>
            <w:r>
              <w:rPr>
                <w:b/>
                <w:bCs/>
                <w:sz w:val="20"/>
                <w:szCs w:val="20"/>
              </w:rPr>
              <w:t xml:space="preserve">Terminal</w:t>
            </w:r>
          </w:p>
        </w:tc>
        <w:tc>
          <w:tcPr>
            <w:tcW w:type="dxa" w:w="4560"/>
            <w:tcMar>
              <w:top w:type="dxa" w:w="60"/>
              <w:left w:type="dxa" w:w="100"/>
              <w:bottom w:type="dxa" w:w="60"/>
              <w:right w:type="dxa" w:w="100"/>
            </w:tcMar>
          </w:tcPr>
          <w:p>
            <w:pPr>
              <w:spacing w:after="0" w:line="250"/>
            </w:pPr>
            <w:r>
              <w:rPr>
                <w:b w:val="false"/>
                <w:bCs w:val="false"/>
                <w:sz w:val="20"/>
                <w:szCs w:val="20"/>
              </w:rPr>
              <w:t xml:space="preserve">Stop. Prompt.</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InvalidArgument</w:t>
            </w:r>
          </w:p>
        </w:tc>
        <w:tc>
          <w:tcPr>
            <w:tcW w:type="dxa" w:w="1800"/>
            <w:shd w:fill="F5F8FC" w:color="auto" w:val="clear"/>
            <w:tcMar>
              <w:top w:type="dxa" w:w="60"/>
              <w:left w:type="dxa" w:w="100"/>
              <w:bottom w:type="dxa" w:w="60"/>
              <w:right w:type="dxa" w:w="100"/>
            </w:tcMar>
          </w:tcPr>
          <w:p>
            <w:pPr>
              <w:spacing w:after="0" w:line="250"/>
            </w:pPr>
            <w:r>
              <w:rPr>
                <w:b/>
                <w:bCs/>
                <w:sz w:val="20"/>
                <w:szCs w:val="20"/>
              </w:rPr>
              <w:t xml:space="preserve">Terminal</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Stop. Malformed credentials.</w:t>
            </w:r>
          </w:p>
        </w:tc>
      </w:tr>
      <w:tr>
        <w:tc>
          <w:tcPr>
            <w:tcW w:type="dxa" w:w="3000"/>
            <w:tcMar>
              <w:top w:type="dxa" w:w="60"/>
              <w:left w:type="dxa" w:w="100"/>
              <w:bottom w:type="dxa" w:w="60"/>
              <w:right w:type="dxa" w:w="100"/>
            </w:tcMar>
          </w:tcPr>
          <w:p>
            <w:pPr>
              <w:spacing w:after="0" w:line="250"/>
            </w:pPr>
            <w:r>
              <w:rPr>
                <w:b w:val="false"/>
                <w:bCs w:val="false"/>
                <w:sz w:val="20"/>
                <w:szCs w:val="20"/>
              </w:rPr>
              <w:t xml:space="preserve">SessionIdNotFound / SessionNotValid</w:t>
            </w:r>
          </w:p>
        </w:tc>
        <w:tc>
          <w:tcPr>
            <w:tcW w:type="dxa" w:w="1800"/>
            <w:tcMar>
              <w:top w:type="dxa" w:w="60"/>
              <w:left w:type="dxa" w:w="100"/>
              <w:bottom w:type="dxa" w:w="60"/>
              <w:right w:type="dxa" w:w="100"/>
            </w:tcMar>
          </w:tcPr>
          <w:p>
            <w:pPr>
              <w:spacing w:after="0" w:line="250"/>
            </w:pPr>
            <w:r>
              <w:rPr>
                <w:b w:val="false"/>
                <w:bCs w:val="false"/>
                <w:sz w:val="20"/>
                <w:szCs w:val="20"/>
              </w:rPr>
              <w:t xml:space="preserve">Transient</w:t>
            </w:r>
          </w:p>
        </w:tc>
        <w:tc>
          <w:tcPr>
            <w:tcW w:type="dxa" w:w="4560"/>
            <w:tcMar>
              <w:top w:type="dxa" w:w="60"/>
              <w:left w:type="dxa" w:w="100"/>
              <w:bottom w:type="dxa" w:w="60"/>
              <w:right w:type="dxa" w:w="100"/>
            </w:tcMar>
          </w:tcPr>
          <w:p>
            <w:pPr>
              <w:spacing w:after="0" w:line="250"/>
            </w:pPr>
            <w:r>
              <w:rPr>
                <w:b w:val="false"/>
                <w:bCs w:val="false"/>
                <w:sz w:val="20"/>
                <w:szCs w:val="20"/>
              </w:rPr>
              <w:t xml:space="preserve">Refresh session, retry </w:t>
            </w:r>
            <w:r>
              <w:rPr>
                <w:b/>
                <w:bCs/>
                <w:sz w:val="20"/>
                <w:szCs w:val="20"/>
              </w:rPr>
              <w:t xml:space="preserve">once</w:t>
            </w:r>
            <w:r>
              <w:rPr>
                <w:b w:val="false"/>
                <w:bCs w:val="false"/>
                <w:sz w:val="20"/>
                <w:szCs w:val="20"/>
              </w:rPr>
              <w:t xml:space="preserve">.</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Network / timeout / 5xx</w:t>
            </w:r>
          </w:p>
        </w:tc>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Transient</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Exponential backoff 30/60/120/300s.</w:t>
            </w:r>
          </w:p>
        </w:tc>
      </w:tr>
    </w:tbl>
    <w:p>
      <w:pPr>
        <w:spacing w:after="100"/>
      </w:pPr>
    </w:p>
    <w:p>
      <w:pPr>
        <w:spacing w:after="100" w:before="180"/>
      </w:pPr>
      <w:r>
        <w:rPr>
          <w:b/>
          <w:bCs/>
          <w:color w:val="1F4D78"/>
        </w:rPr>
        <w:t xml:space="preserve">Parsing hazards</w:t>
      </w:r>
    </w:p>
    <w:p>
      <w:pPr>
        <w:pStyle w:val="ListParagraph"/>
        <w:numPr>
          <w:ilvl w:val="0"/>
          <w:numId w:val="2"/>
        </w:numPr>
        <w:spacing w:after="80" w:line="276"/>
      </w:pPr>
      <w:r>
        <w:rPr>
          <w:b/>
          <w:bCs/>
        </w:rPr>
        <w:t xml:space="preserve">Timestamps are Microsoft JSON dates</w:t>
      </w:r>
      <w:r>
        <w:rPr>
          <w:b w:val="false"/>
          <w:bCs w:val="false"/>
        </w:rPr>
        <w:t xml:space="preserve"> — </w:t>
      </w:r>
      <w:r>
        <w:rPr>
          <w:rFonts w:ascii="Consolas" w:cs="Consolas" w:eastAsia="Consolas" w:hAnsi="Consolas"/>
          <w:b w:val="false"/>
          <w:bCs w:val="false"/>
          <w:sz w:val="19"/>
          <w:szCs w:val="19"/>
        </w:rPr>
        <w:t xml:space="preserve">/Date(1747051200000+0000)/</w:t>
      </w:r>
      <w:r>
        <w:rPr>
          <w:b w:val="false"/>
          <w:bCs w:val="false"/>
        </w:rPr>
        <w:t xml:space="preserve">. Parse with an explicit regex capturing epoch milliseconds; the trailing offset is display metadata and must not be added to the absolute time. ISO-8601 parsing fails silently here and yields readings that are hours off. A test asserts ISO input is rejected.</w:t>
      </w:r>
    </w:p>
    <w:p>
      <w:pPr>
        <w:pStyle w:val="ListParagraph"/>
        <w:numPr>
          <w:ilvl w:val="0"/>
          <w:numId w:val="2"/>
        </w:numPr>
        <w:spacing w:after="80" w:line="276"/>
      </w:pPr>
      <w:r>
        <w:rPr>
          <w:rFonts w:ascii="Consolas" w:cs="Consolas" w:eastAsia="Consolas" w:hAnsi="Consolas"/>
          <w:b/>
          <w:bCs/>
          <w:sz w:val="19"/>
          <w:szCs w:val="19"/>
        </w:rPr>
        <w:t xml:space="preserve">Trend</w:t>
      </w:r>
      <w:r>
        <w:rPr>
          <w:b/>
          <w:bCs/>
        </w:rPr>
        <w:t xml:space="preserve"> is a string now</w:t>
      </w:r>
      <w:r>
        <w:rPr>
          <w:b w:val="false"/>
          <w:bCs w:val="false"/>
        </w:rPr>
        <w:t xml:space="preserve"> (</w:t>
      </w:r>
      <w:r>
        <w:rPr>
          <w:rFonts w:ascii="Consolas" w:cs="Consolas" w:eastAsia="Consolas" w:hAnsi="Consolas"/>
          <w:b w:val="false"/>
          <w:bCs w:val="false"/>
          <w:sz w:val="19"/>
          <w:szCs w:val="19"/>
        </w:rPr>
        <w:t xml:space="preserve">"Flat"</w:t>
      </w:r>
      <w:r>
        <w:rPr>
          <w:b w:val="false"/>
          <w:bCs w:val="false"/>
        </w:rPr>
        <w:t xml:space="preserve">) where it was formerly an integer. Both are decoded, including the case of an integer sent as a string.</w:t>
      </w:r>
    </w:p>
    <w:p>
      <w:pPr>
        <w:pStyle w:val="ListParagraph"/>
        <w:numPr>
          <w:ilvl w:val="0"/>
          <w:numId w:val="2"/>
        </w:numPr>
        <w:spacing w:after="80" w:line="276"/>
      </w:pPr>
      <w:r>
        <w:rPr>
          <w:b/>
          <w:bCs/>
        </w:rPr>
        <w:t xml:space="preserve">Unparseable entries are skipped, not fatal.</w:t>
      </w:r>
      <w:r>
        <w:rPr>
          <w:b w:val="false"/>
          <w:bCs w:val="false"/>
        </w:rPr>
        <w:t xml:space="preserve"> A shape change should degrade the batch, never blank the screen.</w:t>
      </w:r>
    </w:p>
    <w:p>
      <w:pPr>
        <w:pStyle w:val="ListParagraph"/>
        <w:numPr>
          <w:ilvl w:val="0"/>
          <w:numId w:val="2"/>
        </w:numPr>
        <w:spacing w:after="80" w:line="276"/>
      </w:pPr>
      <w:r>
        <w:rPr>
          <w:b/>
          <w:bCs/>
        </w:rPr>
        <w:t xml:space="preserve">Rail sentinels:</w:t>
      </w:r>
      <w:r>
        <w:rPr>
          <w:b w:val="false"/>
          <w:bCs w:val="false"/>
        </w:rPr>
        <w:t xml:space="preserve"> values below 40 or above 400 render as LOW and HIGH, never as numbers.</w:t>
      </w:r>
    </w:p>
    <w:p>
      <w:pPr>
        <w:pStyle w:val="Heading3"/>
        <w:spacing w:after="120" w:before="220"/>
      </w:pPr>
      <w:r>
        <w:rPr>
          <w:b w:val="false"/>
          <w:bCs w:val="false"/>
        </w:rPr>
        <w:t xml:space="preserve">4.2.4 HealthKitBackfillSource</w:t>
      </w:r>
    </w:p>
    <w:p>
      <w:pPr>
        <w:pBdr>
          <w:left w:val="single" w:color="BFD3E6" w:sz="12" w:space="8"/>
        </w:pBdr>
        <w:spacing w:after="160" w:line="260"/>
        <w:ind w:left="180"/>
      </w:pPr>
      <w:r>
        <w:rPr>
          <w:b w:val="false"/>
          <w:bCs w:val="false"/>
          <w:i/>
          <w:iCs/>
          <w:color w:val="595959"/>
          <w:sz w:val="20"/>
          <w:szCs w:val="20"/>
        </w:rPr>
        <w:t xml:space="preserve">Implemented in v1.6. First import returned 25,775 readings covering 89 days.</w:t>
      </w:r>
    </w:p>
    <w:p>
      <w:pPr>
        <w:pStyle w:val="ListParagraph"/>
        <w:numPr>
          <w:ilvl w:val="0"/>
          <w:numId w:val="2"/>
        </w:numPr>
        <w:spacing w:after="80" w:line="276"/>
      </w:pPr>
      <w:r>
        <w:rPr>
          <w:b w:val="false"/>
          <w:bCs w:val="false"/>
        </w:rPr>
        <w:t xml:space="preserve">One </w:t>
      </w:r>
      <w:r>
        <w:rPr>
          <w:rFonts w:ascii="Consolas" w:cs="Consolas" w:eastAsia="Consolas" w:hAnsi="Consolas"/>
          <w:b w:val="false"/>
          <w:bCs w:val="false"/>
          <w:sz w:val="19"/>
          <w:szCs w:val="19"/>
        </w:rPr>
        <w:t xml:space="preserve">HKAnchoredObjectQuery</w:t>
      </w:r>
      <w:r>
        <w:rPr>
          <w:b w:val="false"/>
          <w:bCs w:val="false"/>
        </w:rPr>
        <w:t xml:space="preserve"> over the last 90 days on first run, with the anchor persisted so later runs fetch only what is new. A daily top-up runs quietly on launch and never prompts.</w:t>
      </w:r>
    </w:p>
    <w:p>
      <w:pPr>
        <w:pStyle w:val="ListParagraph"/>
        <w:numPr>
          <w:ilvl w:val="0"/>
          <w:numId w:val="2"/>
        </w:numPr>
        <w:spacing w:after="80" w:line="276"/>
      </w:pPr>
      <w:r>
        <w:rPr>
          <w:b/>
          <w:bCs/>
        </w:rPr>
        <w:t xml:space="preserve">Only Dexcom's own writes are imported</w:t>
      </w:r>
      <w:r>
        <w:rPr>
          <w:b w:val="false"/>
          <w:bCs w:val="false"/>
        </w:rPr>
        <w:t xml:space="preserve">, filtered on source bundle identifier. A manual fingerstick entry or another app's estimate is not CGM data and must not enter the store as though it were. Source names encountered are logged, so it is verifiable that the right data is being read.</w:t>
      </w:r>
    </w:p>
    <w:p>
      <w:pPr>
        <w:pStyle w:val="ListParagraph"/>
        <w:numPr>
          <w:ilvl w:val="0"/>
          <w:numId w:val="2"/>
        </w:numPr>
        <w:spacing w:after="80" w:line="276"/>
      </w:pPr>
      <w:r>
        <w:rPr>
          <w:b/>
          <w:bCs/>
        </w:rPr>
        <w:t xml:space="preserve">Deletions returned by the anchored query are handled.</w:t>
      </w:r>
      <w:r>
        <w:rPr>
          <w:b w:val="false"/>
          <w:bCs w:val="false"/>
        </w:rPr>
        <w:t xml:space="preserve"> Ignoring them would leave phantom readings that corrupt every statistic.</w:t>
      </w:r>
    </w:p>
    <w:p>
      <w:pPr>
        <w:pStyle w:val="ListParagraph"/>
        <w:numPr>
          <w:ilvl w:val="0"/>
          <w:numId w:val="2"/>
        </w:numPr>
        <w:spacing w:after="80" w:line="276"/>
      </w:pPr>
      <w:r>
        <w:rPr>
          <w:b/>
          <w:bCs/>
        </w:rPr>
        <w:t xml:space="preserve">Imported readings are flagged and can never be selected as the current value.</w:t>
      </w:r>
      <w:r>
        <w:rPr>
          <w:b w:val="false"/>
          <w:bCs w:val="false"/>
        </w:rPr>
        <w:t xml:space="preserve"> Health data is three hours stale by design, so a backfilled row that happens to sort newest is still not evidence of the present. This is enforced in the store query, not by convention.</w:t>
      </w:r>
    </w:p>
    <w:p>
      <w:pPr>
        <w:pStyle w:val="ListParagraph"/>
        <w:numPr>
          <w:ilvl w:val="0"/>
          <w:numId w:val="2"/>
        </w:numPr>
        <w:spacing w:after="80" w:line="276"/>
      </w:pPr>
      <w:r>
        <w:rPr>
          <w:b/>
          <w:bCs/>
        </w:rPr>
        <w:t xml:space="preserve">The anchor is persisted only after the data is safely written.</w:t>
      </w:r>
      <w:r>
        <w:rPr>
          <w:b w:val="false"/>
          <w:bCs w:val="false"/>
        </w:rPr>
        <w:t xml:space="preserve"> Saving it first would permanently skip those samples if the write failed — a silent, unrecoverable gap.</w:t>
      </w:r>
    </w:p>
    <w:p>
      <w:pPr>
        <w:spacing w:after="100" w:before="180"/>
      </w:pPr>
      <w:r>
        <w:rPr>
          <w:b/>
          <w:bCs/>
          <w:color w:val="1F4D78"/>
        </w:rPr>
        <w:t xml:space="preserve">Permission is deliberately opaque</w:t>
      </w:r>
    </w:p>
    <w:p>
      <w:pPr>
        <w:spacing w:after="120" w:line="276"/>
      </w:pPr>
      <w:r>
        <w:rPr>
          <w:b w:val="false"/>
          <w:bCs w:val="false"/>
        </w:rPr>
        <w:t xml:space="preserve">HealthKit does not reveal whether the user granted </w:t>
      </w:r>
      <w:r>
        <w:rPr>
          <w:b/>
          <w:bCs/>
        </w:rPr>
        <w:t xml:space="preserve">read</w:t>
      </w:r>
      <w:r>
        <w:rPr>
          <w:b w:val="false"/>
          <w:bCs w:val="false"/>
        </w:rPr>
        <w:t xml:space="preserve"> access: a denial is indistinguishable from an empty data set, by design, so that an application cannot infer a user has a condition from their refusal to share it. Consequently an import returning nothing has two explanations and the app cannot tell them apart. It reports both rather than guessing, because a confident wrong diagnosis here sends the user to fix the wrong thing.</w:t>
      </w:r>
    </w:p>
    <w:p>
      <w:pPr>
        <w:pStyle w:val="Heading2"/>
        <w:spacing w:after="140" w:before="280"/>
      </w:pPr>
      <w:r>
        <w:rPr>
          <w:b w:val="false"/>
          <w:bCs w:val="false"/>
        </w:rPr>
        <w:t xml:space="preserve">4.3 Data Model (SwiftData)</w:t>
      </w:r>
    </w:p>
    <w:p>
      <w:pPr>
        <w:pBdr>
          <w:left w:val="single" w:color="BFD3E6" w:sz="12" w:space="8"/>
        </w:pBdr>
        <w:spacing w:after="160" w:line="260"/>
        <w:ind w:left="180"/>
      </w:pPr>
      <w:r>
        <w:rPr>
          <w:b w:val="false"/>
          <w:bCs w:val="false"/>
          <w:i/>
          <w:iCs/>
          <w:color w:val="595959"/>
          <w:sz w:val="20"/>
          <w:szCs w:val="20"/>
        </w:rPr>
        <w:t xml:space="preserve">Implemented in v1.5.</w:t>
      </w:r>
    </w:p>
    <w:p>
      <w:pPr>
        <w:spacing w:after="100" w:before="180"/>
      </w:pPr>
      <w:r>
        <w:rPr>
          <w:b/>
          <w:bCs/>
          <w:color w:val="1F4D78"/>
        </w:rPr>
        <w:t xml:space="preserve">Shipped schema</w:t>
      </w:r>
    </w:p>
    <w:p>
      <w:pPr>
        <w:pStyle w:val="ListParagraph"/>
        <w:numPr>
          <w:ilvl w:val="0"/>
          <w:numId w:val="2"/>
        </w:numPr>
        <w:spacing w:after="80" w:line="276"/>
      </w:pPr>
      <w:r>
        <w:rPr>
          <w:rFonts w:ascii="Consolas" w:cs="Consolas" w:eastAsia="Consolas" w:hAnsi="Consolas"/>
          <w:b/>
          <w:bCs/>
          <w:sz w:val="19"/>
          <w:szCs w:val="19"/>
        </w:rPr>
        <w:t xml:space="preserve">GlucoseReadingRecord</w:t>
      </w:r>
      <w:r>
        <w:rPr>
          <w:b w:val="false"/>
          <w:bCs w:val="false"/>
        </w:rPr>
        <w:t xml:space="preserve"> — </w:t>
      </w:r>
      <w:r>
        <w:rPr>
          <w:rFonts w:ascii="Consolas" w:cs="Consolas" w:eastAsia="Consolas" w:hAnsi="Consolas"/>
          <w:b w:val="false"/>
          <w:bCs w:val="false"/>
          <w:sz w:val="19"/>
          <w:szCs w:val="19"/>
        </w:rPr>
        <w:t xml:space="preserve">timeKey</w:t>
      </w:r>
      <w:r>
        <w:rPr>
          <w:b w:val="false"/>
          <w:bCs w:val="false"/>
        </w:rPr>
        <w:t xml:space="preserve"> (Int), </w:t>
      </w:r>
      <w:r>
        <w:rPr>
          <w:rFonts w:ascii="Consolas" w:cs="Consolas" w:eastAsia="Consolas" w:hAnsi="Consolas"/>
          <w:b w:val="false"/>
          <w:bCs w:val="false"/>
          <w:sz w:val="19"/>
          <w:szCs w:val="19"/>
        </w:rPr>
        <w:t xml:space="preserve">sampleTime</w:t>
      </w:r>
      <w:r>
        <w:rPr>
          <w:b w:val="false"/>
          <w:bCs w:val="false"/>
        </w:rPr>
        <w:t xml:space="preserve">, </w:t>
      </w:r>
      <w:r>
        <w:rPr>
          <w:rFonts w:ascii="Consolas" w:cs="Consolas" w:eastAsia="Consolas" w:hAnsi="Consolas"/>
          <w:b w:val="false"/>
          <w:bCs w:val="false"/>
          <w:sz w:val="19"/>
          <w:szCs w:val="19"/>
        </w:rPr>
        <w:t xml:space="preserve">valueMgdl</w:t>
      </w:r>
      <w:r>
        <w:rPr>
          <w:b w:val="false"/>
          <w:bCs w:val="false"/>
        </w:rPr>
        <w:t xml:space="preserve"> (Int, canonical), </w:t>
      </w:r>
      <w:r>
        <w:rPr>
          <w:rFonts w:ascii="Consolas" w:cs="Consolas" w:eastAsia="Consolas" w:hAnsi="Consolas"/>
          <w:b w:val="false"/>
          <w:bCs w:val="false"/>
          <w:sz w:val="19"/>
          <w:szCs w:val="19"/>
        </w:rPr>
        <w:t xml:space="preserve">trendRaw</w:t>
      </w:r>
      <w:r>
        <w:rPr>
          <w:b w:val="false"/>
          <w:bCs w:val="false"/>
        </w:rPr>
        <w:t xml:space="preserve"> (Int), </w:t>
      </w:r>
      <w:r>
        <w:rPr>
          <w:rFonts w:ascii="Consolas" w:cs="Consolas" w:eastAsia="Consolas" w:hAnsi="Consolas"/>
          <w:b w:val="false"/>
          <w:bCs w:val="false"/>
          <w:sz w:val="19"/>
          <w:szCs w:val="19"/>
        </w:rPr>
        <w:t xml:space="preserve">sourceRaw</w:t>
      </w:r>
      <w:r>
        <w:rPr>
          <w:b w:val="false"/>
          <w:bCs w:val="false"/>
        </w:rPr>
        <w:t xml:space="preserve">, </w:t>
      </w:r>
      <w:r>
        <w:rPr>
          <w:rFonts w:ascii="Consolas" w:cs="Consolas" w:eastAsia="Consolas" w:hAnsi="Consolas"/>
          <w:b w:val="false"/>
          <w:bCs w:val="false"/>
          <w:sz w:val="19"/>
          <w:szCs w:val="19"/>
        </w:rPr>
        <w:t xml:space="preserve">isBackfilled</w:t>
      </w:r>
      <w:r>
        <w:rPr>
          <w:b w:val="false"/>
          <w:bCs w:val="false"/>
        </w:rPr>
        <w:t xml:space="preserve"> (Bool).</w:t>
      </w:r>
    </w:p>
    <w:p>
      <w:pPr>
        <w:pStyle w:val="ListParagraph"/>
        <w:numPr>
          <w:ilvl w:val="0"/>
          <w:numId w:val="2"/>
        </w:numPr>
        <w:spacing w:after="80" w:line="276"/>
      </w:pPr>
      <w:r>
        <w:rPr>
          <w:rFonts w:ascii="Consolas" w:cs="Consolas" w:eastAsia="Consolas" w:hAnsi="Consolas"/>
          <w:b/>
          <w:bCs/>
          <w:sz w:val="19"/>
          <w:szCs w:val="19"/>
        </w:rPr>
        <w:t xml:space="preserve">timeKey</w:t>
      </w:r>
      <w:r>
        <w:rPr>
          <w:b/>
          <w:bCs/>
        </w:rPr>
        <w:t xml:space="preserve"> is whole seconds since 1970, and it is the deduplication key.</w:t>
      </w:r>
      <w:r>
        <w:rPr>
          <w:b w:val="false"/>
          <w:bCs w:val="false"/>
        </w:rPr>
        <w:t xml:space="preserve"> Not the </w:t>
      </w:r>
      <w:r>
        <w:rPr>
          <w:rFonts w:ascii="Consolas" w:cs="Consolas" w:eastAsia="Consolas" w:hAnsi="Consolas"/>
          <w:b w:val="false"/>
          <w:bCs w:val="false"/>
          <w:sz w:val="19"/>
          <w:szCs w:val="19"/>
        </w:rPr>
        <w:t xml:space="preserve">Date</w:t>
      </w:r>
      <w:r>
        <w:rPr>
          <w:b w:val="false"/>
          <w:bCs w:val="false"/>
        </w:rPr>
        <w:t xml:space="preserve">: date equality is floating point and Share reports millisecond precision, so a sample re-delivered with sub-second jitter would compare unequal and insert a second row. Every average, time-in-range figure, and chart drawn from the store would then be quietly wrong, with nothing visibly broken to prompt investigation.</w:t>
      </w:r>
    </w:p>
    <w:p>
      <w:pPr>
        <w:pStyle w:val="ListParagraph"/>
        <w:numPr>
          <w:ilvl w:val="0"/>
          <w:numId w:val="2"/>
        </w:numPr>
        <w:spacing w:after="80" w:line="276"/>
      </w:pPr>
      <w:r>
        <w:rPr>
          <w:rFonts w:ascii="Consolas" w:cs="Consolas" w:eastAsia="Consolas" w:hAnsi="Consolas"/>
          <w:b/>
          <w:bCs/>
          <w:sz w:val="19"/>
          <w:szCs w:val="19"/>
        </w:rPr>
        <w:t xml:space="preserve">trendRaw</w:t>
      </w:r>
      <w:r>
        <w:rPr>
          <w:b/>
          <w:bCs/>
        </w:rPr>
        <w:t xml:space="preserve"> is stored as an Int, not an enum</w:t>
      </w:r>
      <w:r>
        <w:rPr>
          <w:b w:val="false"/>
          <w:bCs w:val="false"/>
        </w:rPr>
        <w:t xml:space="preserve">, so a trend value Dexcom has not used before cannot fail decoding of an otherwise valid reading.</w:t>
      </w:r>
    </w:p>
    <w:p>
      <w:pPr>
        <w:spacing w:after="100" w:before="180"/>
      </w:pPr>
      <w:r>
        <w:rPr>
          <w:b/>
          <w:bCs/>
          <w:color w:val="1F4D78"/>
        </w:rPr>
        <w:t xml:space="preserve">Constraints observed from the first write</w:t>
      </w:r>
    </w:p>
    <w:p>
      <w:pPr>
        <w:pStyle w:val="ListParagraph"/>
        <w:numPr>
          <w:ilvl w:val="0"/>
          <w:numId w:val="2"/>
        </w:numPr>
        <w:spacing w:after="80" w:line="276"/>
      </w:pPr>
      <w:r>
        <w:rPr>
          <w:b/>
          <w:bCs/>
        </w:rPr>
        <w:t xml:space="preserve">No </w:t>
      </w:r>
      <w:r>
        <w:rPr>
          <w:rFonts w:ascii="Consolas" w:cs="Consolas" w:eastAsia="Consolas" w:hAnsi="Consolas"/>
          <w:b/>
          <w:bCs/>
          <w:sz w:val="19"/>
          <w:szCs w:val="19"/>
        </w:rPr>
        <w:t xml:space="preserve">@Attribute(.unique)</w:t>
      </w:r>
      <w:r>
        <w:rPr>
          <w:b/>
          <w:bCs/>
        </w:rPr>
        <w:t xml:space="preserve"> anywhere.</w:t>
      </w:r>
      <w:r>
        <w:rPr>
          <w:b w:val="false"/>
          <w:bCs w:val="false"/>
        </w:rPr>
        <w:t xml:space="preserve"> SwiftData's CloudKit backing rejects unique constraints, and v3 commits to CloudKit sync. Deduplication is enforced in </w:t>
      </w:r>
      <w:r>
        <w:rPr>
          <w:rFonts w:ascii="Consolas" w:cs="Consolas" w:eastAsia="Consolas" w:hAnsi="Consolas"/>
          <w:b w:val="false"/>
          <w:bCs w:val="false"/>
          <w:sz w:val="19"/>
          <w:szCs w:val="19"/>
        </w:rPr>
        <w:t xml:space="preserve">GlucoseStore</w:t>
      </w:r>
      <w:r>
        <w:rPr>
          <w:b w:val="false"/>
          <w:bCs w:val="false"/>
        </w:rPr>
        <w:t xml:space="preserve"> with an indexed non-unique </w:t>
      </w:r>
      <w:r>
        <w:rPr>
          <w:rFonts w:ascii="Consolas" w:cs="Consolas" w:eastAsia="Consolas" w:hAnsi="Consolas"/>
          <w:b w:val="false"/>
          <w:bCs w:val="false"/>
          <w:sz w:val="19"/>
          <w:szCs w:val="19"/>
        </w:rPr>
        <w:t xml:space="preserve">timeKey</w:t>
      </w:r>
      <w:r>
        <w:rPr>
          <w:b w:val="false"/>
          <w:bCs w:val="false"/>
        </w:rPr>
        <w:t xml:space="preserve"> and an explicit fetch-then-upsert.</w:t>
      </w:r>
    </w:p>
    <w:p>
      <w:pPr>
        <w:pStyle w:val="ListParagraph"/>
        <w:numPr>
          <w:ilvl w:val="0"/>
          <w:numId w:val="2"/>
        </w:numPr>
        <w:spacing w:after="80" w:line="276"/>
      </w:pPr>
      <w:r>
        <w:rPr>
          <w:b/>
          <w:bCs/>
        </w:rPr>
        <w:t xml:space="preserve">Every property has a default value</w:t>
      </w:r>
      <w:r>
        <w:rPr>
          <w:b w:val="false"/>
          <w:bCs w:val="false"/>
        </w:rPr>
        <w:t xml:space="preserve"> — the other CloudKit requirement, and what makes the V1→V2 migration lightweight.</w:t>
      </w:r>
    </w:p>
    <w:p>
      <w:pPr>
        <w:pStyle w:val="ListParagraph"/>
        <w:numPr>
          <w:ilvl w:val="0"/>
          <w:numId w:val="2"/>
        </w:numPr>
        <w:spacing w:after="80" w:line="276"/>
      </w:pPr>
      <w:r>
        <w:rPr>
          <w:b/>
          <w:bCs/>
        </w:rPr>
        <w:t xml:space="preserve">All writes go through a </w:t>
      </w:r>
      <w:r>
        <w:rPr>
          <w:rFonts w:ascii="Consolas" w:cs="Consolas" w:eastAsia="Consolas" w:hAnsi="Consolas"/>
          <w:b/>
          <w:bCs/>
          <w:sz w:val="19"/>
          <w:szCs w:val="19"/>
        </w:rPr>
        <w:t xml:space="preserve">@ModelActor</w:t>
      </w:r>
      <w:r>
        <w:rPr>
          <w:b/>
          <w:bCs/>
        </w:rPr>
        <w:t xml:space="preserve">.</w:t>
      </w:r>
      <w:r>
        <w:rPr>
          <w:b w:val="false"/>
          <w:bCs w:val="false"/>
        </w:rPr>
        <w:t xml:space="preserve"> </w:t>
      </w:r>
      <w:r>
        <w:rPr>
          <w:rFonts w:ascii="Consolas" w:cs="Consolas" w:eastAsia="Consolas" w:hAnsi="Consolas"/>
          <w:b w:val="false"/>
          <w:bCs w:val="false"/>
          <w:sz w:val="19"/>
          <w:szCs w:val="19"/>
        </w:rPr>
        <w:t xml:space="preserve">ModelContext</w:t>
      </w:r>
      <w:r>
        <w:rPr>
          <w:b w:val="false"/>
          <w:bCs w:val="false"/>
        </w:rPr>
        <w:t xml:space="preserve"> is not </w:t>
      </w:r>
      <w:r>
        <w:rPr>
          <w:rFonts w:ascii="Consolas" w:cs="Consolas" w:eastAsia="Consolas" w:hAnsi="Consolas"/>
          <w:b w:val="false"/>
          <w:bCs w:val="false"/>
          <w:sz w:val="19"/>
          <w:szCs w:val="19"/>
        </w:rPr>
        <w:t xml:space="preserve">Sendable</w:t>
      </w:r>
      <w:r>
        <w:rPr>
          <w:b w:val="false"/>
          <w:bCs w:val="false"/>
        </w:rPr>
        <w:t xml:space="preserve">; sharing one between the polling task and the UI does not compile under strict concurrency, and the usual workarounds produce data races that surface as store corruption rather than as crashes.</w:t>
      </w:r>
    </w:p>
    <w:p>
      <w:pPr>
        <w:pStyle w:val="ListParagraph"/>
        <w:numPr>
          <w:ilvl w:val="0"/>
          <w:numId w:val="2"/>
        </w:numPr>
        <w:spacing w:after="80" w:line="276"/>
      </w:pPr>
      <w:r>
        <w:rPr>
          <w:b/>
          <w:bCs/>
        </w:rPr>
        <w:t xml:space="preserve">The store URL sits behind a single accessor</w:t>
      </w:r>
      <w:r>
        <w:rPr>
          <w:b w:val="false"/>
          <w:bCs w:val="false"/>
        </w:rPr>
        <w:t xml:space="preserve">, so relocating it into an App Group container once widgets exist is a one-line change plus a file move.</w:t>
      </w:r>
    </w:p>
    <w:p>
      <w:pPr>
        <w:spacing w:after="100" w:before="180"/>
      </w:pPr>
      <w:r>
        <w:rPr>
          <w:b/>
          <w:bCs/>
          <w:color w:val="1F4D78"/>
        </w:rPr>
        <w:t xml:space="preserve">Versioning and migration</w:t>
      </w:r>
    </w:p>
    <w:p>
      <w:pPr>
        <w:spacing w:after="120" w:line="276"/>
      </w:pPr>
      <w:r>
        <w:rPr>
          <w:b w:val="false"/>
          <w:bCs w:val="false"/>
        </w:rPr>
        <w:t xml:space="preserve">Two schema versions ship: V1, and V2 adding </w:t>
      </w:r>
      <w:r>
        <w:rPr>
          <w:rFonts w:ascii="Consolas" w:cs="Consolas" w:eastAsia="Consolas" w:hAnsi="Consolas"/>
          <w:b w:val="false"/>
          <w:bCs w:val="false"/>
          <w:sz w:val="19"/>
          <w:szCs w:val="19"/>
        </w:rPr>
        <w:t xml:space="preserve">isBackfilled</w:t>
      </w:r>
      <w:r>
        <w:rPr>
          <w:b w:val="false"/>
          <w:bCs w:val="false"/>
        </w:rPr>
        <w:t xml:space="preserve"> for HealthKit provenance. The migration is lightweight — an added property with a default — and is covered by a test that writes a V1 store, reopens it under V2, and asserts every reading survived with the new property defaulted.</w:t>
      </w:r>
    </w:p>
    <w:p>
      <w:pPr>
        <w:spacing w:after="120" w:line="276"/>
      </w:pPr>
      <w:r>
        <w:rPr>
          <w:b w:val="false"/>
          <w:bCs w:val="false"/>
        </w:rPr>
        <w:t xml:space="preserve">Versioning exists from the first release because readings cannot be re-fetched: Share retains 24 hours. By the time event logging changes the schema there will be months of irreplaceable history in the store, and retrofitting versioning onto a populated store is far more expensive than carrying it from the start.</w:t>
      </w:r>
    </w:p>
    <w:p>
      <w:pPr>
        <w:spacing w:after="100" w:before="180"/>
      </w:pPr>
      <w:r>
        <w:rPr>
          <w:b/>
          <w:bCs/>
          <w:color w:val="1F4D78"/>
        </w:rPr>
        <w:t xml:space="preserve">Upsert semantics</w:t>
      </w:r>
    </w:p>
    <w:p>
      <w:pPr>
        <w:spacing w:after="120" w:line="276"/>
      </w:pPr>
      <w:r>
        <w:rPr>
          <w:b w:val="false"/>
          <w:bCs w:val="false"/>
        </w:rPr>
        <w:t xml:space="preserve">Every poll requests a window and nearly all of it is already stored. Insert-only persistence would accumulate hundreds of thousands of duplicate rows within days. Writes therefore fetch the affected span once, then insert what is missing and update what changed — Dexcom does occasionally revise a published reading, and a revision must update in place rather than create a second row.</w:t>
      </w:r>
    </w:p>
    <w:p>
      <w:pPr>
        <w:spacing w:after="100" w:before="180"/>
      </w:pPr>
      <w:r>
        <w:rPr>
          <w:b/>
          <w:bCs/>
          <w:color w:val="1F4D78"/>
        </w:rPr>
        <w:t xml:space="preserve">Retention</w:t>
      </w:r>
    </w:p>
    <w:p>
      <w:pPr>
        <w:pStyle w:val="ListParagraph"/>
        <w:numPr>
          <w:ilvl w:val="0"/>
          <w:numId w:val="2"/>
        </w:numPr>
        <w:spacing w:after="80" w:line="276"/>
      </w:pPr>
      <w:r>
        <w:rPr>
          <w:b w:val="false"/>
          <w:bCs w:val="false"/>
        </w:rPr>
        <w:t xml:space="preserve">Raw readings retained indefinitely: roughly 105,000 rows per year, a few tens of megabytes.</w:t>
      </w:r>
    </w:p>
    <w:p>
      <w:pPr>
        <w:pStyle w:val="ListParagraph"/>
        <w:numPr>
          <w:ilvl w:val="0"/>
          <w:numId w:val="2"/>
        </w:numPr>
        <w:spacing w:after="80" w:line="276"/>
      </w:pPr>
      <w:r>
        <w:rPr>
          <w:b w:val="false"/>
          <w:bCs w:val="false"/>
        </w:rPr>
        <w:t xml:space="preserve">Nothing is auto-deleted. Clearing history is an explicit user action, offered separately from signing out so credentials can be replaced without discarding data.</w:t>
      </w:r>
    </w:p>
    <w:p>
      <w:pPr>
        <w:pStyle w:val="Heading2"/>
        <w:spacing w:after="140" w:before="280"/>
      </w:pPr>
      <w:r>
        <w:rPr>
          <w:b w:val="false"/>
          <w:bCs w:val="false"/>
        </w:rPr>
        <w:t xml:space="preserve">4.4 Prediction Engine</w:t>
      </w:r>
    </w:p>
    <w:p>
      <w:pPr>
        <w:spacing w:after="120" w:line="276"/>
      </w:pPr>
      <w:r>
        <w:rPr>
          <w:b w:val="false"/>
          <w:bCs w:val="false"/>
        </w:rPr>
        <w:t xml:space="preserve">Implemented as a pure Swift module with no UI dependencies, fully unit-testable against synthetic input.</w:t>
      </w:r>
    </w:p>
    <w:p>
      <w:pPr>
        <w:spacing w:after="100" w:before="180"/>
      </w:pPr>
      <w:r>
        <w:rPr>
          <w:b/>
          <w:bCs/>
          <w:color w:val="1F4D78"/>
        </w:rPr>
        <w:t xml:space="preserve">IOBCalculator — corrected model</w:t>
      </w:r>
    </w:p>
    <w:p>
      <w:pPr>
        <w:spacing w:after="120" w:line="276"/>
      </w:pPr>
      <w:r>
        <w:rPr>
          <w:b/>
          <w:bCs/>
        </w:rPr>
        <w:t xml:space="preserve">v1.1 specified linear decay over 4 hours for rapid-acting insulin. This is wrong in both shape and duration</w:t>
      </w:r>
      <w:r>
        <w:rPr>
          <w:b w:val="false"/>
          <w:bCs w:val="false"/>
        </w:rPr>
        <w:t xml:space="preserve">, and because IOB feeds the meal-response estimator, the error propagates into every prediction the app makes.</w:t>
      </w:r>
    </w:p>
    <w:p>
      <w:pPr>
        <w:pStyle w:val="ListParagraph"/>
        <w:numPr>
          <w:ilvl w:val="0"/>
          <w:numId w:val="2"/>
        </w:numPr>
        <w:spacing w:after="80" w:line="276"/>
      </w:pPr>
      <w:r>
        <w:rPr>
          <w:b/>
          <w:bCs/>
        </w:rPr>
        <w:t xml:space="preserve">Shape:</w:t>
      </w:r>
      <w:r>
        <w:rPr>
          <w:b w:val="false"/>
          <w:bCs w:val="false"/>
        </w:rPr>
        <w:t xml:space="preserve"> insulin activity is not linear. It rises to a peak at roughly 60–90 minutes and decays with a long tail. Linear decay overestimates IOB through the first hour and underestimates it for the last two.</w:t>
      </w:r>
    </w:p>
    <w:p>
      <w:pPr>
        <w:pStyle w:val="ListParagraph"/>
        <w:numPr>
          <w:ilvl w:val="0"/>
          <w:numId w:val="2"/>
        </w:numPr>
        <w:spacing w:after="80" w:line="276"/>
      </w:pPr>
      <w:r>
        <w:rPr>
          <w:b/>
          <w:bCs/>
        </w:rPr>
        <w:t xml:space="preserve">Duration:</w:t>
      </w:r>
      <w:r>
        <w:rPr>
          <w:b w:val="false"/>
          <w:bCs w:val="false"/>
        </w:rPr>
        <w:t xml:space="preserve"> the duration of action for rapid analogues is 5–6 hours, not 4. The Loop/AAPS community consensus is 360 minutes.</w:t>
      </w:r>
    </w:p>
    <w:p>
      <w:pPr>
        <w:spacing w:after="120" w:line="276"/>
      </w:pPr>
      <w:r>
        <w:rPr>
          <w:b w:val="false"/>
          <w:bCs w:val="false"/>
        </w:rPr>
        <w:t xml:space="preserve">GlucoNoir uses the bi-exponential model from LoopKit, parameterised by peak time and duration:</w:t>
      </w:r>
    </w:p>
    <w:p>
      <w:pPr>
        <w:spacing w:after="60"/>
        <w:ind w:left="360"/>
      </w:pPr>
      <w:r>
        <w:rPr>
          <w:rFonts w:ascii="Consolas" w:cs="Consolas" w:eastAsia="Consolas" w:hAnsi="Consolas"/>
          <w:b w:val="false"/>
          <w:bCs w:val="false"/>
          <w:sz w:val="19"/>
          <w:szCs w:val="19"/>
        </w:rPr>
        <w:t xml:space="preserve">τ = tp · (1 − tp/td) / (1 − 2·tp/td)</w:t>
      </w:r>
    </w:p>
    <w:p>
      <w:pPr>
        <w:spacing w:after="60"/>
        <w:ind w:left="360"/>
      </w:pPr>
      <w:r>
        <w:rPr>
          <w:rFonts w:ascii="Consolas" w:cs="Consolas" w:eastAsia="Consolas" w:hAnsi="Consolas"/>
          <w:b w:val="false"/>
          <w:bCs w:val="false"/>
          <w:sz w:val="19"/>
          <w:szCs w:val="19"/>
        </w:rPr>
        <w:t xml:space="preserve">a = 2τ / td</w:t>
      </w:r>
    </w:p>
    <w:p>
      <w:pPr>
        <w:spacing w:after="60"/>
        <w:ind w:left="360"/>
      </w:pPr>
      <w:r>
        <w:rPr>
          <w:rFonts w:ascii="Consolas" w:cs="Consolas" w:eastAsia="Consolas" w:hAnsi="Consolas"/>
          <w:b w:val="false"/>
          <w:bCs w:val="false"/>
          <w:sz w:val="19"/>
          <w:szCs w:val="19"/>
        </w:rPr>
        <w:t xml:space="preserve">S = 1 / (1 − a + (1 + a)·e^(−td/τ))</w:t>
      </w:r>
    </w:p>
    <w:p>
      <w:pPr>
        <w:spacing w:after="160"/>
        <w:ind w:left="360"/>
      </w:pPr>
      <w:r>
        <w:rPr>
          <w:rFonts w:ascii="Consolas" w:cs="Consolas" w:eastAsia="Consolas" w:hAnsi="Consolas"/>
          <w:b w:val="false"/>
          <w:bCs w:val="false"/>
          <w:sz w:val="19"/>
          <w:szCs w:val="19"/>
        </w:rPr>
        <w:t xml:space="preserve">IOB(t) = 1 − S·(1 − a)·((t²/(τ·td·(1−a)) − t/τ − 1)·e^(−t/τ) + 1)</w:t>
      </w:r>
    </w:p>
    <w:p>
      <w:pPr>
        <w:spacing w:after="120" w:line="276"/>
      </w:pPr>
      <w:r>
        <w:rPr>
          <w:b w:val="false"/>
          <w:bCs w:val="false"/>
        </w:rPr>
        <w:t xml:space="preserve">where </w:t>
      </w:r>
      <w:r>
        <w:rPr>
          <w:rFonts w:ascii="Consolas" w:cs="Consolas" w:eastAsia="Consolas" w:hAnsi="Consolas"/>
          <w:b w:val="false"/>
          <w:bCs w:val="false"/>
          <w:sz w:val="19"/>
          <w:szCs w:val="19"/>
        </w:rPr>
        <w:t xml:space="preserve">tp</w:t>
      </w:r>
      <w:r>
        <w:rPr>
          <w:b w:val="false"/>
          <w:bCs w:val="false"/>
        </w:rPr>
        <w:t xml:space="preserve"> is peak time, </w:t>
      </w:r>
      <w:r>
        <w:rPr>
          <w:rFonts w:ascii="Consolas" w:cs="Consolas" w:eastAsia="Consolas" w:hAnsi="Consolas"/>
          <w:b w:val="false"/>
          <w:bCs w:val="false"/>
          <w:sz w:val="19"/>
          <w:szCs w:val="19"/>
        </w:rPr>
        <w:t xml:space="preserve">td</w:t>
      </w:r>
      <w:r>
        <w:rPr>
          <w:b w:val="false"/>
          <w:bCs w:val="false"/>
        </w:rPr>
        <w:t xml:space="preserve"> is duration of action, and </w:t>
      </w:r>
      <w:r>
        <w:rPr>
          <w:rFonts w:ascii="Consolas" w:cs="Consolas" w:eastAsia="Consolas" w:hAnsi="Consolas"/>
          <w:b w:val="false"/>
          <w:bCs w:val="false"/>
          <w:sz w:val="19"/>
          <w:szCs w:val="19"/>
        </w:rPr>
        <w:t xml:space="preserve">t</w:t>
      </w:r>
      <w:r>
        <w:rPr>
          <w:b w:val="false"/>
          <w:bCs w:val="false"/>
        </w:rPr>
        <w:t xml:space="preserve"> is minutes since the dose. </w:t>
      </w:r>
      <w:r>
        <w:rPr>
          <w:rFonts w:ascii="Consolas" w:cs="Consolas" w:eastAsia="Consolas" w:hAnsi="Consolas"/>
          <w:b w:val="false"/>
          <w:bCs w:val="false"/>
          <w:sz w:val="19"/>
          <w:szCs w:val="19"/>
        </w:rPr>
        <w:t xml:space="preserve">IOB(t)</w:t>
      </w:r>
      <w:r>
        <w:rPr>
          <w:b w:val="false"/>
          <w:bCs w:val="false"/>
        </w:rPr>
        <w:t xml:space="preserve"> is the fraction of the dose still active.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200"/>
        <w:gridCol w:w="1700"/>
        <w:gridCol w:w="1900"/>
        <w:gridCol w:w="2560"/>
      </w:tblGrid>
      <w:tr>
        <w:trPr>
          <w:tblHeader/>
        </w:trPr>
        <w:tc>
          <w:tcPr>
            <w:tcW w:type="dxa" w:w="3200"/>
            <w:shd w:fill="DEEAF6" w:color="auto" w:val="clear"/>
            <w:tcMar>
              <w:top w:type="dxa" w:w="60"/>
              <w:left w:type="dxa" w:w="100"/>
              <w:bottom w:type="dxa" w:w="60"/>
              <w:right w:type="dxa" w:w="100"/>
            </w:tcMar>
          </w:tcPr>
          <w:p>
            <w:pPr>
              <w:spacing w:after="0" w:line="250"/>
            </w:pPr>
            <w:r>
              <w:rPr>
                <w:b/>
                <w:bCs/>
                <w:sz w:val="20"/>
                <w:szCs w:val="20"/>
              </w:rPr>
              <w:t xml:space="preserve">Insulin</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Peak (tp)</w:t>
            </w:r>
          </w:p>
        </w:tc>
        <w:tc>
          <w:tcPr>
            <w:tcW w:type="dxa" w:w="1900"/>
            <w:shd w:fill="DEEAF6" w:color="auto" w:val="clear"/>
            <w:tcMar>
              <w:top w:type="dxa" w:w="60"/>
              <w:left w:type="dxa" w:w="100"/>
              <w:bottom w:type="dxa" w:w="60"/>
              <w:right w:type="dxa" w:w="100"/>
            </w:tcMar>
          </w:tcPr>
          <w:p>
            <w:pPr>
              <w:spacing w:after="0" w:line="250"/>
            </w:pPr>
            <w:r>
              <w:rPr>
                <w:b/>
                <w:bCs/>
                <w:sz w:val="20"/>
                <w:szCs w:val="20"/>
              </w:rPr>
              <w:t xml:space="preserve">Duration (td)</w:t>
            </w:r>
          </w:p>
        </w:tc>
        <w:tc>
          <w:tcPr>
            <w:tcW w:type="dxa" w:w="25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3200"/>
            <w:tcMar>
              <w:top w:type="dxa" w:w="60"/>
              <w:left w:type="dxa" w:w="100"/>
              <w:bottom w:type="dxa" w:w="60"/>
              <w:right w:type="dxa" w:w="100"/>
            </w:tcMar>
          </w:tcPr>
          <w:p>
            <w:pPr>
              <w:spacing w:after="0" w:line="250"/>
            </w:pPr>
            <w:r>
              <w:rPr>
                <w:b w:val="false"/>
                <w:bCs w:val="false"/>
                <w:sz w:val="20"/>
                <w:szCs w:val="20"/>
              </w:rPr>
              <w:t xml:space="preserve">Rapid-acting (Humalog, Novolog, Apidra)</w:t>
            </w:r>
          </w:p>
        </w:tc>
        <w:tc>
          <w:tcPr>
            <w:tcW w:type="dxa" w:w="1700"/>
            <w:tcMar>
              <w:top w:type="dxa" w:w="60"/>
              <w:left w:type="dxa" w:w="100"/>
              <w:bottom w:type="dxa" w:w="60"/>
              <w:right w:type="dxa" w:w="100"/>
            </w:tcMar>
          </w:tcPr>
          <w:p>
            <w:pPr>
              <w:spacing w:after="0" w:line="250"/>
            </w:pPr>
            <w:r>
              <w:rPr>
                <w:b w:val="false"/>
                <w:bCs w:val="false"/>
                <w:sz w:val="20"/>
                <w:szCs w:val="20"/>
              </w:rPr>
              <w:t xml:space="preserve">75 min</w:t>
            </w:r>
          </w:p>
        </w:tc>
        <w:tc>
          <w:tcPr>
            <w:tcW w:type="dxa" w:w="1900"/>
            <w:tcMar>
              <w:top w:type="dxa" w:w="60"/>
              <w:left w:type="dxa" w:w="100"/>
              <w:bottom w:type="dxa" w:w="60"/>
              <w:right w:type="dxa" w:w="100"/>
            </w:tcMar>
          </w:tcPr>
          <w:p>
            <w:pPr>
              <w:spacing w:after="0" w:line="250"/>
            </w:pPr>
            <w:r>
              <w:rPr>
                <w:b w:val="false"/>
                <w:bCs w:val="false"/>
                <w:sz w:val="20"/>
                <w:szCs w:val="20"/>
              </w:rPr>
              <w:t xml:space="preserve">360 min</w:t>
            </w:r>
          </w:p>
        </w:tc>
        <w:tc>
          <w:tcPr>
            <w:tcW w:type="dxa" w:w="2560"/>
            <w:tcMar>
              <w:top w:type="dxa" w:w="60"/>
              <w:left w:type="dxa" w:w="100"/>
              <w:bottom w:type="dxa" w:w="60"/>
              <w:right w:type="dxa" w:w="100"/>
            </w:tcMar>
          </w:tcPr>
          <w:p>
            <w:pPr>
              <w:spacing w:after="0" w:line="250"/>
            </w:pPr>
            <w:r>
              <w:rPr>
                <w:b w:val="false"/>
                <w:bCs w:val="false"/>
                <w:sz w:val="20"/>
                <w:szCs w:val="20"/>
              </w:rPr>
              <w:t xml:space="preserve">Default.</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Ultra-rapid (Fiasp, Lyumjev)</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55 min</w:t>
            </w:r>
          </w:p>
        </w:tc>
        <w:tc>
          <w:tcPr>
            <w:tcW w:type="dxa" w:w="1900"/>
            <w:shd w:fill="F5F8FC" w:color="auto" w:val="clear"/>
            <w:tcMar>
              <w:top w:type="dxa" w:w="60"/>
              <w:left w:type="dxa" w:w="100"/>
              <w:bottom w:type="dxa" w:w="60"/>
              <w:right w:type="dxa" w:w="100"/>
            </w:tcMar>
          </w:tcPr>
          <w:p>
            <w:pPr>
              <w:spacing w:after="0" w:line="250"/>
            </w:pPr>
            <w:r>
              <w:rPr>
                <w:b w:val="false"/>
                <w:bCs w:val="false"/>
                <w:sz w:val="20"/>
                <w:szCs w:val="20"/>
              </w:rPr>
              <w:t xml:space="preserve">300 min</w:t>
            </w:r>
          </w:p>
        </w:tc>
        <w:tc>
          <w:tcPr>
            <w:tcW w:type="dxa" w:w="2560"/>
            <w:shd w:fill="F5F8FC" w:color="auto" w:val="clear"/>
            <w:tcMar>
              <w:top w:type="dxa" w:w="60"/>
              <w:left w:type="dxa" w:w="100"/>
              <w:bottom w:type="dxa" w:w="60"/>
              <w:right w:type="dxa" w:w="100"/>
            </w:tcMar>
          </w:tcPr>
          <w:p>
            <w:pPr>
              <w:spacing w:after="0" w:line="250"/>
            </w:pPr>
            <w:r>
              <w:rPr>
                <w:b w:val="false"/>
                <w:bCs w:val="false"/>
                <w:sz w:val="20"/>
                <w:szCs w:val="20"/>
              </w:rPr>
              <w:t xml:space="preserve">Faster onset, shorter tail.</w:t>
            </w:r>
          </w:p>
        </w:tc>
      </w:tr>
      <w:tr>
        <w:tc>
          <w:tcPr>
            <w:tcW w:type="dxa" w:w="3200"/>
            <w:tcMar>
              <w:top w:type="dxa" w:w="60"/>
              <w:left w:type="dxa" w:w="100"/>
              <w:bottom w:type="dxa" w:w="60"/>
              <w:right w:type="dxa" w:w="100"/>
            </w:tcMar>
          </w:tcPr>
          <w:p>
            <w:pPr>
              <w:spacing w:after="0" w:line="250"/>
            </w:pPr>
            <w:r>
              <w:rPr>
                <w:b w:val="false"/>
                <w:bCs w:val="false"/>
                <w:sz w:val="20"/>
                <w:szCs w:val="20"/>
              </w:rPr>
              <w:t xml:space="preserve">Long-acting (Tresiba, Lantus, Levemir)</w:t>
            </w:r>
          </w:p>
        </w:tc>
        <w:tc>
          <w:tcPr>
            <w:tcW w:type="dxa" w:w="1700"/>
            <w:tcMar>
              <w:top w:type="dxa" w:w="60"/>
              <w:left w:type="dxa" w:w="100"/>
              <w:bottom w:type="dxa" w:w="60"/>
              <w:right w:type="dxa" w:w="100"/>
            </w:tcMar>
          </w:tcPr>
          <w:p>
            <w:pPr>
              <w:spacing w:after="0" w:line="250"/>
            </w:pPr>
            <w:r>
              <w:rPr>
                <w:b w:val="false"/>
                <w:bCs w:val="false"/>
                <w:sz w:val="20"/>
                <w:szCs w:val="20"/>
              </w:rPr>
              <w:t xml:space="preserve">—</w:t>
            </w:r>
          </w:p>
        </w:tc>
        <w:tc>
          <w:tcPr>
            <w:tcW w:type="dxa" w:w="1900"/>
            <w:tcMar>
              <w:top w:type="dxa" w:w="60"/>
              <w:left w:type="dxa" w:w="100"/>
              <w:bottom w:type="dxa" w:w="60"/>
              <w:right w:type="dxa" w:w="100"/>
            </w:tcMar>
          </w:tcPr>
          <w:p>
            <w:pPr>
              <w:spacing w:after="0" w:line="250"/>
            </w:pPr>
            <w:r>
              <w:rPr>
                <w:b w:val="false"/>
                <w:bCs w:val="false"/>
                <w:sz w:val="20"/>
                <w:szCs w:val="20"/>
              </w:rPr>
              <w:t xml:space="preserve">—</w:t>
            </w:r>
          </w:p>
        </w:tc>
        <w:tc>
          <w:tcPr>
            <w:tcW w:type="dxa" w:w="2560"/>
            <w:tcMar>
              <w:top w:type="dxa" w:w="60"/>
              <w:left w:type="dxa" w:w="100"/>
              <w:bottom w:type="dxa" w:w="60"/>
              <w:right w:type="dxa" w:w="100"/>
            </w:tcMar>
          </w:tcPr>
          <w:p>
            <w:pPr>
              <w:spacing w:after="0" w:line="250"/>
            </w:pPr>
            <w:r>
              <w:rPr>
                <w:b/>
                <w:bCs/>
                <w:sz w:val="20"/>
                <w:szCs w:val="20"/>
              </w:rPr>
              <w:t xml:space="preserve">Excluded from IOB entirely.</w:t>
            </w:r>
            <w:r>
              <w:rPr>
                <w:b w:val="false"/>
                <w:bCs w:val="false"/>
                <w:sz w:val="20"/>
                <w:szCs w:val="20"/>
              </w:rPr>
              <w:t xml:space="preserve"> Logged and displayed separately.</w:t>
            </w:r>
          </w:p>
        </w:tc>
      </w:tr>
    </w:tbl>
    <w:p>
      <w:pPr>
        <w:spacing w:after="100"/>
      </w:pPr>
    </w:p>
    <w:p>
      <w:pPr>
        <w:spacing w:after="120" w:line="276"/>
      </w:pPr>
      <w:r>
        <w:rPr>
          <w:b w:val="false"/>
          <w:bCs w:val="false"/>
        </w:rPr>
        <w:t xml:space="preserve">All parameters are user-editable (§3.1.6). The defaults are a starting point, not a claim about this user's physiology.</w:t>
      </w:r>
    </w:p>
    <w:p>
      <w:pPr>
        <w:spacing w:after="100" w:before="180"/>
      </w:pPr>
      <w:r>
        <w:rPr>
          <w:b/>
          <w:bCs/>
          <w:color w:val="1F4D78"/>
        </w:rPr>
        <w:t xml:space="preserve">COBCalculator</w:t>
      </w:r>
    </w:p>
    <w:p>
      <w:pPr>
        <w:spacing w:after="120" w:line="276"/>
      </w:pPr>
      <w:r>
        <w:rPr>
          <w:b w:val="false"/>
          <w:bCs w:val="false"/>
        </w:rPr>
        <w:t xml:space="preserve">New in v1.2 — v1.1 referenced a “textbook glucose-rise curve scaled by carbs” without defining it. Carbs on board use linear absorption over a user-configured window (default 180 minutes), which is the standard simple model and is transparent enough to explain in one sentence, satisfying §3.2.3's no-black-boxes requirement:</w:t>
      </w:r>
    </w:p>
    <w:p>
      <w:pPr>
        <w:spacing w:after="160"/>
        <w:ind w:left="360"/>
      </w:pPr>
      <w:r>
        <w:rPr>
          <w:rFonts w:ascii="Consolas" w:cs="Consolas" w:eastAsia="Consolas" w:hAnsi="Consolas"/>
          <w:b w:val="false"/>
          <w:bCs w:val="false"/>
          <w:sz w:val="19"/>
          <w:szCs w:val="19"/>
        </w:rPr>
        <w:t xml:space="preserve">COB(t) = carbs · max(0, 1 − t/ta)</w:t>
      </w:r>
    </w:p>
    <w:p>
      <w:pPr>
        <w:spacing w:after="120" w:line="276"/>
      </w:pPr>
      <w:r>
        <w:rPr>
          <w:b w:val="false"/>
          <w:bCs w:val="false"/>
        </w:rPr>
        <w:t xml:space="preserve">where </w:t>
      </w:r>
      <w:r>
        <w:rPr>
          <w:rFonts w:ascii="Consolas" w:cs="Consolas" w:eastAsia="Consolas" w:hAnsi="Consolas"/>
          <w:b w:val="false"/>
          <w:bCs w:val="false"/>
          <w:sz w:val="19"/>
          <w:szCs w:val="19"/>
        </w:rPr>
        <w:t xml:space="preserve">ta</w:t>
      </w:r>
      <w:r>
        <w:rPr>
          <w:b w:val="false"/>
          <w:bCs w:val="false"/>
        </w:rPr>
        <w:t xml:space="preserve"> is the absorption time. Dynamic absorption modelling (as Loop performs) is explicitly out of scope: it requires closed-loop-grade tuning and its failure modes are opaque.</w:t>
      </w:r>
    </w:p>
    <w:p>
      <w:pPr>
        <w:spacing w:after="100" w:before="180"/>
      </w:pPr>
      <w:r>
        <w:rPr>
          <w:b/>
          <w:bCs/>
          <w:color w:val="1F4D78"/>
        </w:rPr>
        <w:t xml:space="preserve">MealResponseEstimator</w:t>
      </w:r>
    </w:p>
    <w:p>
      <w:pPr>
        <w:spacing w:after="120" w:line="276"/>
      </w:pPr>
      <w:r>
        <w:rPr>
          <w:b/>
          <w:bCs/>
        </w:rPr>
        <w:t xml:space="preserve">v1.1 defined this as taking a meal and IOB and returning an expected mg/dL curve. That computation is impossible as specified</w:t>
      </w:r>
      <w:r>
        <w:rPr>
          <w:b w:val="false"/>
          <w:bCs w:val="false"/>
        </w:rPr>
        <w:t xml:space="preserve"> — converting grams of carbohydrate to mg/dL requires an insulin-to-carb ratio, and converting units of insulin to mg/dL requires an insulin sensitivity factor. Neither parameter existed anywhere in v1.1. Both are now required settings (§3.1.6), and the forecast is disabled until they are entered.</w:t>
      </w:r>
    </w:p>
    <w:p>
      <w:pPr>
        <w:spacing w:after="160"/>
        <w:ind w:left="360"/>
      </w:pPr>
      <w:r>
        <w:rPr>
          <w:rFonts w:ascii="Consolas" w:cs="Consolas" w:eastAsia="Consolas" w:hAnsi="Consolas"/>
          <w:b w:val="false"/>
          <w:bCs w:val="false"/>
          <w:sz w:val="19"/>
          <w:szCs w:val="19"/>
        </w:rPr>
        <w:t xml:space="preserve">predicted(t) = current + carbsAbsorbed(t) · (ISF / ICR) − insulinDelivered(t) · ISF · exerciseFactor</w:t>
      </w:r>
    </w:p>
    <w:p>
      <w:pPr>
        <w:pStyle w:val="ListParagraph"/>
        <w:numPr>
          <w:ilvl w:val="0"/>
          <w:numId w:val="2"/>
        </w:numPr>
        <w:spacing w:after="80" w:line="276"/>
      </w:pPr>
      <w:r>
        <w:rPr>
          <w:rFonts w:ascii="Consolas" w:cs="Consolas" w:eastAsia="Consolas" w:hAnsi="Consolas"/>
          <w:b w:val="false"/>
          <w:bCs w:val="false"/>
          <w:sz w:val="19"/>
          <w:szCs w:val="19"/>
        </w:rPr>
        <w:t xml:space="preserve">carbsAbsorbed(t)</w:t>
      </w:r>
      <w:r>
        <w:rPr>
          <w:b w:val="false"/>
          <w:bCs w:val="false"/>
        </w:rPr>
        <w:t xml:space="preserve"> = total carbs − COB(t).</w:t>
      </w:r>
    </w:p>
    <w:p>
      <w:pPr>
        <w:pStyle w:val="ListParagraph"/>
        <w:numPr>
          <w:ilvl w:val="0"/>
          <w:numId w:val="2"/>
        </w:numPr>
        <w:spacing w:after="80" w:line="276"/>
      </w:pPr>
      <w:r>
        <w:rPr>
          <w:rFonts w:ascii="Consolas" w:cs="Consolas" w:eastAsia="Consolas" w:hAnsi="Consolas"/>
          <w:b w:val="false"/>
          <w:bCs w:val="false"/>
          <w:sz w:val="19"/>
          <w:szCs w:val="19"/>
        </w:rPr>
        <w:t xml:space="preserve">insulinDelivered(t)</w:t>
      </w:r>
      <w:r>
        <w:rPr>
          <w:b w:val="false"/>
          <w:bCs w:val="false"/>
        </w:rPr>
        <w:t xml:space="preserve"> = total units − IOB(t), summed across all active bolus doses.</w:t>
      </w:r>
    </w:p>
    <w:p>
      <w:pPr>
        <w:pStyle w:val="ListParagraph"/>
        <w:numPr>
          <w:ilvl w:val="0"/>
          <w:numId w:val="2"/>
        </w:numPr>
        <w:spacing w:after="80" w:line="276"/>
      </w:pPr>
      <w:r>
        <w:rPr>
          <w:rFonts w:ascii="Consolas" w:cs="Consolas" w:eastAsia="Consolas" w:hAnsi="Consolas"/>
          <w:b w:val="false"/>
          <w:bCs w:val="false"/>
          <w:sz w:val="19"/>
          <w:szCs w:val="19"/>
        </w:rPr>
        <w:t xml:space="preserve">exerciseFactor</w:t>
      </w:r>
      <w:r>
        <w:rPr>
          <w:b w:val="false"/>
          <w:bCs w:val="false"/>
        </w:rPr>
        <w:t xml:space="preserve"> is 1.0 at rest, and a documented multiplier (default 1.5, editable) for the duration of a logged exercise event plus a configurable tail. v1.1 logged exercise and never used it.</w:t>
      </w:r>
    </w:p>
    <w:p>
      <w:pPr>
        <w:spacing w:after="100" w:before="180"/>
      </w:pPr>
      <w:r>
        <w:rPr>
          <w:b/>
          <w:bCs/>
          <w:color w:val="1F4D78"/>
        </w:rPr>
        <w:t xml:space="preserve">ShortTermForecaster</w:t>
      </w:r>
    </w:p>
    <w:p>
      <w:pPr>
        <w:pStyle w:val="ListParagraph"/>
        <w:numPr>
          <w:ilvl w:val="0"/>
          <w:numId w:val="2"/>
        </w:numPr>
        <w:spacing w:after="80" w:line="276"/>
      </w:pPr>
      <w:r>
        <w:rPr>
          <w:b w:val="false"/>
          <w:bCs w:val="false"/>
        </w:rPr>
        <w:t xml:space="preserve">Ordinary least-squares fit over the last 30 minutes (typically six samples), producing slope </w:t>
      </w:r>
      <w:r>
        <w:rPr>
          <w:rFonts w:ascii="Consolas" w:cs="Consolas" w:eastAsia="Consolas" w:hAnsi="Consolas"/>
          <w:b w:val="false"/>
          <w:bCs w:val="false"/>
          <w:sz w:val="19"/>
          <w:szCs w:val="19"/>
        </w:rPr>
        <w:t xml:space="preserve">m</w:t>
      </w:r>
      <w:r>
        <w:rPr>
          <w:b w:val="false"/>
          <w:bCs w:val="false"/>
        </w:rPr>
        <w:t xml:space="preserve"> in mg/dL/min.</w:t>
      </w:r>
    </w:p>
    <w:p>
      <w:pPr>
        <w:pStyle w:val="ListParagraph"/>
        <w:numPr>
          <w:ilvl w:val="0"/>
          <w:numId w:val="2"/>
        </w:numPr>
        <w:spacing w:after="80" w:line="276"/>
      </w:pPr>
      <w:r>
        <w:rPr>
          <w:b/>
          <w:bCs/>
        </w:rPr>
        <w:t xml:space="preserve">Clamp</w:t>
      </w:r>
      <w:r>
        <w:rPr>
          <w:b w:val="false"/>
          <w:bCs w:val="false"/>
        </w:rPr>
        <w:t xml:space="preserve"> </w:t>
      </w:r>
      <w:r>
        <w:rPr>
          <w:rFonts w:ascii="Consolas" w:cs="Consolas" w:eastAsia="Consolas" w:hAnsi="Consolas"/>
          <w:b w:val="false"/>
          <w:bCs w:val="false"/>
          <w:sz w:val="19"/>
          <w:szCs w:val="19"/>
        </w:rPr>
        <w:t xml:space="preserve">m</w:t>
      </w:r>
      <w:r>
        <w:rPr>
          <w:b w:val="false"/>
          <w:bCs w:val="false"/>
        </w:rPr>
        <w:t xml:space="preserve"> to ±4.0 mg/dL/min. Outside that range the input is sensor noise, not glucose.</w:t>
      </w:r>
    </w:p>
    <w:p>
      <w:pPr>
        <w:pStyle w:val="ListParagraph"/>
        <w:numPr>
          <w:ilvl w:val="0"/>
          <w:numId w:val="2"/>
        </w:numPr>
        <w:spacing w:after="80" w:line="276"/>
      </w:pPr>
      <w:r>
        <w:rPr>
          <w:b/>
          <w:bCs/>
        </w:rPr>
        <w:t xml:space="preserve">Damped projection:</w:t>
      </w:r>
      <w:r>
        <w:rPr>
          <w:b w:val="false"/>
          <w:bCs w:val="false"/>
        </w:rPr>
        <w:t xml:space="preserve"> </w:t>
      </w:r>
      <w:r>
        <w:rPr>
          <w:rFonts w:ascii="Consolas" w:cs="Consolas" w:eastAsia="Consolas" w:hAnsi="Consolas"/>
          <w:b w:val="false"/>
          <w:bCs w:val="false"/>
          <w:sz w:val="19"/>
          <w:szCs w:val="19"/>
        </w:rPr>
        <w:t xml:space="preserve">v(h) = current + m · τd · (1 − e^(−h/τd))</w:t>
      </w:r>
      <w:r>
        <w:rPr>
          <w:b w:val="false"/>
          <w:bCs w:val="false"/>
        </w:rPr>
        <w:t xml:space="preserve"> with damping constant </w:t>
      </w:r>
      <w:r>
        <w:rPr>
          <w:rFonts w:ascii="Consolas" w:cs="Consolas" w:eastAsia="Consolas" w:hAnsi="Consolas"/>
          <w:b w:val="false"/>
          <w:bCs w:val="false"/>
          <w:sz w:val="19"/>
          <w:szCs w:val="19"/>
        </w:rPr>
        <w:t xml:space="preserve">τd</w:t>
      </w:r>
      <w:r>
        <w:rPr>
          <w:b w:val="false"/>
          <w:bCs w:val="false"/>
        </w:rPr>
        <w:t xml:space="preserve"> = 15 minutes. Undamped linear extrapolation (v1.1) flies straight through post-meal peaks and post-correction nadirs — the two moments when a forecast is actually consulted. Damping makes the projection flatten as the horizon extends, which is both more accurate and more honestly humble.</w:t>
      </w:r>
    </w:p>
    <w:p>
      <w:pPr>
        <w:pStyle w:val="ListParagraph"/>
        <w:numPr>
          <w:ilvl w:val="0"/>
          <w:numId w:val="2"/>
        </w:numPr>
        <w:spacing w:after="80" w:line="276"/>
      </w:pPr>
      <w:r>
        <w:rPr>
          <w:b/>
          <w:bCs/>
        </w:rPr>
        <w:t xml:space="preserve">Confidence band:</w:t>
      </w:r>
      <w:r>
        <w:rPr>
          <w:b w:val="false"/>
          <w:bCs w:val="false"/>
        </w:rPr>
        <w:t xml:space="preserve"> the 10th and 90th percentiles of the app's own realised forecast errors at the same horizon, computed by backtesting over the user's stored history and recomputed weekly. Not ±1 SD of residuals: that assumes stationarity and normality, and glucose forecast residuals are strongly heteroscedastic — errors are far larger when glucose is moving. The empirical band widens automatically in exactly those conditions.</w:t>
      </w:r>
    </w:p>
    <w:p>
      <w:pPr>
        <w:pStyle w:val="ListParagraph"/>
        <w:numPr>
          <w:ilvl w:val="0"/>
          <w:numId w:val="2"/>
        </w:numPr>
        <w:spacing w:after="80" w:line="276"/>
      </w:pPr>
      <w:r>
        <w:rPr>
          <w:b w:val="false"/>
          <w:bCs w:val="false"/>
        </w:rPr>
        <w:t xml:space="preserve">The band is asymmetric by construction, which is correct: the distribution of forecast errors is not symmetric around zero.</w:t>
      </w:r>
    </w:p>
    <w:p>
      <w:pPr>
        <w:spacing w:after="100" w:before="180"/>
      </w:pPr>
      <w:r>
        <w:rPr>
          <w:b/>
          <w:bCs/>
          <w:color w:val="1F4D78"/>
        </w:rPr>
        <w:t xml:space="preserve">Validation</w:t>
      </w:r>
    </w:p>
    <w:p>
      <w:pPr>
        <w:spacing w:after="120" w:line="276"/>
      </w:pPr>
      <w:r>
        <w:rPr>
          <w:b/>
          <w:bCs/>
        </w:rPr>
        <w:t xml:space="preserve">v1.1's acceptance criterion — 15-minute prediction error within ±20 mg/dL, 80% of the time — is passed by a naive baseline that predicts “the same as now.”</w:t>
      </w:r>
      <w:r>
        <w:rPr>
          <w:b w:val="false"/>
          <w:bCs w:val="false"/>
        </w:rPr>
        <w:t xml:space="preserve"> Glucose rarely moves more than 20 mg/dL in 15 minutes, so the criterion demonstrates nothing about whether the model adds value. Replaced with:</w:t>
      </w:r>
    </w:p>
    <w:p>
      <w:pPr>
        <w:pStyle w:val="ListParagraph"/>
        <w:numPr>
          <w:ilvl w:val="0"/>
          <w:numId w:val="2"/>
        </w:numPr>
        <w:spacing w:after="80" w:line="276"/>
      </w:pPr>
      <w:r>
        <w:rPr>
          <w:b/>
          <w:bCs/>
        </w:rPr>
        <w:t xml:space="preserve">Baseline comparison (mandatory).</w:t>
      </w:r>
      <w:r>
        <w:rPr>
          <w:b w:val="false"/>
          <w:bCs w:val="false"/>
        </w:rPr>
        <w:t xml:space="preserve"> Backtest against a persistence baseline on the same data. The model must reduce RMSE by at least 15% at a 15-minute horizon and 20% at 30 minutes. If it does not beat persistence, ship persistence — it is simpler and more honest.</w:t>
      </w:r>
    </w:p>
    <w:p>
      <w:pPr>
        <w:pStyle w:val="ListParagraph"/>
        <w:numPr>
          <w:ilvl w:val="0"/>
          <w:numId w:val="2"/>
        </w:numPr>
        <w:spacing w:after="80" w:line="276"/>
      </w:pPr>
      <w:r>
        <w:rPr>
          <w:b/>
          <w:bCs/>
        </w:rPr>
        <w:t xml:space="preserve">Zone-stratified error.</w:t>
      </w:r>
      <w:r>
        <w:rPr>
          <w:b w:val="false"/>
          <w:bCs w:val="false"/>
        </w:rPr>
        <w:t xml:space="preserve"> Report RMSE and the 90th-percentile absolute error separately for readings below 70, 70–180, and above 180 mg/dL. A 20 mg/dL error at 60 is a materially different event from a 20 mg/dL error at 200, and a single aggregate figure hides exactly the case that matters.</w:t>
      </w:r>
    </w:p>
    <w:p>
      <w:pPr>
        <w:pStyle w:val="ListParagraph"/>
        <w:numPr>
          <w:ilvl w:val="0"/>
          <w:numId w:val="2"/>
        </w:numPr>
        <w:spacing w:after="80" w:line="276"/>
      </w:pPr>
      <w:r>
        <w:rPr>
          <w:b/>
          <w:bCs/>
        </w:rPr>
        <w:t xml:space="preserve">Parkes error grid.</w:t>
      </w:r>
      <w:r>
        <w:rPr>
          <w:b w:val="false"/>
          <w:bCs w:val="false"/>
        </w:rPr>
        <w:t xml:space="preserve"> Plot forecast against actual on a Parkes (consensus) error grid. The pass condition is zero points in zones C, D, or E. This is the clinical-significance check that a raw error threshold cannot provide.</w:t>
      </w:r>
    </w:p>
    <w:p>
      <w:pPr>
        <w:pStyle w:val="ListParagraph"/>
        <w:numPr>
          <w:ilvl w:val="0"/>
          <w:numId w:val="2"/>
        </w:numPr>
        <w:spacing w:after="80" w:line="276"/>
      </w:pPr>
      <w:r>
        <w:rPr>
          <w:b/>
          <w:bCs/>
        </w:rPr>
        <w:t xml:space="preserve">Backtesting harness.</w:t>
      </w:r>
      <w:r>
        <w:rPr>
          <w:b w:val="false"/>
          <w:bCs w:val="false"/>
        </w:rPr>
        <w:t xml:space="preserve"> Replays stored history through the engine with a fixed seed and an injectable clock, so accuracy is a regression test rather than a one-off measurement.</w:t>
      </w:r>
    </w:p>
    <w:p>
      <w:pPr>
        <w:pStyle w:val="ListParagraph"/>
        <w:numPr>
          <w:ilvl w:val="0"/>
          <w:numId w:val="2"/>
        </w:numPr>
        <w:spacing w:after="80" w:line="276"/>
      </w:pPr>
      <w:r>
        <w:rPr>
          <w:b/>
          <w:bCs/>
        </w:rPr>
        <w:t xml:space="preserve">Exclusions.</w:t>
      </w:r>
      <w:r>
        <w:rPr>
          <w:b w:val="false"/>
          <w:bCs w:val="false"/>
        </w:rPr>
        <w:t xml:space="preserve"> Readings flagged as suspected compression lows (§3.2.6) are excluded from error statistics — they are sensor artifacts, and including them makes a correct model look wrong.</w:t>
      </w:r>
    </w:p>
    <w:p>
      <w:pPr>
        <w:pStyle w:val="Heading2"/>
        <w:spacing w:after="140" w:before="280"/>
      </w:pPr>
      <w:r>
        <w:rPr>
          <w:b w:val="false"/>
          <w:bCs w:val="false"/>
        </w:rPr>
        <w:t xml:space="preserve">4.5 Performance &amp; Data Volume</w:t>
      </w:r>
    </w:p>
    <w:p>
      <w:pPr>
        <w:pBdr>
          <w:left w:val="single" w:color="BFD3E6" w:sz="12" w:space="8"/>
        </w:pBdr>
        <w:spacing w:after="160" w:line="260"/>
        <w:ind w:left="180"/>
      </w:pPr>
      <w:r>
        <w:rPr>
          <w:b w:val="false"/>
          <w:bCs w:val="false"/>
          <w:i/>
          <w:iCs/>
          <w:color w:val="595959"/>
          <w:sz w:val="20"/>
          <w:szCs w:val="20"/>
        </w:rPr>
        <w:t xml:space="preserve">Implemented in v1.5.</w:t>
      </w:r>
    </w:p>
    <w:p>
      <w:pPr>
        <w:pStyle w:val="ListParagraph"/>
        <w:numPr>
          <w:ilvl w:val="0"/>
          <w:numId w:val="2"/>
        </w:numPr>
        <w:spacing w:after="80" w:line="276"/>
      </w:pPr>
      <w:r>
        <w:rPr>
          <w:b/>
          <w:bCs/>
        </w:rPr>
        <w:t xml:space="preserve">Volume.</w:t>
      </w:r>
      <w:r>
        <w:rPr>
          <w:b w:val="false"/>
          <w:bCs w:val="false"/>
        </w:rPr>
        <w:t xml:space="preserve"> 288 readings/day, ~2,000/week, ~8,600 per 30-day window, ~105,000/year.</w:t>
      </w:r>
    </w:p>
    <w:p>
      <w:pPr>
        <w:pStyle w:val="ListParagraph"/>
        <w:numPr>
          <w:ilvl w:val="0"/>
          <w:numId w:val="2"/>
        </w:numPr>
        <w:spacing w:after="80" w:line="276"/>
      </w:pPr>
      <w:r>
        <w:rPr>
          <w:b/>
          <w:bCs/>
        </w:rPr>
        <w:t xml:space="preserve">Downsampling above ~1,000 points</w:t>
      </w:r>
      <w:r>
        <w:rPr>
          <w:b w:val="false"/>
          <w:bCs w:val="false"/>
        </w:rPr>
        <w:t xml:space="preserve">, bucketing into roughly 400 groups.</w:t>
      </w:r>
    </w:p>
    <w:p>
      <w:pPr>
        <w:spacing w:after="100" w:before="180"/>
      </w:pPr>
      <w:r>
        <w:rPr>
          <w:b/>
          <w:bCs/>
          <w:color w:val="1F4D78"/>
        </w:rPr>
        <w:t xml:space="preserve">Each bucket contributes its minimum and maximum, never its mean</w:t>
      </w:r>
    </w:p>
    <w:p>
      <w:pPr>
        <w:spacing w:after="120" w:line="276"/>
      </w:pPr>
      <w:r>
        <w:rPr>
          <w:b w:val="false"/>
          <w:bCs w:val="false"/>
        </w:rPr>
        <w:t xml:space="preserve">Averaging is the obvious implementation and it is wrong here. A twenty-minute hypo inside a two-hour bucket vanishes completely into the mean, so the chart would render a calm line across the single event the user most needs to see. Emitting both extremes in time order preserves excursions at every zoom level, at the cost of up to two points per bucket.</w:t>
      </w:r>
    </w:p>
    <w:p>
      <w:pPr>
        <w:pStyle w:val="ListParagraph"/>
        <w:numPr>
          <w:ilvl w:val="0"/>
          <w:numId w:val="2"/>
        </w:numPr>
        <w:spacing w:after="80" w:line="276"/>
      </w:pPr>
      <w:r>
        <w:rPr>
          <w:b/>
          <w:bCs/>
        </w:rPr>
        <w:t xml:space="preserve">Gap thresholds scale with the window.</w:t>
      </w:r>
      <w:r>
        <w:rPr>
          <w:b w:val="false"/>
          <w:bCs w:val="false"/>
        </w:rPr>
        <w:t xml:space="preserve"> An 11-minute break is a real gap on a 3-hour chart and sub-pixel noise on a 30-day one; applying the short-window threshold to a long window would shatter the line into thousands of one-point segments and render nothing legible.</w:t>
      </w:r>
    </w:p>
    <w:p>
      <w:pPr>
        <w:pStyle w:val="ListParagraph"/>
        <w:numPr>
          <w:ilvl w:val="0"/>
          <w:numId w:val="2"/>
        </w:numPr>
        <w:spacing w:after="80" w:line="276"/>
      </w:pPr>
      <w:r>
        <w:rPr>
          <w:b/>
          <w:bCs/>
        </w:rPr>
        <w:t xml:space="preserve">Markers are suppressed on multi-day windows</w:t>
      </w:r>
      <w:r>
        <w:rPr>
          <w:b w:val="false"/>
          <w:bCs w:val="false"/>
        </w:rPr>
        <w:t xml:space="preserve">, where they become noise rather than information. The line alone carries the shape.</w:t>
      </w:r>
    </w:p>
    <w:p>
      <w:pPr>
        <w:pStyle w:val="ListParagraph"/>
        <w:numPr>
          <w:ilvl w:val="0"/>
          <w:numId w:val="2"/>
        </w:numPr>
        <w:spacing w:after="80" w:line="276"/>
      </w:pPr>
      <w:r>
        <w:rPr>
          <w:b/>
          <w:bCs/>
        </w:rPr>
        <w:t xml:space="preserve">No unbounded </w:t>
      </w:r>
      <w:r>
        <w:rPr>
          <w:rFonts w:ascii="Consolas" w:cs="Consolas" w:eastAsia="Consolas" w:hAnsi="Consolas"/>
          <w:b/>
          <w:bCs/>
          <w:sz w:val="19"/>
          <w:szCs w:val="19"/>
        </w:rPr>
        <w:t xml:space="preserve">@Query</w:t>
      </w:r>
      <w:r>
        <w:rPr>
          <w:b/>
          <w:bCs/>
        </w:rPr>
        <w:t xml:space="preserve">.</w:t>
      </w:r>
      <w:r>
        <w:rPr>
          <w:b w:val="false"/>
          <w:bCs w:val="false"/>
        </w:rPr>
        <w:t xml:space="preserve"> Views fetch explicit bounded predicates; a query over all readings materialises the entire store into a SwiftUI view body.</w:t>
      </w:r>
    </w:p>
    <w:p>
      <w:pPr>
        <w:pStyle w:val="ListParagraph"/>
        <w:numPr>
          <w:ilvl w:val="0"/>
          <w:numId w:val="2"/>
        </w:numPr>
        <w:spacing w:after="80" w:line="276"/>
      </w:pPr>
      <w:r>
        <w:rPr>
          <w:b/>
          <w:bCs/>
        </w:rPr>
        <w:t xml:space="preserve">Charts read from the store, not from memory</w:t>
      </w:r>
      <w:r>
        <w:rPr>
          <w:b w:val="false"/>
          <w:bCs w:val="false"/>
        </w:rPr>
        <w:t xml:space="preserve">, so they populate on a cold launch before the first poll returns and function with no network.</w:t>
      </w:r>
    </w:p>
    <w:p>
      <w:pPr>
        <w:spacing w:after="100" w:before="180"/>
      </w:pPr>
      <w:r>
        <w:rPr>
          <w:b/>
          <w:bCs/>
          <w:color w:val="1F4D78"/>
        </w:rPr>
        <w:t xml:space="preserve">Never compute over the data set in a view body</w:t>
      </w:r>
    </w:p>
    <w:p>
      <w:pPr>
        <w:spacing w:after="120" w:line="276"/>
      </w:pPr>
      <w:r>
        <w:rPr>
          <w:b w:val="false"/>
          <w:bCs w:val="false"/>
        </w:rPr>
        <w:t xml:space="preserve">Learned the hard way in v1.6. Statistics and chart segment construction were written as computed properties read directly from SwiftUI view bodies. Those bodies are re-evaluated by a one-second timer driving the freshness label, so every tick recomputed a full statistics pass — including a median that sorts the entire window — and rebuilt the chart's segments, which downsample and sort again.</w:t>
      </w:r>
    </w:p>
    <w:p>
      <w:pPr>
        <w:spacing w:after="120" w:line="276"/>
      </w:pPr>
      <w:r>
        <w:rPr>
          <w:b w:val="false"/>
          <w:bCs w:val="false"/>
        </w:rPr>
        <w:t xml:space="preserve">At spike volume (39 readings) this was undetectable. At 30-day volume (~8,600 readings) it is thousands of times more work per second than the display requires. Both now compute once when their inputs change.</w:t>
      </w:r>
    </w:p>
    <w:p>
      <w:pPr>
        <w:spacing w:after="120" w:line="276"/>
      </w:pPr>
      <w:r>
        <w:rPr>
          <w:b w:val="false"/>
          <w:bCs w:val="false"/>
        </w:rPr>
        <w:t xml:space="preserve">The general rule: </w:t>
      </w:r>
      <w:r>
        <w:rPr>
          <w:b/>
          <w:bCs/>
        </w:rPr>
        <w:t xml:space="preserve">a SwiftUI view body may read prepared values, never derive them from the data set.</w:t>
      </w:r>
      <w:r>
        <w:rPr>
          <w:b w:val="false"/>
          <w:bCs w:val="false"/>
        </w:rPr>
        <w:t xml:space="preserve"> A performance suite now runs against 90 days of realistic data and asserts bounds — 30-day statistics under 0.5s, a routine poll against a full store under 2s, a 30-day window query under 3s — so a regression fails loudly rather than merely feeling sluggish.</w:t>
      </w:r>
    </w:p>
    <w:p>
      <w:pPr>
        <w:pStyle w:val="Heading2"/>
        <w:spacing w:after="140" w:before="280"/>
      </w:pPr>
      <w:r>
        <w:rPr>
          <w:b w:val="false"/>
          <w:bCs w:val="false"/>
        </w:rPr>
        <w:t xml:space="preserve">4.6 Project Structure</w:t>
      </w:r>
    </w:p>
    <w:p>
      <w:pPr>
        <w:pStyle w:val="ListParagraph"/>
        <w:numPr>
          <w:ilvl w:val="0"/>
          <w:numId w:val="2"/>
        </w:numPr>
        <w:spacing w:after="80" w:line="276"/>
      </w:pPr>
      <w:r>
        <w:rPr>
          <w:rFonts w:ascii="Consolas" w:cs="Consolas" w:eastAsia="Consolas" w:hAnsi="Consolas"/>
          <w:b w:val="false"/>
          <w:bCs w:val="false"/>
          <w:sz w:val="19"/>
          <w:szCs w:val="19"/>
        </w:rPr>
        <w:t xml:space="preserve">GlucoNoir/</w:t>
      </w:r>
      <w:r>
        <w:rPr>
          <w:b w:val="false"/>
          <w:bCs w:val="false"/>
        </w:rPr>
        <w:t xml:space="preserve"> — app target.</w:t>
      </w:r>
    </w:p>
    <w:p>
      <w:pPr>
        <w:pStyle w:val="ListParagraph"/>
        <w:numPr>
          <w:ilvl w:val="0"/>
          <w:numId w:val="2"/>
        </w:numPr>
        <w:spacing w:after="80" w:line="276"/>
      </w:pPr>
      <w:r>
        <w:rPr>
          <w:rFonts w:ascii="Consolas" w:cs="Consolas" w:eastAsia="Consolas" w:hAnsi="Consolas"/>
          <w:b w:val="false"/>
          <w:bCs w:val="false"/>
          <w:sz w:val="19"/>
          <w:szCs w:val="19"/>
        </w:rPr>
        <w:t xml:space="preserve">GlucoNoirCore/</w:t>
      </w:r>
      <w:r>
        <w:rPr>
          <w:b w:val="false"/>
          <w:bCs w:val="false"/>
        </w:rPr>
        <w:t xml:space="preserve"> (Swift Package) — models, persistence actor, prediction engine, source actors, coordinator.</w:t>
      </w:r>
    </w:p>
    <w:p>
      <w:pPr>
        <w:pStyle w:val="ListParagraph"/>
        <w:numPr>
          <w:ilvl w:val="0"/>
          <w:numId w:val="2"/>
        </w:numPr>
        <w:spacing w:after="80" w:line="276"/>
      </w:pPr>
      <w:r>
        <w:rPr>
          <w:rFonts w:ascii="Consolas" w:cs="Consolas" w:eastAsia="Consolas" w:hAnsi="Consolas"/>
          <w:b w:val="false"/>
          <w:bCs w:val="false"/>
          <w:sz w:val="19"/>
          <w:szCs w:val="19"/>
        </w:rPr>
        <w:t xml:space="preserve">G7SensorKit</w:t>
      </w:r>
      <w:r>
        <w:rPr>
          <w:b w:val="false"/>
          <w:bCs w:val="false"/>
        </w:rPr>
        <w:t xml:space="preserve"> — external Swift package dependency (LoopKit, MIT). Pinned to a specific commit, not a floating branch: it tracks a reverse-engineered protocol and an unreviewed update could break the live data path silently.</w:t>
      </w:r>
    </w:p>
    <w:p>
      <w:pPr>
        <w:pStyle w:val="ListParagraph"/>
        <w:numPr>
          <w:ilvl w:val="0"/>
          <w:numId w:val="2"/>
        </w:numPr>
        <w:spacing w:after="80" w:line="276"/>
      </w:pPr>
      <w:r>
        <w:rPr>
          <w:rFonts w:ascii="Consolas" w:cs="Consolas" w:eastAsia="Consolas" w:hAnsi="Consolas"/>
          <w:b w:val="false"/>
          <w:bCs w:val="false"/>
          <w:sz w:val="19"/>
          <w:szCs w:val="19"/>
        </w:rPr>
        <w:t xml:space="preserve">GlucoNoirUI/</w:t>
      </w:r>
      <w:r>
        <w:rPr>
          <w:b w:val="false"/>
          <w:bCs w:val="false"/>
        </w:rPr>
        <w:t xml:space="preserve"> (Swift Package) — theme system, reusable views, charts.</w:t>
      </w:r>
    </w:p>
    <w:p>
      <w:pPr>
        <w:pStyle w:val="ListParagraph"/>
        <w:numPr>
          <w:ilvl w:val="0"/>
          <w:numId w:val="2"/>
        </w:numPr>
        <w:spacing w:after="80" w:line="276"/>
      </w:pPr>
      <w:r>
        <w:rPr>
          <w:rFonts w:ascii="Consolas" w:cs="Consolas" w:eastAsia="Consolas" w:hAnsi="Consolas"/>
          <w:b w:val="false"/>
          <w:bCs w:val="false"/>
          <w:sz w:val="19"/>
          <w:szCs w:val="19"/>
        </w:rPr>
        <w:t xml:space="preserve">GlucoNoirWidgets/</w:t>
      </w:r>
      <w:r>
        <w:rPr>
          <w:b w:val="false"/>
          <w:bCs w:val="false"/>
        </w:rPr>
        <w:t xml:space="preserve"> — widget extension and Live Activity (</w:t>
      </w:r>
      <w:r>
        <w:rPr>
          <w:b/>
          <w:bCs/>
        </w:rPr>
        <w:t xml:space="preserve">Phase 9, requires paid membership</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GlucoNoirWatch/</w:t>
      </w:r>
      <w:r>
        <w:rPr>
          <w:b w:val="false"/>
          <w:bCs w:val="false"/>
        </w:rPr>
        <w:t xml:space="preserve"> — watchOS complication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GlucoNoirIntents/</w:t>
      </w:r>
      <w:r>
        <w:rPr>
          <w:b w:val="false"/>
          <w:bCs w:val="false"/>
        </w:rPr>
        <w:t xml:space="preserve"> — App Intents extension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Tests/</w:t>
      </w:r>
      <w:r>
        <w:rPr>
          <w:b w:val="false"/>
          <w:bCs w:val="false"/>
        </w:rPr>
        <w:t xml:space="preserve"> — test targets per package, including the backtesting harness and recorded BLE message fixtures.</w:t>
      </w:r>
    </w:p>
    <w:p>
      <w:pPr>
        <w:pBdr>
          <w:left w:val="single" w:color="BFD3E6" w:sz="12" w:space="8"/>
        </w:pBdr>
        <w:spacing w:after="160" w:line="260"/>
        <w:ind w:left="180"/>
      </w:pPr>
      <w:r>
        <w:rPr>
          <w:b w:val="false"/>
          <w:bCs w:val="false"/>
          <w:i/>
          <w:iCs/>
          <w:color w:val="595959"/>
          <w:sz w:val="20"/>
          <w:szCs w:val="20"/>
        </w:rPr>
        <w:t xml:space="preserve">Changed in v1.3: the App Group is no longer a Phase 0 requirement, because free-team signing cannot create one (§6.1). The SwiftData store path is therefore abstracted behind a single accessor from day one, so moving it into a shared container at Phase 9 is a one-line change plus a migration, not a refactor.</w:t>
      </w:r>
    </w:p>
    <w:p>
      <w:pPr>
        <w:pStyle w:val="Heading1"/>
        <w:spacing w:after="160" w:before="360"/>
      </w:pPr>
      <w:r>
        <w:rPr>
          <w:b w:val="false"/>
          <w:bCs w:val="false"/>
        </w:rPr>
        <w:t xml:space="preserve">5. Design System</w:t>
      </w:r>
    </w:p>
    <w:p>
      <w:pPr>
        <w:pStyle w:val="Heading2"/>
        <w:spacing w:after="140" w:before="280"/>
      </w:pPr>
      <w:r>
        <w:rPr>
          <w:b w:val="false"/>
          <w:bCs w:val="false"/>
        </w:rPr>
        <w:t xml:space="preserve">5.1 Color Tokens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1500"/>
        <w:gridCol w:w="1500"/>
        <w:gridCol w:w="1400"/>
        <w:gridCol w:w="31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Token</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True Black</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Soft Dark</w:t>
            </w:r>
          </w:p>
        </w:tc>
        <w:tc>
          <w:tcPr>
            <w:tcW w:type="dxa" w:w="1400"/>
            <w:shd w:fill="DEEAF6" w:color="auto" w:val="clear"/>
            <w:tcMar>
              <w:top w:type="dxa" w:w="60"/>
              <w:left w:type="dxa" w:w="100"/>
              <w:bottom w:type="dxa" w:w="60"/>
              <w:right w:type="dxa" w:w="100"/>
            </w:tcMar>
          </w:tcPr>
          <w:p>
            <w:pPr>
              <w:spacing w:after="0" w:line="250"/>
            </w:pPr>
            <w:r>
              <w:rPr>
                <w:b/>
                <w:bCs/>
                <w:sz w:val="20"/>
                <w:szCs w:val="20"/>
              </w:rPr>
              <w:t xml:space="preserve">Light</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Use</w:t>
            </w:r>
          </w:p>
        </w:tc>
      </w:tr>
      <w:tr>
        <w:tc>
          <w:tcPr>
            <w:tcW w:type="dxa" w:w="1800"/>
            <w:tcMar>
              <w:top w:type="dxa" w:w="60"/>
              <w:left w:type="dxa" w:w="100"/>
              <w:bottom w:type="dxa" w:w="60"/>
              <w:right w:type="dxa" w:w="100"/>
            </w:tcMar>
          </w:tcPr>
          <w:p>
            <w:pPr>
              <w:spacing w:after="0" w:line="250"/>
            </w:pPr>
            <w:r>
              <w:rPr>
                <w:b w:val="false"/>
                <w:bCs w:val="false"/>
                <w:sz w:val="20"/>
                <w:szCs w:val="20"/>
              </w:rPr>
              <w:t xml:space="preserve">bg.primary</w:t>
            </w:r>
          </w:p>
        </w:tc>
        <w:tc>
          <w:tcPr>
            <w:tcW w:type="dxa" w:w="1500"/>
            <w:tcMar>
              <w:top w:type="dxa" w:w="60"/>
              <w:left w:type="dxa" w:w="100"/>
              <w:bottom w:type="dxa" w:w="60"/>
              <w:right w:type="dxa" w:w="100"/>
            </w:tcMar>
          </w:tcPr>
          <w:p>
            <w:pPr>
              <w:spacing w:after="0" w:line="250"/>
            </w:pPr>
            <w:r>
              <w:rPr>
                <w:b w:val="false"/>
                <w:bCs w:val="false"/>
                <w:sz w:val="20"/>
                <w:szCs w:val="20"/>
              </w:rPr>
              <w:t xml:space="preserve">#000000</w:t>
            </w:r>
          </w:p>
        </w:tc>
        <w:tc>
          <w:tcPr>
            <w:tcW w:type="dxa" w:w="1500"/>
            <w:tcMar>
              <w:top w:type="dxa" w:w="60"/>
              <w:left w:type="dxa" w:w="100"/>
              <w:bottom w:type="dxa" w:w="60"/>
              <w:right w:type="dxa" w:w="100"/>
            </w:tcMar>
          </w:tcPr>
          <w:p>
            <w:pPr>
              <w:spacing w:after="0" w:line="250"/>
            </w:pPr>
            <w:r>
              <w:rPr>
                <w:b w:val="false"/>
                <w:bCs w:val="false"/>
                <w:sz w:val="20"/>
                <w:szCs w:val="20"/>
              </w:rPr>
              <w:t xml:space="preserve">#1C1C1E</w:t>
            </w:r>
          </w:p>
        </w:tc>
        <w:tc>
          <w:tcPr>
            <w:tcW w:type="dxa" w:w="1400"/>
            <w:tcMar>
              <w:top w:type="dxa" w:w="60"/>
              <w:left w:type="dxa" w:w="100"/>
              <w:bottom w:type="dxa" w:w="60"/>
              <w:right w:type="dxa" w:w="100"/>
            </w:tcMar>
          </w:tcPr>
          <w:p>
            <w:pPr>
              <w:spacing w:after="0" w:line="250"/>
            </w:pPr>
            <w:r>
              <w:rPr>
                <w:b w:val="false"/>
                <w:bCs w:val="false"/>
                <w:sz w:val="20"/>
                <w:szCs w:val="20"/>
              </w:rPr>
              <w:t xml:space="preserve">#FFFFFF</w:t>
            </w:r>
          </w:p>
        </w:tc>
        <w:tc>
          <w:tcPr>
            <w:tcW w:type="dxa" w:w="3160"/>
            <w:tcMar>
              <w:top w:type="dxa" w:w="60"/>
              <w:left w:type="dxa" w:w="100"/>
              <w:bottom w:type="dxa" w:w="60"/>
              <w:right w:type="dxa" w:w="100"/>
            </w:tcMar>
          </w:tcPr>
          <w:p>
            <w:pPr>
              <w:spacing w:after="0" w:line="250"/>
            </w:pPr>
            <w:r>
              <w:rPr>
                <w:b w:val="false"/>
                <w:bCs w:val="false"/>
                <w:sz w:val="20"/>
                <w:szCs w:val="20"/>
              </w:rPr>
              <w:t xml:space="preserve">Screen background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bg.secondary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#0A0A0A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#2C2C2E</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#F2F2F7</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Cards, sheets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text.primary</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400"/>
            <w:tcMar>
              <w:top w:type="dxa" w:w="60"/>
              <w:left w:type="dxa" w:w="100"/>
              <w:bottom w:type="dxa" w:w="60"/>
              <w:right w:type="dxa" w:w="100"/>
            </w:tcMar>
          </w:tcPr>
          <w:p>
            <w:pPr>
              <w:spacing w:after="0" w:line="250"/>
            </w:pPr>
            <w:r>
              <w:rPr>
                <w:b w:val="false"/>
                <w:bCs w:val="false"/>
                <w:sz w:val="20"/>
                <w:szCs w:val="20"/>
              </w:rPr>
              <w:t xml:space="preserve">#000000</w:t>
            </w:r>
          </w:p>
        </w:tc>
        <w:tc>
          <w:tcPr>
            <w:tcW w:type="dxa" w:w="3160"/>
            <w:tcMar>
              <w:top w:type="dxa" w:w="60"/>
              <w:left w:type="dxa" w:w="100"/>
              <w:bottom w:type="dxa" w:w="60"/>
              <w:right w:type="dxa" w:w="100"/>
            </w:tcMar>
          </w:tcPr>
          <w:p>
            <w:pPr>
              <w:spacing w:after="0" w:line="250"/>
            </w:pPr>
            <w:r>
              <w:rPr>
                <w:b w:val="false"/>
                <w:bCs w:val="false"/>
                <w:sz w:val="20"/>
                <w:szCs w:val="20"/>
              </w:rPr>
              <w:t xml:space="preserve">Headings, hero number</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text.secondary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#3C3C43</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Labels, non-critical captions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text.freshness</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400"/>
            <w:tcMar>
              <w:top w:type="dxa" w:w="60"/>
              <w:left w:type="dxa" w:w="100"/>
              <w:bottom w:type="dxa" w:w="60"/>
              <w:right w:type="dxa" w:w="100"/>
            </w:tcMar>
          </w:tcPr>
          <w:p>
            <w:pPr>
              <w:spacing w:after="0" w:line="250"/>
            </w:pPr>
            <w:r>
              <w:rPr>
                <w:b w:val="false"/>
                <w:bCs w:val="false"/>
                <w:sz w:val="20"/>
                <w:szCs w:val="20"/>
              </w:rPr>
              <w:t xml:space="preserve">#1C1C1E</w:t>
            </w:r>
          </w:p>
        </w:tc>
        <w:tc>
          <w:tcPr>
            <w:tcW w:type="dxa" w:w="3160"/>
            <w:tcMar>
              <w:top w:type="dxa" w:w="60"/>
              <w:left w:type="dxa" w:w="100"/>
              <w:bottom w:type="dxa" w:w="60"/>
              <w:right w:type="dxa" w:w="100"/>
            </w:tcMar>
          </w:tcPr>
          <w:p>
            <w:pPr>
              <w:spacing w:after="0" w:line="250"/>
            </w:pPr>
            <w:r>
              <w:rPr>
                <w:b w:val="false"/>
                <w:bCs w:val="false"/>
                <w:sz w:val="20"/>
                <w:szCs w:val="20"/>
              </w:rPr>
              <w:t xml:space="preserve">New in v1.2. Data-age text only.</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accent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#007AFF</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Interactive elements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range.in</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400"/>
            <w:tcMar>
              <w:top w:type="dxa" w:w="60"/>
              <w:left w:type="dxa" w:w="100"/>
              <w:bottom w:type="dxa" w:w="60"/>
              <w:right w:type="dxa" w:w="100"/>
            </w:tcMar>
          </w:tcPr>
          <w:p>
            <w:pPr>
              <w:spacing w:after="0" w:line="250"/>
            </w:pPr>
            <w:r>
              <w:rPr>
                <w:b w:val="false"/>
                <w:bCs w:val="false"/>
                <w:sz w:val="20"/>
                <w:szCs w:val="20"/>
              </w:rPr>
              <w:t xml:space="preserve">#34C759</w:t>
            </w:r>
          </w:p>
        </w:tc>
        <w:tc>
          <w:tcPr>
            <w:tcW w:type="dxa" w:w="3160"/>
            <w:tcMar>
              <w:top w:type="dxa" w:w="60"/>
              <w:left w:type="dxa" w:w="100"/>
              <w:bottom w:type="dxa" w:w="60"/>
              <w:right w:type="dxa" w:w="100"/>
            </w:tcMar>
          </w:tcPr>
          <w:p>
            <w:pPr>
              <w:spacing w:after="0" w:line="250"/>
            </w:pPr>
            <w:r>
              <w:rPr>
                <w:b w:val="false"/>
                <w:bCs w:val="false"/>
                <w:sz w:val="20"/>
                <w:szCs w:val="20"/>
              </w:rPr>
              <w:t xml:space="preserve">In-range glucose</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range.low</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#FF3B30</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Below target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range.high</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400"/>
            <w:tcMar>
              <w:top w:type="dxa" w:w="60"/>
              <w:left w:type="dxa" w:w="100"/>
              <w:bottom w:type="dxa" w:w="60"/>
              <w:right w:type="dxa" w:w="100"/>
            </w:tcMar>
          </w:tcPr>
          <w:p>
            <w:pPr>
              <w:spacing w:after="0" w:line="250"/>
            </w:pPr>
            <w:r>
              <w:rPr>
                <w:b w:val="false"/>
                <w:bCs w:val="false"/>
                <w:sz w:val="20"/>
                <w:szCs w:val="20"/>
              </w:rPr>
              <w:t xml:space="preserve">#FFCC00</w:t>
            </w:r>
          </w:p>
        </w:tc>
        <w:tc>
          <w:tcPr>
            <w:tcW w:type="dxa" w:w="3160"/>
            <w:tcMar>
              <w:top w:type="dxa" w:w="60"/>
              <w:left w:type="dxa" w:w="100"/>
              <w:bottom w:type="dxa" w:w="60"/>
              <w:right w:type="dxa" w:w="100"/>
            </w:tcMar>
          </w:tcPr>
          <w:p>
            <w:pPr>
              <w:spacing w:after="0" w:line="250"/>
            </w:pPr>
            <w:r>
              <w:rPr>
                <w:b w:val="false"/>
                <w:bCs w:val="false"/>
                <w:sz w:val="20"/>
                <w:szCs w:val="20"/>
              </w:rPr>
              <w:t xml:space="preserve">Above target</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range.urgent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#FF2D55</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Urgent low/high — fill only, never text</w:t>
            </w:r>
          </w:p>
        </w:tc>
      </w:tr>
    </w:tbl>
    <w:p>
      <w:pPr>
        <w:spacing w:after="100"/>
      </w:pPr>
    </w:p>
    <w:p>
      <w:pPr>
        <w:spacing w:after="100" w:before="180"/>
      </w:pPr>
      <w:r>
        <w:rPr>
          <w:b/>
          <w:bCs/>
          <w:color w:val="1F4D78"/>
        </w:rPr>
        <w:t xml:space="preserve">Two corrections in v1.2</w:t>
      </w:r>
    </w:p>
    <w:p>
      <w:pPr>
        <w:pStyle w:val="ListParagraph"/>
        <w:numPr>
          <w:ilvl w:val="0"/>
          <w:numId w:val="2"/>
        </w:numPr>
        <w:spacing w:after="80" w:line="276"/>
      </w:pPr>
      <w:r>
        <w:rPr>
          <w:b/>
          <w:bCs/>
        </w:rPr>
        <w:t xml:space="preserve">Urgent is distinguished by treatment, not hue.</w:t>
      </w:r>
      <w:r>
        <w:rPr>
          <w:b w:val="false"/>
          <w:bCs w:val="false"/>
        </w:rPr>
        <w:t xml:space="preserve"> v1.1's </w:t>
      </w:r>
      <w:r>
        <w:rPr>
          <w:rFonts w:ascii="Consolas" w:cs="Consolas" w:eastAsia="Consolas" w:hAnsi="Consolas"/>
          <w:b w:val="false"/>
          <w:bCs w:val="false"/>
          <w:sz w:val="19"/>
          <w:szCs w:val="19"/>
        </w:rPr>
        <w:t xml:space="preserve">range.urgent</w:t>
      </w:r>
      <w:r>
        <w:rPr>
          <w:b w:val="false"/>
          <w:bCs w:val="false"/>
        </w:rPr>
        <w:t xml:space="preserve"> (#FF2D55) and </w:t>
      </w:r>
      <w:r>
        <w:rPr>
          <w:rFonts w:ascii="Consolas" w:cs="Consolas" w:eastAsia="Consolas" w:hAnsi="Consolas"/>
          <w:b w:val="false"/>
          <w:bCs w:val="false"/>
          <w:sz w:val="19"/>
          <w:szCs w:val="19"/>
        </w:rPr>
        <w:t xml:space="preserve">range.low</w:t>
      </w:r>
      <w:r>
        <w:rPr>
          <w:b w:val="false"/>
          <w:bCs w:val="false"/>
        </w:rPr>
        <w:t xml:space="preserve"> (#FF453A) are near-identical in hue, and low-versus-urgent-low is the single most safety-critical distinction the app makes. Chasing a distinguishable adjacent red is the wrong fix. Instead: </w:t>
      </w:r>
      <w:r>
        <w:rPr>
          <w:rFonts w:ascii="Consolas" w:cs="Consolas" w:eastAsia="Consolas" w:hAnsi="Consolas"/>
          <w:b/>
          <w:bCs/>
          <w:sz w:val="19"/>
          <w:szCs w:val="19"/>
        </w:rPr>
        <w:t xml:space="preserve">range.low</w:t>
      </w:r>
      <w:r>
        <w:rPr>
          <w:b/>
          <w:bCs/>
        </w:rPr>
        <w:t xml:space="preserve"> is applied as a text colour; </w:t>
      </w:r>
      <w:r>
        <w:rPr>
          <w:rFonts w:ascii="Consolas" w:cs="Consolas" w:eastAsia="Consolas" w:hAnsi="Consolas"/>
          <w:b/>
          <w:bCs/>
          <w:sz w:val="19"/>
          <w:szCs w:val="19"/>
        </w:rPr>
        <w:t xml:space="preserve">range.urgent</w:t>
      </w:r>
      <w:r>
        <w:rPr>
          <w:b/>
          <w:bCs/>
        </w:rPr>
        <w:t xml:space="preserve"> is applied only as a filled background with #FFFFFF text</w:t>
      </w:r>
      <w:r>
        <w:rPr>
          <w:b w:val="false"/>
          <w:bCs w:val="false"/>
        </w:rPr>
        <w:t xml:space="preserve">, plus a distinct glyph. The distinction becomes fill-versus-text — unmissable at a glance, at complication size, and under any colour-vision deficiency.</w:t>
      </w:r>
    </w:p>
    <w:p>
      <w:pPr>
        <w:pStyle w:val="ListParagraph"/>
        <w:numPr>
          <w:ilvl w:val="0"/>
          <w:numId w:val="2"/>
        </w:numPr>
        <w:spacing w:after="80" w:line="276"/>
      </w:pPr>
      <w:r>
        <w:rPr>
          <w:b/>
          <w:bCs/>
        </w:rPr>
        <w:t xml:space="preserve">Freshness text gets its own brighter token.</w:t>
      </w:r>
      <w:r>
        <w:rPr>
          <w:b w:val="false"/>
          <w:bCs w:val="false"/>
        </w:rPr>
        <w:t xml:space="preserve"> </w:t>
      </w:r>
      <w:r>
        <w:rPr>
          <w:rFonts w:ascii="Consolas" w:cs="Consolas" w:eastAsia="Consolas" w:hAnsi="Consolas"/>
          <w:b w:val="false"/>
          <w:bCs w:val="false"/>
          <w:sz w:val="19"/>
          <w:szCs w:val="19"/>
        </w:rPr>
        <w:t xml:space="preserve">text.secondary</w:t>
      </w:r>
      <w:r>
        <w:rPr>
          <w:b w:val="false"/>
          <w:bCs w:val="false"/>
        </w:rPr>
        <w:t xml:space="preserve"> (#8E8E93) measures roughly 6.4:1 against #000000 and 5.2:1 against #1C1C1E. Both pass WCAG AA for body text, but “Updated 3 min ago” is the most safety-relevant string on the screen and was rendering at 13pt in the dimmest colour in the system. </w:t>
      </w:r>
      <w:r>
        <w:rPr>
          <w:rFonts w:ascii="Consolas" w:cs="Consolas" w:eastAsia="Consolas" w:hAnsi="Consolas"/>
          <w:b w:val="false"/>
          <w:bCs w:val="false"/>
          <w:sz w:val="19"/>
          <w:szCs w:val="19"/>
        </w:rPr>
        <w:t xml:space="preserve">text.freshness</w:t>
      </w:r>
      <w:r>
        <w:rPr>
          <w:b w:val="false"/>
          <w:bCs w:val="false"/>
        </w:rPr>
        <w:t xml:space="preserve"> (#C7C7CC) measures roughly 12.5:1 on true black and 10.1:1 on Soft Dark.</w:t>
      </w:r>
    </w:p>
    <w:p>
      <w:pPr>
        <w:spacing w:after="120" w:line="276"/>
      </w:pPr>
      <w:r>
        <w:rPr>
          <w:b w:val="false"/>
          <w:bCs w:val="false"/>
        </w:rPr>
        <w:t xml:space="preserve">Range colouring is always paired with a glyph (§3.1.4). In-range green and low red are the deuteranopia-confusable pair, so the glyph carries the meaning and the colour reinforces it — not the other way around.</w:t>
      </w:r>
    </w:p>
    <w:p>
      <w:pPr>
        <w:pStyle w:val="Heading2"/>
        <w:spacing w:after="140" w:before="280"/>
      </w:pPr>
      <w:r>
        <w:rPr>
          <w:b w:val="false"/>
          <w:bCs w:val="false"/>
        </w:rPr>
        <w:t xml:space="preserve">5.2 Typography</w:t>
      </w:r>
    </w:p>
    <w:p>
      <w:pPr>
        <w:pStyle w:val="ListParagraph"/>
        <w:numPr>
          <w:ilvl w:val="0"/>
          <w:numId w:val="2"/>
        </w:numPr>
        <w:spacing w:after="80" w:line="276"/>
      </w:pPr>
      <w:r>
        <w:rPr>
          <w:b/>
          <w:bCs/>
        </w:rPr>
        <w:t xml:space="preserve">Hero glucose number:</w:t>
      </w:r>
      <w:r>
        <w:rPr>
          <w:b w:val="false"/>
          <w:bCs w:val="false"/>
        </w:rPr>
        <w:t xml:space="preserve"> SF Pro Rounded, 96pt, Bold at default Dynamic Type.</w:t>
      </w:r>
    </w:p>
    <w:p>
      <w:pPr>
        <w:pStyle w:val="ListParagraph"/>
        <w:numPr>
          <w:ilvl w:val="0"/>
          <w:numId w:val="2"/>
        </w:numPr>
        <w:spacing w:after="80" w:line="276"/>
      </w:pPr>
      <w:r>
        <w:rPr>
          <w:b/>
          <w:bCs/>
        </w:rPr>
        <w:t xml:space="preserve">Section titles:</w:t>
      </w:r>
      <w:r>
        <w:rPr>
          <w:b w:val="false"/>
          <w:bCs w:val="false"/>
        </w:rPr>
        <w:t xml:space="preserve"> SF Pro, 22pt, Semibold.</w:t>
      </w:r>
    </w:p>
    <w:p>
      <w:pPr>
        <w:pStyle w:val="ListParagraph"/>
        <w:numPr>
          <w:ilvl w:val="0"/>
          <w:numId w:val="2"/>
        </w:numPr>
        <w:spacing w:after="80" w:line="276"/>
      </w:pPr>
      <w:r>
        <w:rPr>
          <w:b/>
          <w:bCs/>
        </w:rPr>
        <w:t xml:space="preserve">Body:</w:t>
      </w:r>
      <w:r>
        <w:rPr>
          <w:b w:val="false"/>
          <w:bCs w:val="false"/>
        </w:rPr>
        <w:t xml:space="preserve"> SF Pro, 17pt, Regular.</w:t>
      </w:r>
    </w:p>
    <w:p>
      <w:pPr>
        <w:pStyle w:val="ListParagraph"/>
        <w:numPr>
          <w:ilvl w:val="0"/>
          <w:numId w:val="2"/>
        </w:numPr>
        <w:spacing w:after="80" w:line="276"/>
      </w:pPr>
      <w:r>
        <w:rPr>
          <w:b/>
          <w:bCs/>
        </w:rPr>
        <w:t xml:space="preserve">Captions:</w:t>
      </w:r>
      <w:r>
        <w:rPr>
          <w:b w:val="false"/>
          <w:bCs w:val="false"/>
        </w:rPr>
        <w:t xml:space="preserve"> SF Pro, 13pt, Regular, secondary colour — except data-age text, which uses </w:t>
      </w:r>
      <w:r>
        <w:rPr>
          <w:rFonts w:ascii="Consolas" w:cs="Consolas" w:eastAsia="Consolas" w:hAnsi="Consolas"/>
          <w:b w:val="false"/>
          <w:bCs w:val="false"/>
          <w:sz w:val="19"/>
          <w:szCs w:val="19"/>
        </w:rPr>
        <w:t xml:space="preserve">text.freshness</w:t>
      </w:r>
      <w:r>
        <w:rPr>
          <w:b w:val="false"/>
          <w:bCs w:val="false"/>
        </w:rPr>
        <w:t xml:space="preserve"> (§5.1).</w:t>
      </w:r>
    </w:p>
    <w:p>
      <w:pPr>
        <w:pStyle w:val="ListParagraph"/>
        <w:numPr>
          <w:ilvl w:val="0"/>
          <w:numId w:val="2"/>
        </w:numPr>
        <w:spacing w:after="80" w:line="276"/>
      </w:pPr>
      <w:r>
        <w:rPr>
          <w:b/>
          <w:bCs/>
        </w:rPr>
        <w:t xml:space="preserve">Dynamic Type:</w:t>
      </w:r>
      <w:r>
        <w:rPr>
          <w:b w:val="false"/>
          <w:bCs w:val="false"/>
        </w:rPr>
        <w:t xml:space="preserve"> all text scales. The hero number is the exception that needs a strategy rather than a rule: at accessibility sizes a scaled 96pt value will not fit on any iPhone. It scales up to a cap of roughly 120pt, then holds; the surrounding layout reflows and the 3h chart collapses to give it room. Verify at AX5.</w:t>
      </w:r>
    </w:p>
    <w:p>
      <w:pPr>
        <w:pBdr>
          <w:left w:val="single" w:color="BFD3E6" w:sz="12" w:space="8"/>
        </w:pBdr>
        <w:spacing w:after="160" w:line="260"/>
        <w:ind w:left="180"/>
      </w:pPr>
      <w:r>
        <w:rPr>
          <w:b w:val="false"/>
          <w:bCs w:val="false"/>
          <w:i/>
          <w:iCs/>
          <w:color w:val="595959"/>
          <w:sz w:val="20"/>
          <w:szCs w:val="20"/>
        </w:rPr>
        <w:t xml:space="preserve">Correction in v1.2: v1.1 justified 96pt Bold as “true OLED-friendly weight.” The rationale is backwards. A pure black background saves power on OLED because unlit pixels draw nothing; a heavy white glyph lights more pixels than a lighter one and increases glare during night checks. Bold is retained because it is the right choice for legibility at a glance — but for legibility, not for OLED efficiency. Bedside Mode (§5.3) drops the hero to Medium weight for exactly this reason.</w:t>
      </w:r>
    </w:p>
    <w:p>
      <w:pPr>
        <w:pStyle w:val="Heading2"/>
        <w:spacing w:after="140" w:before="280"/>
      </w:pPr>
      <w:r>
        <w:rPr>
          <w:b w:val="false"/>
          <w:bCs w:val="false"/>
        </w:rPr>
        <w:t xml:space="preserve">5.3 Bedside Mode Specifics</w:t>
      </w:r>
    </w:p>
    <w:p>
      <w:pPr>
        <w:pBdr>
          <w:left w:val="single" w:color="BFD3E6" w:sz="12" w:space="8"/>
        </w:pBdr>
        <w:spacing w:after="160" w:line="260"/>
        <w:ind w:left="180"/>
      </w:pPr>
      <w:r>
        <w:rPr>
          <w:b w:val="false"/>
          <w:bCs w:val="false"/>
          <w:i/>
          <w:iCs/>
          <w:color w:val="595959"/>
          <w:sz w:val="20"/>
          <w:szCs w:val="20"/>
        </w:rPr>
        <w:t xml:space="preserve">Implemented in v1.5. Activation is schedule-driven with a manual override; the override persists until explicitly returned to the schedule.</w:t>
      </w:r>
    </w:p>
    <w:p>
      <w:pPr>
        <w:pStyle w:val="ListParagraph"/>
        <w:numPr>
          <w:ilvl w:val="0"/>
          <w:numId w:val="2"/>
        </w:numPr>
        <w:spacing w:after="80" w:line="276"/>
      </w:pPr>
      <w:r>
        <w:rPr>
          <w:b/>
          <w:bCs/>
        </w:rPr>
        <w:t xml:space="preserve">Nothing in the palette is blue.</w:t>
      </w:r>
      <w:r>
        <w:rPr>
          <w:b w:val="false"/>
          <w:bCs w:val="false"/>
        </w:rPr>
        <w:t xml:space="preserve"> Blue light is what costs dark adaptation and sleep, so a nighttime theme with a blue accent defeats its own purpose. A test asserts the red channel exceeds the blue channel on every colour in this palette.</w:t>
      </w:r>
    </w:p>
    <w:p>
      <w:pPr>
        <w:pStyle w:val="ListParagraph"/>
        <w:numPr>
          <w:ilvl w:val="0"/>
          <w:numId w:val="2"/>
        </w:numPr>
        <w:spacing w:after="80" w:line="276"/>
      </w:pPr>
      <w:r>
        <w:rPr>
          <w:b/>
          <w:bCs/>
        </w:rPr>
        <w:t xml:space="preserve">The schedule crosses midnight</w:t>
      </w:r>
      <w:r>
        <w:rPr>
          <w:b w:val="false"/>
          <w:bCs w:val="false"/>
        </w:rPr>
        <w:t xml:space="preserve">, and the obvious implementation is wrong: a simple </w:t>
      </w:r>
      <w:r>
        <w:rPr>
          <w:rFonts w:ascii="Consolas" w:cs="Consolas" w:eastAsia="Consolas" w:hAnsi="Consolas"/>
          <w:b w:val="false"/>
          <w:bCs w:val="false"/>
          <w:sz w:val="19"/>
          <w:szCs w:val="19"/>
        </w:rPr>
        <w:t xml:space="preserve">now &gt;= start &amp;&amp; now &lt; end</w:t>
      </w:r>
      <w:r>
        <w:rPr>
          <w:b w:val="false"/>
          <w:bCs w:val="false"/>
        </w:rPr>
        <w:t xml:space="preserve"> comparison is false for every minute of a 22:00–07:00 window. It would compile, look correct, and silently never activate during exactly the hours the feature exists for.</w:t>
      </w:r>
    </w:p>
    <w:p>
      <w:pPr>
        <w:pStyle w:val="ListParagraph"/>
        <w:numPr>
          <w:ilvl w:val="0"/>
          <w:numId w:val="2"/>
        </w:numPr>
        <w:spacing w:after="80" w:line="276"/>
      </w:pPr>
      <w:r>
        <w:rPr>
          <w:b w:val="false"/>
          <w:bCs w:val="false"/>
        </w:rPr>
        <w:t xml:space="preserve">Background: pure #000000.</w:t>
      </w:r>
    </w:p>
    <w:p>
      <w:pPr>
        <w:pStyle w:val="ListParagraph"/>
        <w:numPr>
          <w:ilvl w:val="0"/>
          <w:numId w:val="2"/>
        </w:numPr>
        <w:spacing w:after="80" w:line="276"/>
      </w:pPr>
      <w:r>
        <w:rPr>
          <w:b w:val="false"/>
          <w:bCs w:val="false"/>
        </w:rPr>
        <w:t xml:space="preserve">All text and accents shifted toward the red end of the spectrum (#FF6B6B, #FF9F43) to preserve dark adaptation.</w:t>
      </w:r>
    </w:p>
    <w:p>
      <w:pPr>
        <w:pStyle w:val="ListParagraph"/>
        <w:numPr>
          <w:ilvl w:val="0"/>
          <w:numId w:val="2"/>
        </w:numPr>
        <w:spacing w:after="80" w:line="276"/>
      </w:pPr>
      <w:r>
        <w:rPr>
          <w:b w:val="false"/>
          <w:bCs w:val="false"/>
        </w:rPr>
        <w:t xml:space="preserve">Hero number drops from Bold to Medium weight — fewer lit pixels, less glare, still legible at 96pt.</w:t>
      </w:r>
    </w:p>
    <w:p>
      <w:pPr>
        <w:pStyle w:val="ListParagraph"/>
        <w:numPr>
          <w:ilvl w:val="0"/>
          <w:numId w:val="2"/>
        </w:numPr>
        <w:spacing w:after="80" w:line="276"/>
      </w:pPr>
      <w:r>
        <w:rPr>
          <w:b w:val="false"/>
          <w:bCs w:val="false"/>
        </w:rPr>
        <w:t xml:space="preserve">All animations disabled.</w:t>
      </w:r>
    </w:p>
    <w:p>
      <w:pPr>
        <w:spacing w:after="100" w:before="180"/>
      </w:pPr>
      <w:r>
        <w:rPr>
          <w:b/>
          <w:bCs/>
          <w:color w:val="1F4D78"/>
        </w:rPr>
        <w:t xml:space="preserve">Dimming — corrected implementation</w:t>
      </w:r>
    </w:p>
    <w:p>
      <w:pPr>
        <w:spacing w:after="120" w:line="276"/>
      </w:pPr>
      <w:r>
        <w:rPr>
          <w:b/>
          <w:bCs/>
        </w:rPr>
        <w:t xml:space="preserve">v1.1 specified “maximum brightness on screen: 30% of system brightness setting.” An iOS app cannot do this.</w:t>
      </w:r>
      <w:r>
        <w:rPr>
          <w:b w:val="false"/>
          <w:bCs w:val="false"/>
        </w:rPr>
        <w:t xml:space="preserve"> There is no per-app or per-window brightness. </w:t>
      </w:r>
      <w:r>
        <w:rPr>
          <w:rFonts w:ascii="Consolas" w:cs="Consolas" w:eastAsia="Consolas" w:hAnsi="Consolas"/>
          <w:b w:val="false"/>
          <w:bCs w:val="false"/>
          <w:sz w:val="19"/>
          <w:szCs w:val="19"/>
        </w:rPr>
        <w:t xml:space="preserve">UIScreen.main.brightness</w:t>
      </w:r>
      <w:r>
        <w:rPr>
          <w:b w:val="false"/>
          <w:bCs w:val="false"/>
        </w:rPr>
        <w:t xml:space="preserve"> sets brightness </w:t>
      </w:r>
      <w:r>
        <w:rPr>
          <w:b/>
          <w:bCs/>
        </w:rPr>
        <w:t xml:space="preserve">globally and persistently</w:t>
      </w:r>
      <w:r>
        <w:rPr>
          <w:b w:val="false"/>
          <w:bCs w:val="false"/>
        </w:rPr>
        <w:t xml:space="preserve"> for the entire device, affecting every other app and surviving until something changes it back — and any crash, force-quit, or missed lifecycle callback leaves the user's phone stuck dim.</w:t>
      </w:r>
    </w:p>
    <w:p>
      <w:pPr>
        <w:spacing w:after="120" w:line="276"/>
      </w:pPr>
      <w:r>
        <w:rPr>
          <w:b w:val="false"/>
          <w:bCs w:val="false"/>
        </w:rPr>
        <w:t xml:space="preserve">The correct implementation is a </w:t>
      </w:r>
      <w:r>
        <w:rPr>
          <w:b/>
          <w:bCs/>
        </w:rPr>
        <w:t xml:space="preserve">full-screen black overlay</w:t>
      </w:r>
      <w:r>
        <w:rPr>
          <w:b w:val="false"/>
          <w:bCs w:val="false"/>
        </w:rPr>
        <w:t xml:space="preserve"> at the top of the view hierarchy with adjustable opacity (0 to roughly 0.7), rendered above content and below the touch layer. Content dims; the system brightness setting is never touched. This is what every well-behaved night-mode app does.</w:t>
      </w:r>
    </w:p>
    <w:p>
      <w:pPr>
        <w:spacing w:after="120" w:line="276"/>
      </w:pPr>
      <w:r>
        <w:rPr>
          <w:b w:val="false"/>
          <w:bCs w:val="false"/>
        </w:rPr>
        <w:t xml:space="preserve">If the user explicitly opts in to system-level dimming as well, </w:t>
      </w:r>
      <w:r>
        <w:rPr>
          <w:rFonts w:ascii="Consolas" w:cs="Consolas" w:eastAsia="Consolas" w:hAnsi="Consolas"/>
          <w:b w:val="false"/>
          <w:bCs w:val="false"/>
          <w:sz w:val="19"/>
          <w:szCs w:val="19"/>
        </w:rPr>
        <w:t xml:space="preserve">UIScreen.main.brightness</w:t>
      </w:r>
      <w:r>
        <w:rPr>
          <w:b w:val="false"/>
          <w:bCs w:val="false"/>
        </w:rPr>
        <w:t xml:space="preserve"> may be set — but only with the prior value captured, restored on </w:t>
      </w:r>
      <w:r>
        <w:rPr>
          <w:rFonts w:ascii="Consolas" w:cs="Consolas" w:eastAsia="Consolas" w:hAnsi="Consolas"/>
          <w:b w:val="false"/>
          <w:bCs w:val="false"/>
          <w:sz w:val="19"/>
          <w:szCs w:val="19"/>
        </w:rPr>
        <w:t xml:space="preserve">scenePhase</w:t>
      </w:r>
      <w:r>
        <w:rPr>
          <w:b w:val="false"/>
          <w:bCs w:val="false"/>
        </w:rPr>
        <w:t xml:space="preserve"> change to </w:t>
      </w:r>
      <w:r>
        <w:rPr>
          <w:rFonts w:ascii="Consolas" w:cs="Consolas" w:eastAsia="Consolas" w:hAnsi="Consolas"/>
          <w:b w:val="false"/>
          <w:bCs w:val="false"/>
          <w:sz w:val="19"/>
          <w:szCs w:val="19"/>
        </w:rPr>
        <w:t xml:space="preserve">.background</w:t>
      </w:r>
      <w:r>
        <w:rPr>
          <w:b w:val="false"/>
          <w:bCs w:val="false"/>
        </w:rPr>
        <w:t xml:space="preserve"> or </w:t>
      </w:r>
      <w:r>
        <w:rPr>
          <w:rFonts w:ascii="Consolas" w:cs="Consolas" w:eastAsia="Consolas" w:hAnsi="Consolas"/>
          <w:b w:val="false"/>
          <w:bCs w:val="false"/>
          <w:sz w:val="19"/>
          <w:szCs w:val="19"/>
        </w:rPr>
        <w:t xml:space="preserve">.inactive</w:t>
      </w:r>
      <w:r>
        <w:rPr>
          <w:b w:val="false"/>
          <w:bCs w:val="false"/>
        </w:rPr>
        <w:t xml:space="preserve">, restored on termination, and restored on next launch as a safety net if the app died holding it.</w:t>
      </w:r>
    </w:p>
    <w:p>
      <w:pPr>
        <w:spacing w:after="100" w:before="180"/>
      </w:pPr>
      <w:r>
        <w:rPr>
          <w:b/>
          <w:bCs/>
          <w:color w:val="1F4D78"/>
        </w:rPr>
        <w:t xml:space="preserve">Exit gesture</w:t>
      </w:r>
    </w:p>
    <w:p>
      <w:pPr>
        <w:spacing w:after="120" w:line="276"/>
      </w:pPr>
      <w:r>
        <w:rPr>
          <w:b w:val="false"/>
          <w:bCs w:val="false"/>
        </w:rPr>
        <w:t xml:space="preserve">v1.1's “single tap anywhere returns to normal mode” conflicts with the tappable timeline (§3.2.2) and fires on accidental wake-taps. Exit is a deliberate gesture instead: a two-finger tap, or a long-press on the hero number. Reading the screen and dismissing the mode should not be the same action.</w:t>
      </w:r>
    </w:p>
    <w:p>
      <w:pPr>
        <w:pStyle w:val="Heading2"/>
        <w:spacing w:after="140" w:before="280"/>
      </w:pPr>
      <w:r>
        <w:rPr>
          <w:b w:val="false"/>
          <w:bCs w:val="false"/>
        </w:rPr>
        <w:t xml:space="preserve">5.4 Accessibility</w:t>
      </w:r>
    </w:p>
    <w:p>
      <w:pPr>
        <w:pBdr>
          <w:left w:val="single" w:color="BFD3E6" w:sz="12" w:space="8"/>
        </w:pBdr>
        <w:spacing w:after="160" w:line="260"/>
        <w:ind w:left="180"/>
      </w:pPr>
      <w:r>
        <w:rPr>
          <w:b w:val="false"/>
          <w:bCs w:val="false"/>
          <w:i/>
          <w:iCs/>
          <w:color w:val="595959"/>
          <w:sz w:val="20"/>
          <w:szCs w:val="20"/>
        </w:rPr>
        <w:t xml:space="preserve">New in v1.2. v1.1 covered Dynamic Type and colour-vision deficiency but not screen readers, which for a health app is the significant gap.</w:t>
      </w:r>
    </w:p>
    <w:p>
      <w:pPr>
        <w:pStyle w:val="ListParagraph"/>
        <w:numPr>
          <w:ilvl w:val="0"/>
          <w:numId w:val="2"/>
        </w:numPr>
        <w:spacing w:after="80" w:line="276"/>
      </w:pPr>
      <w:r>
        <w:rPr>
          <w:b/>
          <w:bCs/>
        </w:rPr>
        <w:t xml:space="preserve">VoiceOver on the hero area</w:t>
      </w:r>
      <w:r>
        <w:rPr>
          <w:b w:val="false"/>
          <w:bCs w:val="false"/>
        </w:rPr>
        <w:t xml:space="preserve"> reads value, unit, trend, and age as a single coherent label — “142 milligrams per deciliter, steady, updated 3 minutes ago” — not four fragments the user has to assemble.</w:t>
      </w:r>
    </w:p>
    <w:p>
      <w:pPr>
        <w:pStyle w:val="ListParagraph"/>
        <w:numPr>
          <w:ilvl w:val="0"/>
          <w:numId w:val="2"/>
        </w:numPr>
        <w:spacing w:after="80" w:line="276"/>
      </w:pPr>
      <w:r>
        <w:rPr>
          <w:b/>
          <w:bCs/>
        </w:rPr>
        <w:t xml:space="preserve">Charts need an </w:t>
      </w:r>
      <w:r>
        <w:rPr>
          <w:rFonts w:ascii="Consolas" w:cs="Consolas" w:eastAsia="Consolas" w:hAnsi="Consolas"/>
          <w:b/>
          <w:bCs/>
          <w:sz w:val="19"/>
          <w:szCs w:val="19"/>
        </w:rPr>
        <w:t xml:space="preserve">AXChartDescriptor</w:t>
      </w:r>
      <w:r>
        <w:rPr>
          <w:b/>
          <w:bCs/>
        </w:rPr>
        <w:t xml:space="preserve">.</w:t>
      </w:r>
      <w:r>
        <w:rPr>
          <w:b w:val="false"/>
          <w:bCs w:val="false"/>
        </w:rPr>
        <w:t xml:space="preserve"> Swift Charts is opaque to VoiceOver by default. Both the 3h chart and the AGP expose a descriptor with axes and series so the data is navigable by audio graph.</w:t>
      </w:r>
    </w:p>
    <w:p>
      <w:pPr>
        <w:pStyle w:val="ListParagraph"/>
        <w:numPr>
          <w:ilvl w:val="0"/>
          <w:numId w:val="2"/>
        </w:numPr>
        <w:spacing w:after="80" w:line="276"/>
      </w:pPr>
      <w:r>
        <w:rPr>
          <w:b/>
          <w:bCs/>
        </w:rPr>
        <w:t xml:space="preserve">Range state is announced, not just coloured.</w:t>
      </w:r>
      <w:r>
        <w:rPr>
          <w:b w:val="false"/>
          <w:bCs w:val="false"/>
        </w:rPr>
        <w:t xml:space="preserve"> The accessibility label includes “below target” or “urgent low” explicitly.</w:t>
      </w:r>
    </w:p>
    <w:p>
      <w:pPr>
        <w:pStyle w:val="ListParagraph"/>
        <w:numPr>
          <w:ilvl w:val="0"/>
          <w:numId w:val="2"/>
        </w:numPr>
        <w:spacing w:after="80" w:line="276"/>
      </w:pPr>
      <w:r>
        <w:rPr>
          <w:b/>
          <w:bCs/>
        </w:rPr>
        <w:t xml:space="preserve">Reduce Motion</w:t>
      </w:r>
      <w:r>
        <w:rPr>
          <w:b w:val="false"/>
          <w:bCs w:val="false"/>
        </w:rPr>
        <w:t xml:space="preserve"> disables chart animations and the Live Activity's transitions.</w:t>
      </w:r>
    </w:p>
    <w:p>
      <w:pPr>
        <w:pStyle w:val="ListParagraph"/>
        <w:numPr>
          <w:ilvl w:val="0"/>
          <w:numId w:val="2"/>
        </w:numPr>
        <w:spacing w:after="80" w:line="276"/>
      </w:pPr>
      <w:r>
        <w:rPr>
          <w:b/>
          <w:bCs/>
        </w:rPr>
        <w:t xml:space="preserve">Increase Contrast</w:t>
      </w:r>
      <w:r>
        <w:rPr>
          <w:b w:val="false"/>
          <w:bCs w:val="false"/>
        </w:rPr>
        <w:t xml:space="preserve"> switches </w:t>
      </w:r>
      <w:r>
        <w:rPr>
          <w:rFonts w:ascii="Consolas" w:cs="Consolas" w:eastAsia="Consolas" w:hAnsi="Consolas"/>
          <w:b w:val="false"/>
          <w:bCs w:val="false"/>
          <w:sz w:val="19"/>
          <w:szCs w:val="19"/>
        </w:rPr>
        <w:t xml:space="preserve">text.secondary</w:t>
      </w:r>
      <w:r>
        <w:rPr>
          <w:b w:val="false"/>
          <w:bCs w:val="false"/>
        </w:rPr>
        <w:t xml:space="preserve"> to </w:t>
      </w:r>
      <w:r>
        <w:rPr>
          <w:rFonts w:ascii="Consolas" w:cs="Consolas" w:eastAsia="Consolas" w:hAnsi="Consolas"/>
          <w:b w:val="false"/>
          <w:bCs w:val="false"/>
          <w:sz w:val="19"/>
          <w:szCs w:val="19"/>
        </w:rPr>
        <w:t xml:space="preserve">text.freshness</w:t>
      </w:r>
      <w:r>
        <w:rPr>
          <w:b w:val="false"/>
          <w:bCs w:val="false"/>
        </w:rPr>
        <w:t xml:space="preserve"> throughout and thickens the target-range band border.</w:t>
      </w:r>
    </w:p>
    <w:p>
      <w:pPr>
        <w:pStyle w:val="ListParagraph"/>
        <w:numPr>
          <w:ilvl w:val="0"/>
          <w:numId w:val="2"/>
        </w:numPr>
        <w:spacing w:after="80" w:line="276"/>
      </w:pPr>
      <w:r>
        <w:rPr>
          <w:b/>
          <w:bCs/>
        </w:rPr>
        <w:t xml:space="preserve">Minimum touch target of 44×44pt</w:t>
      </w:r>
      <w:r>
        <w:rPr>
          <w:b w:val="false"/>
          <w:bCs w:val="false"/>
        </w:rPr>
        <w:t xml:space="preserve"> on every quick-log control, including complication-adjacent buttons.</w:t>
      </w:r>
    </w:p>
    <w:p>
      <w:pPr>
        <w:pStyle w:val="ListParagraph"/>
        <w:numPr>
          <w:ilvl w:val="0"/>
          <w:numId w:val="2"/>
        </w:numPr>
        <w:spacing w:after="80" w:line="276"/>
      </w:pPr>
      <w:r>
        <w:rPr>
          <w:b/>
          <w:bCs/>
        </w:rPr>
        <w:t xml:space="preserve">Bedside Mode must remain accessible</w:t>
      </w:r>
      <w:r>
        <w:rPr>
          <w:b w:val="false"/>
          <w:bCs w:val="false"/>
        </w:rPr>
        <w:t xml:space="preserve"> — the red-shifted palette is verified against WCAG AA at the dimming levels actually used, not only at full opacity.</w:t>
      </w:r>
    </w:p>
    <w:p>
      <w:pPr>
        <w:pStyle w:val="Heading1"/>
        <w:spacing w:after="160" w:before="360"/>
      </w:pPr>
      <w:r>
        <w:rPr>
          <w:b w:val="false"/>
          <w:bCs w:val="false"/>
        </w:rPr>
        <w:t xml:space="preserve">6. Constraints &amp; Security</w:t>
      </w:r>
    </w:p>
    <w:p>
      <w:pPr>
        <w:pStyle w:val="Heading2"/>
        <w:spacing w:after="140" w:before="280"/>
      </w:pPr>
      <w:r>
        <w:rPr>
          <w:b w:val="false"/>
          <w:bCs w:val="false"/>
        </w:rPr>
        <w:t xml:space="preserve">6.1 Provisioning &amp; Signing</w:t>
      </w:r>
    </w:p>
    <w:p>
      <w:pPr>
        <w:pBdr>
          <w:left w:val="single" w:color="BFD3E6" w:sz="12" w:space="8"/>
        </w:pBdr>
        <w:spacing w:after="160" w:line="260"/>
        <w:ind w:left="180"/>
      </w:pPr>
      <w:r>
        <w:rPr>
          <w:b w:val="false"/>
          <w:bCs w:val="false"/>
          <w:i/>
          <w:iCs/>
          <w:color w:val="595959"/>
          <w:sz w:val="20"/>
          <w:szCs w:val="20"/>
        </w:rPr>
        <w:t xml:space="preserve">New in v1.3. Signing tier is a real constraint on scope, so it is recorded here rather than discovered mid-build.</w:t>
      </w:r>
    </w:p>
    <w:p>
      <w:pPr>
        <w:spacing w:after="120" w:line="276"/>
      </w:pPr>
      <w:r>
        <w:rPr>
          <w:b w:val="false"/>
          <w:bCs w:val="false"/>
        </w:rPr>
        <w:t xml:space="preserve">The project starts on a </w:t>
      </w:r>
      <w:r>
        <w:rPr>
          <w:b/>
          <w:bCs/>
        </w:rPr>
        <w:t xml:space="preserve">free Apple personal team</w:t>
      </w:r>
      <w:r>
        <w:rPr>
          <w:b w:val="false"/>
          <w:bCs w:val="false"/>
        </w:rPr>
        <w:t xml:space="preserve">, which costs nothing and is sufficient for the whole of v1. The Apple Developer Program membership is deferred until v2 needs it.</w:t>
      </w:r>
    </w:p>
    <w:p>
      <w:pPr>
        <w:spacing w:after="100" w:before="180"/>
      </w:pPr>
      <w:r>
        <w:rPr>
          <w:b/>
          <w:bCs/>
          <w:color w:val="1F4D78"/>
        </w:rPr>
        <w:t xml:space="preserve">What a free personal team permits</w:t>
      </w:r>
    </w:p>
    <w:p>
      <w:pPr>
        <w:pStyle w:val="ListParagraph"/>
        <w:numPr>
          <w:ilvl w:val="0"/>
          <w:numId w:val="2"/>
        </w:numPr>
        <w:spacing w:after="80" w:line="276"/>
      </w:pPr>
      <w:r>
        <w:rPr>
          <w:b w:val="false"/>
          <w:bCs w:val="false"/>
        </w:rPr>
        <w:t xml:space="preserve">Building and installing on the developer's own device.</w:t>
      </w:r>
    </w:p>
    <w:p>
      <w:pPr>
        <w:pStyle w:val="ListParagraph"/>
        <w:numPr>
          <w:ilvl w:val="0"/>
          <w:numId w:val="2"/>
        </w:numPr>
        <w:spacing w:after="80" w:line="276"/>
      </w:pPr>
      <w:r>
        <w:rPr>
          <w:b/>
          <w:bCs/>
        </w:rPr>
        <w:t xml:space="preserve">CoreBluetooth, including the </w:t>
      </w:r>
      <w:r>
        <w:rPr>
          <w:rFonts w:ascii="Consolas" w:cs="Consolas" w:eastAsia="Consolas" w:hAnsi="Consolas"/>
          <w:b/>
          <w:bCs/>
          <w:sz w:val="19"/>
          <w:szCs w:val="19"/>
        </w:rPr>
        <w:t xml:space="preserve">bluetooth-central</w:t>
      </w:r>
      <w:r>
        <w:rPr>
          <w:b/>
          <w:bCs/>
        </w:rPr>
        <w:t xml:space="preserve"> background mode</w:t>
      </w:r>
      <w:r>
        <w:rPr>
          <w:b w:val="false"/>
          <w:bCs w:val="false"/>
        </w:rPr>
        <w:t xml:space="preserve"> — background modes are Info.plist declarations, not portal-registered entitlements. The entire live data path works.</w:t>
      </w:r>
    </w:p>
    <w:p>
      <w:pPr>
        <w:pStyle w:val="ListParagraph"/>
        <w:numPr>
          <w:ilvl w:val="0"/>
          <w:numId w:val="2"/>
        </w:numPr>
        <w:spacing w:after="80" w:line="276"/>
      </w:pPr>
      <w:r>
        <w:rPr>
          <w:b/>
          <w:bCs/>
        </w:rPr>
        <w:t xml:space="preserve">HealthKit</w:t>
      </w:r>
      <w:r>
        <w:rPr>
          <w:b w:val="false"/>
          <w:bCs w:val="false"/>
        </w:rPr>
        <w:t xml:space="preserve">, for personal use on your own device. The backfill path works.</w:t>
      </w:r>
    </w:p>
    <w:p>
      <w:pPr>
        <w:pStyle w:val="ListParagraph"/>
        <w:numPr>
          <w:ilvl w:val="0"/>
          <w:numId w:val="2"/>
        </w:numPr>
        <w:spacing w:after="80" w:line="276"/>
      </w:pPr>
      <w:r>
        <w:rPr>
          <w:b w:val="false"/>
          <w:bCs w:val="false"/>
        </w:rPr>
        <w:t xml:space="preserve">SwiftData, Swift Charts, local notifications, and the whole v1 UI.</w:t>
      </w:r>
    </w:p>
    <w:p>
      <w:pPr>
        <w:spacing w:after="100" w:before="180"/>
      </w:pPr>
      <w:r>
        <w:rPr>
          <w:b/>
          <w:bCs/>
          <w:color w:val="1F4D78"/>
        </w:rPr>
        <w:t xml:space="preserve">What it does not permit</w:t>
      </w:r>
    </w:p>
    <w:p>
      <w:pPr>
        <w:pStyle w:val="ListParagraph"/>
        <w:numPr>
          <w:ilvl w:val="0"/>
          <w:numId w:val="2"/>
        </w:numPr>
        <w:spacing w:after="80" w:line="276"/>
      </w:pPr>
      <w:r>
        <w:rPr>
          <w:b/>
          <w:bCs/>
        </w:rPr>
        <w:t xml:space="preserve">App Groups.</w:t>
      </w:r>
      <w:r>
        <w:rPr>
          <w:b w:val="false"/>
          <w:bCs w:val="false"/>
        </w:rPr>
        <w:t xml:space="preserve"> This is the binding constraint: without a shared container, a widget extension cannot read the app's store. It gates §3.2.4's glanceable surfaces.</w:t>
      </w:r>
    </w:p>
    <w:p>
      <w:pPr>
        <w:pStyle w:val="ListParagraph"/>
        <w:numPr>
          <w:ilvl w:val="0"/>
          <w:numId w:val="2"/>
        </w:numPr>
        <w:spacing w:after="80" w:line="276"/>
      </w:pPr>
      <w:r>
        <w:rPr>
          <w:b/>
          <w:bCs/>
        </w:rPr>
        <w:t xml:space="preserve">Push notifications, CloudKit, Sign in with Apple, TestFlight.</w:t>
      </w:r>
      <w:r>
        <w:rPr>
          <w:b w:val="false"/>
          <w:bCs w:val="false"/>
        </w:rPr>
        <w:t xml:space="preserve"> None are needed for v1; CloudKit is a v3 concern.</w:t>
      </w:r>
    </w:p>
    <w:p>
      <w:pPr>
        <w:pStyle w:val="ListParagraph"/>
        <w:numPr>
          <w:ilvl w:val="0"/>
          <w:numId w:val="2"/>
        </w:numPr>
        <w:spacing w:after="80" w:line="276"/>
      </w:pPr>
      <w:r>
        <w:rPr>
          <w:b/>
          <w:bCs/>
        </w:rPr>
        <w:t xml:space="preserve">Longevity.</w:t>
      </w:r>
      <w:r>
        <w:rPr>
          <w:b w:val="false"/>
          <w:bCs w:val="false"/>
        </w:rPr>
        <w:t xml:space="preserve"> Provisioning profiles and App IDs expire </w:t>
      </w:r>
      <w:r>
        <w:rPr>
          <w:b/>
          <w:bCs/>
        </w:rPr>
        <w:t xml:space="preserve">after 7 days</w:t>
      </w:r>
      <w:r>
        <w:rPr>
          <w:b w:val="false"/>
          <w:bCs w:val="false"/>
        </w:rPr>
        <w:t xml:space="preserve">. The app stops launching until rebuilt from Xcode with the phone attached or on the same network — roughly a two-minute operation, but one that must actually be remembered.</w:t>
      </w:r>
    </w:p>
    <w:p>
      <w:pPr>
        <w:pStyle w:val="ListParagraph"/>
        <w:numPr>
          <w:ilvl w:val="0"/>
          <w:numId w:val="2"/>
        </w:numPr>
        <w:spacing w:after="80" w:line="276"/>
      </w:pPr>
      <w:r>
        <w:rPr>
          <w:b/>
          <w:bCs/>
        </w:rPr>
        <w:t xml:space="preserve">Certificate expiry is separate from profile expiry, and fails confusingly.</w:t>
      </w:r>
      <w:r>
        <w:rPr>
          <w:b w:val="false"/>
          <w:bCs w:val="false"/>
        </w:rPr>
        <w:t xml:space="preserve"> The signing certificate lasts a year; the provisioning profile lasts 7 days. An expired *certificate* presents on-device as “Unable to Verify App”, which is indistinguishable from a network failure and cannot be resolved by trusting, reinstalling, or changing networks. Diagnose by checking the certificate's </w:t>
      </w:r>
      <w:r>
        <w:rPr>
          <w:rFonts w:ascii="Consolas" w:cs="Consolas" w:eastAsia="Consolas" w:hAnsi="Consolas"/>
          <w:b w:val="false"/>
          <w:bCs w:val="false"/>
          <w:sz w:val="19"/>
          <w:szCs w:val="19"/>
        </w:rPr>
        <w:t xml:space="preserve">notAfter</w:t>
      </w:r>
      <w:r>
        <w:rPr>
          <w:b w:val="false"/>
          <w:bCs w:val="false"/>
        </w:rPr>
        <w:t xml:space="preserve"> date directly rather than trusting </w:t>
      </w:r>
      <w:r>
        <w:rPr>
          <w:rFonts w:ascii="Consolas" w:cs="Consolas" w:eastAsia="Consolas" w:hAnsi="Consolas"/>
          <w:b w:val="false"/>
          <w:bCs w:val="false"/>
          <w:sz w:val="19"/>
          <w:szCs w:val="19"/>
        </w:rPr>
        <w:t xml:space="preserve">security find-identity</w:t>
      </w:r>
      <w:r>
        <w:rPr>
          <w:b w:val="false"/>
          <w:bCs w:val="false"/>
        </w:rPr>
        <w:t xml:space="preserve">, which reports expired certificates as valid and lets </w:t>
      </w:r>
      <w:r>
        <w:rPr>
          <w:rFonts w:ascii="Consolas" w:cs="Consolas" w:eastAsia="Consolas" w:hAnsi="Consolas"/>
          <w:b w:val="false"/>
          <w:bCs w:val="false"/>
          <w:sz w:val="19"/>
          <w:szCs w:val="19"/>
        </w:rPr>
        <w:t xml:space="preserve">codesign</w:t>
      </w:r>
      <w:r>
        <w:rPr>
          <w:b w:val="false"/>
          <w:bCs w:val="false"/>
        </w:rPr>
        <w:t xml:space="preserve"> sign with them happily. The fix is to delete the identity and let Xcode issue a new one; the stale certificate must also be removed, since a new certificate sharing its Common Name collides with the device's existing trust record and produces “unable to trust”.</w:t>
      </w:r>
    </w:p>
    <w:p>
      <w:pPr>
        <w:pStyle w:val="ListParagraph"/>
        <w:numPr>
          <w:ilvl w:val="0"/>
          <w:numId w:val="2"/>
        </w:numPr>
        <w:spacing w:after="80" w:line="276"/>
      </w:pPr>
      <w:r>
        <w:rPr>
          <w:b w:val="false"/>
          <w:bCs w:val="false"/>
        </w:rPr>
        <w:t xml:space="preserve">Limits of 3 apps per device, 3 devices, and 10 App IDs per 7 days. Comfortable for one app; the App ID limit is worth knowing before creating extensions casually.</w:t>
      </w:r>
    </w:p>
    <w:p>
      <w:pPr>
        <w:spacing w:after="100" w:before="180"/>
      </w:pPr>
      <w:r>
        <w:rPr>
          <w:b/>
          <w:bCs/>
          <w:color w:val="1F4D78"/>
        </w:rPr>
        <w:t xml:space="preserve">Consequence for the roadmap</w:t>
      </w:r>
    </w:p>
    <w:p>
      <w:pPr>
        <w:spacing w:after="120" w:line="276"/>
      </w:pPr>
      <w:r>
        <w:rPr>
          <w:b/>
          <w:bCs/>
        </w:rPr>
        <w:t xml:space="preserve">Phases 0 through 8 — everything through v2 prediction — run on a free personal team.</w:t>
      </w:r>
      <w:r>
        <w:rPr>
          <w:b w:val="false"/>
          <w:bCs w:val="false"/>
        </w:rPr>
        <w:t xml:space="preserve"> Only Phase 9 (glanceable surfaces) requires the paid membership, because Live Activities and widgets need App Groups to read shared data.</w:t>
      </w:r>
    </w:p>
    <w:p>
      <w:pPr>
        <w:spacing w:after="120" w:line="276"/>
      </w:pPr>
      <w:r>
        <w:rPr>
          <w:b w:val="false"/>
          <w:bCs w:val="false"/>
        </w:rPr>
        <w:t xml:space="preserve">This ordering is deliberate. By the time the $99 decision arrives, the app will have been in daily use for weeks and its value will be established rather than hypothetical. The weekly rebuild is the price of deferring that decision, and it is a fair one.</w:t>
      </w:r>
    </w:p>
    <w:p>
      <w:pPr>
        <w:pBdr>
          <w:left w:val="single" w:color="BFD3E6" w:sz="12" w:space="8"/>
        </w:pBdr>
        <w:spacing w:after="160" w:line="260"/>
        <w:ind w:left="180"/>
      </w:pPr>
      <w:r>
        <w:rPr>
          <w:b w:val="false"/>
          <w:bCs w:val="false"/>
          <w:i/>
          <w:iCs/>
          <w:color w:val="595959"/>
          <w:sz w:val="20"/>
          <w:szCs w:val="20"/>
        </w:rPr>
        <w:t xml:space="preserve">The 7-day expiry has a specific failure mode worth naming: an expired profile means the app will not launch at 3am. This is an inconvenience rather than a safety problem, because the official Dexcom app is unaffected and remains the alarm source (§1.3). Rebuilding on a fixed weekly rhythm — same evening each week — is the mitigation.</w:t>
      </w:r>
    </w:p>
    <w:p>
      <w:pPr>
        <w:pStyle w:val="Heading2"/>
        <w:spacing w:after="140" w:before="280"/>
      </w:pPr>
      <w:r>
        <w:rPr>
          <w:b w:val="false"/>
          <w:bCs w:val="false"/>
        </w:rPr>
        <w:t xml:space="preserve">6.2 Privacy &amp; Security</w:t>
      </w:r>
    </w:p>
    <w:p>
      <w:pPr>
        <w:pStyle w:val="ListParagraph"/>
        <w:numPr>
          <w:ilvl w:val="0"/>
          <w:numId w:val="2"/>
        </w:numPr>
        <w:spacing w:after="80" w:line="276"/>
      </w:pPr>
      <w:r>
        <w:rPr>
          <w:b w:val="false"/>
          <w:bCs w:val="false"/>
        </w:rPr>
        <w:t xml:space="preserve">All glucose data is stored locally on device.</w:t>
      </w:r>
    </w:p>
    <w:p>
      <w:pPr>
        <w:pStyle w:val="ListParagraph"/>
        <w:numPr>
          <w:ilvl w:val="0"/>
          <w:numId w:val="2"/>
        </w:numPr>
        <w:spacing w:after="80" w:line="276"/>
      </w:pPr>
      <w:r>
        <w:rPr>
          <w:b/>
          <w:bCs/>
        </w:rPr>
        <w:t xml:space="preserve">v1 makes no network requests at all.</w:t>
      </w:r>
      <w:r>
        <w:rPr>
          <w:b w:val="false"/>
          <w:bCs w:val="false"/>
        </w:rPr>
        <w:t xml:space="preserve"> With BLE primary and HealthKit local, there is no server in the picture — not Dexcom's, not anyone's. This is a stronger privacy position than either earlier revision could claim, and it removes an entire class of failure and exposure.</w:t>
      </w:r>
    </w:p>
    <w:p>
      <w:pPr>
        <w:pStyle w:val="ListParagraph"/>
        <w:numPr>
          <w:ilvl w:val="0"/>
          <w:numId w:val="2"/>
        </w:numPr>
        <w:spacing w:after="80" w:line="276"/>
      </w:pPr>
      <w:r>
        <w:rPr>
          <w:b/>
          <w:bCs/>
        </w:rPr>
        <w:t xml:space="preserve">v1 stores no credentials.</w:t>
      </w:r>
      <w:r>
        <w:rPr>
          <w:b w:val="false"/>
          <w:bCs w:val="false"/>
        </w:rPr>
        <w:t xml:space="preserve"> The Keychain requirement arrives only if the optional Share fallback (§4.2.4) is built. Should it be, use </w:t>
      </w:r>
      <w:r>
        <w:rPr>
          <w:rFonts w:ascii="Consolas" w:cs="Consolas" w:eastAsia="Consolas" w:hAnsi="Consolas"/>
          <w:b w:val="false"/>
          <w:bCs w:val="false"/>
          <w:sz w:val="19"/>
          <w:szCs w:val="19"/>
        </w:rPr>
        <w:t xml:space="preserve">kSecAttrAccessibleAfterFirstUnlockThisDeviceOnly</w:t>
      </w:r>
      <w:r>
        <w:rPr>
          <w:b w:val="false"/>
          <w:bCs w:val="false"/>
        </w:rPr>
        <w:t xml:space="preserve"> — not </w:t>
      </w:r>
      <w:r>
        <w:rPr>
          <w:rFonts w:ascii="Consolas" w:cs="Consolas" w:eastAsia="Consolas" w:hAnsi="Consolas"/>
          <w:b w:val="false"/>
          <w:bCs w:val="false"/>
          <w:sz w:val="19"/>
          <w:szCs w:val="19"/>
        </w:rPr>
        <w:t xml:space="preserve">WhenUnlocked</w:t>
      </w:r>
      <w:r>
        <w:rPr>
          <w:b w:val="false"/>
          <w:bCs w:val="false"/>
        </w:rPr>
        <w:t xml:space="preserve">, which would make the item unreadable during background operation and after reboot.</w:t>
      </w:r>
    </w:p>
    <w:p>
      <w:pPr>
        <w:pStyle w:val="ListParagraph"/>
        <w:numPr>
          <w:ilvl w:val="0"/>
          <w:numId w:val="2"/>
        </w:numPr>
        <w:spacing w:after="80" w:line="276"/>
      </w:pPr>
      <w:r>
        <w:rPr>
          <w:b/>
          <w:bCs/>
        </w:rPr>
        <w:t xml:space="preserve">HealthKit data handling:</w:t>
      </w:r>
      <w:r>
        <w:rPr>
          <w:b w:val="false"/>
          <w:bCs w:val="false"/>
        </w:rPr>
        <w:t xml:space="preserve"> read-only, minimum types, context types requested separately. HealthKit values never leave the device, never appear in the diagnostic log, and are excluded from any crash payload.</w:t>
      </w:r>
    </w:p>
    <w:p>
      <w:pPr>
        <w:pStyle w:val="ListParagraph"/>
        <w:numPr>
          <w:ilvl w:val="0"/>
          <w:numId w:val="2"/>
        </w:numPr>
        <w:spacing w:after="80" w:line="276"/>
      </w:pPr>
      <w:r>
        <w:rPr>
          <w:b/>
          <w:bCs/>
        </w:rPr>
        <w:t xml:space="preserve">No analytics SDKs. No third-party crash reporters.</w:t>
      </w:r>
      <w:r>
        <w:rPr>
          <w:b w:val="false"/>
          <w:bCs w:val="false"/>
        </w:rPr>
        <w:t xml:space="preserve"> Diagnostics are a local-only log with a manual copy action; glucose values are redacted from it.</w:t>
      </w:r>
    </w:p>
    <w:p>
      <w:pPr>
        <w:pStyle w:val="ListParagraph"/>
        <w:numPr>
          <w:ilvl w:val="0"/>
          <w:numId w:val="2"/>
        </w:numPr>
        <w:spacing w:after="80" w:line="276"/>
      </w:pPr>
      <w:r>
        <w:rPr>
          <w:b/>
          <w:bCs/>
        </w:rPr>
        <w:t xml:space="preserve">Photos</w:t>
      </w:r>
      <w:r>
        <w:rPr>
          <w:b w:val="false"/>
          <w:bCs w:val="false"/>
        </w:rPr>
        <w:t xml:space="preserve"> attached to meals stay in the app sandbox and are never uploaded. Excluded from CSV/JSON export by default, with an opt-in.</w:t>
      </w:r>
    </w:p>
    <w:p>
      <w:pPr>
        <w:pStyle w:val="ListParagraph"/>
        <w:numPr>
          <w:ilvl w:val="0"/>
          <w:numId w:val="2"/>
        </w:numPr>
        <w:spacing w:after="80" w:line="276"/>
      </w:pPr>
      <w:r>
        <w:rPr>
          <w:b/>
          <w:bCs/>
        </w:rPr>
        <w:t xml:space="preserve">Exports leave the sandbox by user action only</w:t>
      </w:r>
      <w:r>
        <w:rPr>
          <w:b w:val="false"/>
          <w:bCs w:val="false"/>
        </w:rPr>
        <w:t xml:space="preserve">, through the share sheet. The file contains complete medical history and is labelled as such at the moment of sharing.</w:t>
      </w:r>
    </w:p>
    <w:p>
      <w:pPr>
        <w:pStyle w:val="ListParagraph"/>
        <w:numPr>
          <w:ilvl w:val="0"/>
          <w:numId w:val="2"/>
        </w:numPr>
        <w:spacing w:after="80" w:line="276"/>
      </w:pPr>
      <w:r>
        <w:rPr>
          <w:b/>
          <w:bCs/>
        </w:rPr>
        <w:t xml:space="preserve">iCloud sync (v3)</w:t>
      </w:r>
      <w:r>
        <w:rPr>
          <w:b w:val="false"/>
          <w:bCs w:val="false"/>
        </w:rPr>
        <w:t xml:space="preserve"> uses the CloudKit private database, encrypted by Apple. Opt-in, and disabling it offers deletion of the cloud copy.</w:t>
      </w:r>
    </w:p>
    <w:p>
      <w:pPr>
        <w:pStyle w:val="ListParagraph"/>
        <w:numPr>
          <w:ilvl w:val="0"/>
          <w:numId w:val="2"/>
        </w:numPr>
        <w:spacing w:after="80" w:line="276"/>
      </w:pPr>
      <w:r>
        <w:rPr>
          <w:b/>
          <w:bCs/>
        </w:rPr>
        <w:t xml:space="preserve">No passcode gate on launch</w:t>
      </w:r>
      <w:r>
        <w:rPr>
          <w:b w:val="false"/>
          <w:bCs w:val="false"/>
        </w:rPr>
        <w:t xml:space="preserve"> — a glucose check must not be gated behind authentication at 3am. Optional Face ID gating covers the log and export screens only.</w:t>
      </w:r>
    </w:p>
    <w:p>
      <w:pPr>
        <w:pStyle w:val="Heading1"/>
        <w:spacing w:after="160" w:before="360"/>
      </w:pPr>
      <w:r>
        <w:rPr>
          <w:b w:val="false"/>
          <w:bCs w:val="false"/>
        </w:rPr>
        <w:t xml:space="preserve">7. Build Roadmap</w:t>
      </w:r>
    </w:p>
    <w:p>
      <w:pPr>
        <w:spacing w:after="120" w:line="276"/>
      </w:pPr>
      <w:r>
        <w:rPr>
          <w:b w:val="false"/>
          <w:bCs w:val="false"/>
        </w:rPr>
        <w:t xml:space="preserve">Estimates assume one developer working evenings and weekends. Phases 0 to 8 run on a free personal team; only Phase 9 needs the paid membership (§6.1).</w:t>
      </w:r>
    </w:p>
    <w:p>
      <w:pPr>
        <w:pBdr>
          <w:left w:val="single" w:color="BFD3E6" w:sz="12" w:space="8"/>
        </w:pBdr>
        <w:spacing w:after="160" w:line="260"/>
        <w:ind w:left="180"/>
      </w:pPr>
      <w:r>
        <w:rPr>
          <w:b w:val="false"/>
          <w:bCs w:val="false"/>
          <w:i/>
          <w:iCs/>
          <w:color w:val="595959"/>
          <w:sz w:val="20"/>
          <w:szCs w:val="20"/>
        </w:rPr>
        <w:t xml:space="preserve">Status as of v1.6: </w:t>
      </w:r>
      <w:r>
        <w:rPr>
          <w:b/>
          <w:bCs/>
          <w:i/>
          <w:iCs/>
          <w:color w:val="595959"/>
          <w:sz w:val="20"/>
          <w:szCs w:val="20"/>
        </w:rPr>
        <w:t xml:space="preserve">v1 is feature-complete.</w:t>
      </w:r>
      <w:r>
        <w:rPr>
          <w:b w:val="false"/>
          <w:bCs w:val="false"/>
          <w:i/>
          <w:iCs/>
          <w:color w:val="595959"/>
          <w:sz w:val="20"/>
          <w:szCs w:val="20"/>
        </w:rPr>
        <w:t xml:space="preserve"> Phases 0 to 6 are done. The app is in daily use on device with 89 days of history, 150 passing tests, and no known defects. What remains before the v1 milestone is Phase 7 — living with it, and fixing what that surfaces.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400"/>
        <w:gridCol w:w="3500"/>
        <w:gridCol w:w="1300"/>
        <w:gridCol w:w="3160"/>
      </w:tblGrid>
      <w:tr>
        <w:trPr>
          <w:tblHeader/>
        </w:trPr>
        <w:tc>
          <w:tcPr>
            <w:tcW w:type="dxa" w:w="1400"/>
            <w:shd w:fill="DEEAF6" w:color="auto" w:val="clear"/>
            <w:tcMar>
              <w:top w:type="dxa" w:w="60"/>
              <w:left w:type="dxa" w:w="100"/>
              <w:bottom w:type="dxa" w:w="60"/>
              <w:right w:type="dxa" w:w="100"/>
            </w:tcMar>
          </w:tcPr>
          <w:p>
            <w:pPr>
              <w:spacing w:after="0" w:line="250"/>
            </w:pPr>
            <w:r>
              <w:rPr>
                <w:b/>
                <w:bCs/>
                <w:sz w:val="20"/>
                <w:szCs w:val="20"/>
              </w:rPr>
              <w:t xml:space="preserve">Phase</w:t>
            </w:r>
          </w:p>
        </w:tc>
        <w:tc>
          <w:tcPr>
            <w:tcW w:type="dxa" w:w="3500"/>
            <w:shd w:fill="DEEAF6" w:color="auto" w:val="clear"/>
            <w:tcMar>
              <w:top w:type="dxa" w:w="60"/>
              <w:left w:type="dxa" w:w="100"/>
              <w:bottom w:type="dxa" w:w="60"/>
              <w:right w:type="dxa" w:w="100"/>
            </w:tcMar>
          </w:tcPr>
          <w:p>
            <w:pPr>
              <w:spacing w:after="0" w:line="250"/>
            </w:pPr>
            <w:r>
              <w:rPr>
                <w:b/>
                <w:bCs/>
                <w:sz w:val="20"/>
                <w:szCs w:val="20"/>
              </w:rPr>
              <w:t xml:space="preserve">Scope</w:t>
            </w:r>
          </w:p>
        </w:tc>
        <w:tc>
          <w:tcPr>
            <w:tcW w:type="dxa" w:w="1300"/>
            <w:shd w:fill="DEEAF6" w:color="auto" w:val="clear"/>
            <w:tcMar>
              <w:top w:type="dxa" w:w="60"/>
              <w:left w:type="dxa" w:w="100"/>
              <w:bottom w:type="dxa" w:w="60"/>
              <w:right w:type="dxa" w:w="100"/>
            </w:tcMar>
          </w:tcPr>
          <w:p>
            <w:pPr>
              <w:spacing w:after="0" w:line="250"/>
            </w:pPr>
            <w:r>
              <w:rPr>
                <w:b/>
                <w:bCs/>
                <w:sz w:val="20"/>
                <w:szCs w:val="20"/>
              </w:rPr>
              <w:t xml:space="preserve">Status</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Exit Criteria</w:t>
            </w:r>
          </w:p>
        </w:tc>
      </w:tr>
      <w:tr>
        <w:tc>
          <w:tcPr>
            <w:tcW w:type="dxa" w:w="1400"/>
            <w:tcMar>
              <w:top w:type="dxa" w:w="60"/>
              <w:left w:type="dxa" w:w="100"/>
              <w:bottom w:type="dxa" w:w="60"/>
              <w:right w:type="dxa" w:w="100"/>
            </w:tcMar>
          </w:tcPr>
          <w:p>
            <w:pPr>
              <w:spacing w:after="0" w:line="250"/>
            </w:pPr>
            <w:r>
              <w:rPr>
                <w:b w:val="false"/>
                <w:bCs w:val="false"/>
                <w:sz w:val="20"/>
                <w:szCs w:val="20"/>
              </w:rPr>
              <w:t xml:space="preserve">0. Setup</w:t>
            </w:r>
          </w:p>
        </w:tc>
        <w:tc>
          <w:tcPr>
            <w:tcW w:type="dxa" w:w="3500"/>
            <w:tcMar>
              <w:top w:type="dxa" w:w="60"/>
              <w:left w:type="dxa" w:w="100"/>
              <w:bottom w:type="dxa" w:w="60"/>
              <w:right w:type="dxa" w:w="100"/>
            </w:tcMar>
          </w:tcPr>
          <w:p>
            <w:pPr>
              <w:spacing w:after="0" w:line="250"/>
            </w:pPr>
            <w:r>
              <w:rPr>
                <w:b w:val="false"/>
                <w:bCs w:val="false"/>
                <w:sz w:val="20"/>
                <w:szCs w:val="20"/>
              </w:rPr>
              <w:t xml:space="preserve">Xcode project, free personal-team signing, test target.</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Builds and runs on device.</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1. BLE spike</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Determine whether a third app can read the sensor alongside the official app.</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Done — negative</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Answered definitively: it cannot (§3.1.1).</w:t>
            </w:r>
          </w:p>
        </w:tc>
      </w:tr>
      <w:tr>
        <w:tc>
          <w:tcPr>
            <w:tcW w:type="dxa" w:w="1400"/>
            <w:tcMar>
              <w:top w:type="dxa" w:w="60"/>
              <w:left w:type="dxa" w:w="100"/>
              <w:bottom w:type="dxa" w:w="60"/>
              <w:right w:type="dxa" w:w="100"/>
            </w:tcMar>
          </w:tcPr>
          <w:p>
            <w:pPr>
              <w:spacing w:after="0" w:line="250"/>
            </w:pPr>
            <w:r>
              <w:rPr>
                <w:b w:val="false"/>
                <w:bCs w:val="false"/>
                <w:sz w:val="20"/>
                <w:szCs w:val="20"/>
              </w:rPr>
              <w:t xml:space="preserve">2. Share client</w:t>
            </w:r>
          </w:p>
        </w:tc>
        <w:tc>
          <w:tcPr>
            <w:tcW w:type="dxa" w:w="3500"/>
            <w:tcMar>
              <w:top w:type="dxa" w:w="60"/>
              <w:left w:type="dxa" w:w="100"/>
              <w:bottom w:type="dxa" w:w="60"/>
              <w:right w:type="dxa" w:w="100"/>
            </w:tcMar>
          </w:tcPr>
          <w:p>
            <w:pPr>
              <w:spacing w:after="0" w:line="250"/>
            </w:pPr>
            <w:r>
              <w:rPr>
                <w:b w:val="false"/>
                <w:bCs w:val="false"/>
                <w:sz w:val="20"/>
                <w:szCs w:val="20"/>
              </w:rPr>
              <w:t xml:space="preserve">Two-step auth, session refresh, parsing, terminal-vs-transient errors, Keychain, sensor-anchored polling, units.</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Live readings matching the official app.</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 Persistence</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Versioned schema, @ModelActor store, upsert, adaptive gap-filling window, migration test.</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Done</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History survives relaunch and a V1→V2 migration with no loss.</w:t>
            </w:r>
          </w:p>
        </w:tc>
      </w:tr>
      <w:tr>
        <w:tc>
          <w:tcPr>
            <w:tcW w:type="dxa" w:w="1400"/>
            <w:tcMar>
              <w:top w:type="dxa" w:w="60"/>
              <w:left w:type="dxa" w:w="100"/>
              <w:bottom w:type="dxa" w:w="60"/>
              <w:right w:type="dxa" w:w="100"/>
            </w:tcMar>
          </w:tcPr>
          <w:p>
            <w:pPr>
              <w:spacing w:after="0" w:line="250"/>
            </w:pPr>
            <w:r>
              <w:rPr>
                <w:b w:val="false"/>
                <w:bCs w:val="false"/>
                <w:sz w:val="20"/>
                <w:szCs w:val="20"/>
              </w:rPr>
              <w:t xml:space="preserve">4. v1 UI</w:t>
            </w:r>
          </w:p>
        </w:tc>
        <w:tc>
          <w:tcPr>
            <w:tcW w:type="dxa" w:w="3500"/>
            <w:tcMar>
              <w:top w:type="dxa" w:w="60"/>
              <w:left w:type="dxa" w:w="100"/>
              <w:bottom w:type="dxa" w:w="60"/>
              <w:right w:type="dxa" w:w="100"/>
            </w:tcMar>
          </w:tcPr>
          <w:p>
            <w:pPr>
              <w:spacing w:after="0" w:line="250"/>
            </w:pPr>
            <w:r>
              <w:rPr>
                <w:b w:val="false"/>
                <w:bCs w:val="false"/>
                <w:sz w:val="20"/>
                <w:szCs w:val="20"/>
              </w:rPr>
              <w:t xml:space="preserve">Chart with seven windows, target band, gap-aware lines, downsampling. Four themes, Bedside Mode, settings.</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Daily-usable as a dark-mode G7 display.</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5. Statistics &amp; history</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Five-band TIR, CV, GMI gating, coverage, HealthKit 90-day backfill.</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Done</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25,775 readings imported; 30-day window and GMI meaningful.</w:t>
            </w:r>
          </w:p>
        </w:tc>
      </w:tr>
      <w:tr>
        <w:tc>
          <w:tcPr>
            <w:tcW w:type="dxa" w:w="1400"/>
            <w:tcMar>
              <w:top w:type="dxa" w:w="60"/>
              <w:left w:type="dxa" w:w="100"/>
              <w:bottom w:type="dxa" w:w="60"/>
              <w:right w:type="dxa" w:w="100"/>
            </w:tcMar>
          </w:tcPr>
          <w:p>
            <w:pPr>
              <w:spacing w:after="0" w:line="250"/>
            </w:pPr>
            <w:r>
              <w:rPr>
                <w:b w:val="false"/>
                <w:bCs w:val="false"/>
                <w:sz w:val="20"/>
                <w:szCs w:val="20"/>
              </w:rPr>
              <w:t xml:space="preserve">6. Export &amp; backup</w:t>
            </w:r>
          </w:p>
        </w:tc>
        <w:tc>
          <w:tcPr>
            <w:tcW w:type="dxa" w:w="3500"/>
            <w:tcMar>
              <w:top w:type="dxa" w:w="60"/>
              <w:left w:type="dxa" w:w="100"/>
              <w:bottom w:type="dxa" w:w="60"/>
              <w:right w:type="dxa" w:w="100"/>
            </w:tcMar>
          </w:tcPr>
          <w:p>
            <w:pPr>
              <w:spacing w:after="0" w:line="250"/>
            </w:pPr>
            <w:r>
              <w:rPr>
                <w:b w:val="false"/>
                <w:bCs w:val="false"/>
                <w:sz w:val="20"/>
                <w:szCs w:val="20"/>
              </w:rPr>
              <w:t xml:space="preserve">CSV, JSON backup with restore, Nightscout format.</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A backup restores cleanly and additively onto a fresh store.</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7. v1 self-test</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Daily use, including the weekly re-signing rhythm. Fix what surfaces.</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Next</w:t>
            </w:r>
            <w:r>
              <w:rPr>
                <w:b w:val="false"/>
                <w:bCs w:val="false"/>
                <w:sz w:val="20"/>
                <w:szCs w:val="20"/>
              </w:rPr>
              <w:t xml:space="preserve"> — 2 to 4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Opened in preference to the official app for routine checks. No staleness, freshness, or reconnection bugs in normal use.</w:t>
            </w:r>
          </w:p>
        </w:tc>
      </w:tr>
      <w:tr>
        <w:tc>
          <w:tcPr>
            <w:tcW w:type="dxa" w:w="1400"/>
            <w:tcMar>
              <w:top w:type="dxa" w:w="60"/>
              <w:left w:type="dxa" w:w="100"/>
              <w:bottom w:type="dxa" w:w="60"/>
              <w:right w:type="dxa" w:w="100"/>
            </w:tcMar>
          </w:tcPr>
          <w:p>
            <w:pPr>
              <w:spacing w:after="0" w:line="250"/>
            </w:pPr>
            <w:r>
              <w:rPr>
                <w:b w:val="false"/>
                <w:bCs w:val="false"/>
                <w:sz w:val="20"/>
                <w:szCs w:val="20"/>
              </w:rPr>
              <w:t xml:space="preserve">8. v2 logging &amp; prediction</w:t>
            </w:r>
          </w:p>
        </w:tc>
        <w:tc>
          <w:tcPr>
            <w:tcW w:type="dxa" w:w="3500"/>
            <w:tcMar>
              <w:top w:type="dxa" w:w="60"/>
              <w:left w:type="dxa" w:w="100"/>
              <w:bottom w:type="dxa" w:w="60"/>
              <w:right w:type="dxa" w:w="100"/>
            </w:tcMar>
          </w:tcPr>
          <w:p>
            <w:pPr>
              <w:spacing w:after="0" w:line="250"/>
            </w:pPr>
            <w:r>
              <w:rPr>
                <w:b w:val="false"/>
                <w:bCs w:val="false"/>
                <w:sz w:val="20"/>
                <w:szCs w:val="20"/>
              </w:rPr>
              <w:t xml:space="preserve">Event model, log UI, meal fingerprinting, IOB/COB, damped forecaster, backtesting harness.</w:t>
            </w:r>
          </w:p>
        </w:tc>
        <w:tc>
          <w:tcPr>
            <w:tcW w:type="dxa" w:w="1300"/>
            <w:tcMar>
              <w:top w:type="dxa" w:w="60"/>
              <w:left w:type="dxa" w:w="100"/>
              <w:bottom w:type="dxa" w:w="60"/>
              <w:right w:type="dxa" w:w="100"/>
            </w:tcMar>
          </w:tcPr>
          <w:p>
            <w:pPr>
              <w:spacing w:after="0" w:line="250"/>
            </w:pPr>
            <w:r>
              <w:rPr>
                <w:b w:val="false"/>
                <w:bCs w:val="false"/>
                <w:sz w:val="20"/>
                <w:szCs w:val="20"/>
              </w:rPr>
              <w:t xml:space="preserve">4 to 6 weeks</w:t>
            </w:r>
          </w:p>
        </w:tc>
        <w:tc>
          <w:tcPr>
            <w:tcW w:type="dxa" w:w="3160"/>
            <w:tcMar>
              <w:top w:type="dxa" w:w="60"/>
              <w:left w:type="dxa" w:w="100"/>
              <w:bottom w:type="dxa" w:w="60"/>
              <w:right w:type="dxa" w:w="100"/>
            </w:tcMar>
          </w:tcPr>
          <w:p>
            <w:pPr>
              <w:spacing w:after="0" w:line="250"/>
            </w:pPr>
            <w:r>
              <w:rPr>
                <w:b w:val="false"/>
                <w:bCs w:val="false"/>
                <w:sz w:val="20"/>
                <w:szCs w:val="20"/>
              </w:rPr>
              <w:t xml:space="preserve">Beats the persistence baseline by the §4.4 margins.</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9. Glanceable surfaces [paid]</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Developer Program enrolment, App Group, Live Activity, Watch complication, App Intents.</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Live surfaces stay within one poll cycle of the in-app value.</w:t>
            </w:r>
          </w:p>
        </w:tc>
      </w:tr>
      <w:tr>
        <w:tc>
          <w:tcPr>
            <w:tcW w:type="dxa" w:w="1400"/>
            <w:tcMar>
              <w:top w:type="dxa" w:w="60"/>
              <w:left w:type="dxa" w:w="100"/>
              <w:bottom w:type="dxa" w:w="60"/>
              <w:right w:type="dxa" w:w="100"/>
            </w:tcMar>
          </w:tcPr>
          <w:p>
            <w:pPr>
              <w:spacing w:after="0" w:line="250"/>
            </w:pPr>
            <w:r>
              <w:rPr>
                <w:b w:val="false"/>
                <w:bCs w:val="false"/>
                <w:sz w:val="20"/>
                <w:szCs w:val="20"/>
              </w:rPr>
              <w:t xml:space="preserve">10. v3</w:t>
            </w:r>
          </w:p>
        </w:tc>
        <w:tc>
          <w:tcPr>
            <w:tcW w:type="dxa" w:w="3500"/>
            <w:tcMar>
              <w:top w:type="dxa" w:w="60"/>
              <w:left w:type="dxa" w:w="100"/>
              <w:bottom w:type="dxa" w:w="60"/>
              <w:right w:type="dxa" w:w="100"/>
            </w:tcMar>
          </w:tcPr>
          <w:p>
            <w:pPr>
              <w:spacing w:after="0" w:line="250"/>
            </w:pPr>
            <w:r>
              <w:rPr>
                <w:b w:val="false"/>
                <w:bCs w:val="false"/>
                <w:sz w:val="20"/>
                <w:szCs w:val="20"/>
              </w:rPr>
              <w:t xml:space="preserve">AGP percentile bands and PDF, endo prep, widgets, HealthKit write-back, iCloud sync.</w:t>
            </w:r>
          </w:p>
        </w:tc>
        <w:tc>
          <w:tcPr>
            <w:tcW w:type="dxa" w:w="1300"/>
            <w:tcMar>
              <w:top w:type="dxa" w:w="60"/>
              <w:left w:type="dxa" w:w="100"/>
              <w:bottom w:type="dxa" w:w="60"/>
              <w:right w:type="dxa" w:w="100"/>
            </w:tcMar>
          </w:tcPr>
          <w:p>
            <w:pPr>
              <w:spacing w:after="0" w:line="250"/>
            </w:pPr>
            <w:r>
              <w:rPr>
                <w:b w:val="false"/>
                <w:bCs w:val="false"/>
                <w:sz w:val="20"/>
                <w:szCs w:val="20"/>
              </w:rPr>
              <w:t xml:space="preserve">Ongoing</w:t>
            </w:r>
          </w:p>
        </w:tc>
        <w:tc>
          <w:tcPr>
            <w:tcW w:type="dxa" w:w="3160"/>
            <w:tcMar>
              <w:top w:type="dxa" w:w="60"/>
              <w:left w:type="dxa" w:w="100"/>
              <w:bottom w:type="dxa" w:w="60"/>
              <w:right w:type="dxa" w:w="100"/>
            </w:tcMar>
          </w:tcPr>
          <w:p>
            <w:pPr>
              <w:spacing w:after="0" w:line="250"/>
            </w:pPr>
            <w:r>
              <w:rPr>
                <w:b w:val="false"/>
                <w:bCs w:val="false"/>
                <w:sz w:val="20"/>
                <w:szCs w:val="20"/>
              </w:rPr>
              <w:t xml:space="preserve">Each shipped as ready.</w:t>
            </w:r>
          </w:p>
        </w:tc>
      </w:tr>
    </w:tbl>
    <w:p>
      <w:pPr>
        <w:spacing w:after="100"/>
      </w:pPr>
    </w:p>
    <w:p>
      <w:pPr>
        <w:spacing w:after="120" w:line="276"/>
      </w:pPr>
      <w:r>
        <w:rPr>
          <w:b w:val="false"/>
          <w:bCs w:val="false"/>
        </w:rPr>
        <w:t xml:space="preserve">Seven phases in four evening sessions, against a v1.4 estimate of 6 to 11 weeks. The largest single saving was Phase 1 returning a negative result in two evenings rather than an architecture being discovered wrong weeks into building on it.</w:t>
      </w:r>
    </w:p>
    <w:p>
      <w:pPr>
        <w:spacing w:after="100" w:before="180"/>
      </w:pPr>
      <w:r>
        <w:rPr>
          <w:b/>
          <w:bCs/>
          <w:color w:val="1F4D78"/>
        </w:rPr>
        <w:t xml:space="preserve">Deferred from v1, deliberately</w:t>
      </w:r>
    </w:p>
    <w:p>
      <w:pPr>
        <w:pStyle w:val="ListParagraph"/>
        <w:numPr>
          <w:ilvl w:val="0"/>
          <w:numId w:val="2"/>
        </w:numPr>
        <w:spacing w:after="80" w:line="276"/>
      </w:pPr>
      <w:r>
        <w:rPr>
          <w:b/>
          <w:bCs/>
        </w:rPr>
        <w:t xml:space="preserve">AGP percentile bands</w:t>
      </w:r>
      <w:r>
        <w:rPr>
          <w:b w:val="false"/>
          <w:bCs w:val="false"/>
        </w:rPr>
        <w:t xml:space="preserve"> (§3.1.5) — the computation belongs in v1 by the original plan, but the statistics that matter day to day are shipped and the percentile chart serves the quarterly export more than daily use. Moved to Phase 10 with the PDF it feeds.</w:t>
      </w:r>
    </w:p>
    <w:p>
      <w:pPr>
        <w:pStyle w:val="ListParagraph"/>
        <w:numPr>
          <w:ilvl w:val="0"/>
          <w:numId w:val="2"/>
        </w:numPr>
        <w:spacing w:after="80" w:line="276"/>
      </w:pPr>
      <w:r>
        <w:rPr>
          <w:b/>
          <w:bCs/>
        </w:rPr>
        <w:t xml:space="preserve">Editable target range</w:t>
      </w:r>
      <w:r>
        <w:rPr>
          <w:b w:val="false"/>
          <w:bCs w:val="false"/>
        </w:rPr>
        <w:t xml:space="preserve"> (§3.1.6) — thresholds are currently fixed at consensus values. Editing the 70–180 band is reasonable; editing the Very Low and Very High boundaries is not, and the UI to make that distinction clear has not earned its place yet.</w:t>
      </w:r>
    </w:p>
    <w:p>
      <w:pPr>
        <w:pStyle w:val="Heading1"/>
        <w:spacing w:after="160" w:before="360"/>
      </w:pPr>
      <w:r>
        <w:rPr>
          <w:b w:val="false"/>
          <w:bCs w:val="false"/>
        </w:rPr>
        <w:t xml:space="preserve">8. Resolved Decisions</w:t>
      </w:r>
    </w:p>
    <w:p>
      <w:pPr>
        <w:pBdr>
          <w:left w:val="single" w:color="BFD3E6" w:sz="12" w:space="8"/>
        </w:pBdr>
        <w:spacing w:after="160" w:line="260"/>
        <w:ind w:left="180"/>
      </w:pPr>
      <w:r>
        <w:rPr>
          <w:b w:val="false"/>
          <w:bCs w:val="false"/>
          <w:i/>
          <w:iCs/>
          <w:color w:val="595959"/>
          <w:sz w:val="20"/>
          <w:szCs w:val="20"/>
        </w:rPr>
        <w:t xml:space="preserve">New in v1.2. These were §8 “Open Questions” in v1.1; each is now decided, with the reasoning recorded so it is not relitigated.</w:t>
      </w:r>
    </w:p>
    <w:p>
      <w:pPr>
        <w:spacing w:after="100" w:before="180"/>
      </w:pPr>
      <w:r>
        <w:rPr>
          <w:b/>
          <w:bCs/>
          <w:color w:val="1F4D78"/>
        </w:rPr>
        <w:t xml:space="preserve">Carbs: grams only, or also “meal size” (S/M/L)?</w:t>
      </w:r>
    </w:p>
    <w:p>
      <w:pPr>
        <w:spacing w:after="120" w:line="276"/>
      </w:pPr>
      <w:r>
        <w:rPr>
          <w:b/>
          <w:bCs/>
        </w:rPr>
        <w:t xml:space="preserve">Grams only.</w:t>
      </w:r>
      <w:r>
        <w:rPr>
          <w:b w:val="false"/>
          <w:bCs w:val="false"/>
        </w:rPr>
        <w:t xml:space="preserve"> S/M/L is a second unit system that would have to be reconciled with ICR arithmetic (§4.4) to produce a forecast, and any mapping from it to grams is a guess the user cannot inspect. The speed benefit S/M/L was meant to provide is delivered instead by a quick-pick row of the user's own recent and frequent gram entries, which is faster than a size picker and keeps the math exact.</w:t>
      </w:r>
    </w:p>
    <w:p>
      <w:pPr>
        <w:spacing w:after="100" w:before="180"/>
      </w:pPr>
      <w:r>
        <w:rPr>
          <w:b/>
          <w:bCs/>
          <w:color w:val="1F4D78"/>
        </w:rPr>
        <w:t xml:space="preserve">Insulin types: pre-seeded or free-text?</w:t>
      </w:r>
    </w:p>
    <w:p>
      <w:pPr>
        <w:spacing w:after="120" w:line="276"/>
      </w:pPr>
      <w:r>
        <w:rPr>
          <w:b/>
          <w:bCs/>
        </w:rPr>
        <w:t xml:space="preserve">Both, but neither is the point.</w:t>
      </w:r>
      <w:r>
        <w:rPr>
          <w:b w:val="false"/>
          <w:bCs w:val="false"/>
        </w:rPr>
        <w:t xml:space="preserve"> A short pre-seeded list is offered and free-text entry is allowed. What actually matters is the pair of curve parameters (peak, duration) each type carries, because that is the only property the IOB calculation consumes. Every type — seeded or user-created — maps to an editable peak/duration pair with the §4.4 defaults pre-filled. A brand name with no curve attached is decoration.</w:t>
      </w:r>
    </w:p>
    <w:p>
      <w:pPr>
        <w:spacing w:after="100" w:before="180"/>
      </w:pPr>
      <w:r>
        <w:rPr>
          <w:b/>
          <w:bCs/>
          <w:color w:val="1F4D78"/>
        </w:rPr>
        <w:t xml:space="preserve">Confidence band: ±1 SD or ±2 SD?</w:t>
      </w:r>
    </w:p>
    <w:p>
      <w:pPr>
        <w:spacing w:after="120" w:line="276"/>
      </w:pPr>
      <w:r>
        <w:rPr>
          <w:b/>
          <w:bCs/>
        </w:rPr>
        <w:t xml:space="preserve">Neither.</w:t>
      </w:r>
      <w:r>
        <w:rPr>
          <w:b w:val="false"/>
          <w:bCs w:val="false"/>
        </w:rPr>
        <w:t xml:space="preserve"> Both options assume forecast residuals are stationary and normally distributed. They are strongly heteroscedastic — errors are several times larger when glucose is moving fast than when it is flat, which is exactly when the band is consulted. GlucoNoir uses </w:t>
      </w:r>
      <w:r>
        <w:rPr>
          <w:b/>
          <w:bCs/>
        </w:rPr>
        <w:t xml:space="preserve">empirical 10th/90th percentiles of the app's own realised errors</w:t>
      </w:r>
      <w:r>
        <w:rPr>
          <w:b w:val="false"/>
          <w:bCs w:val="false"/>
        </w:rPr>
        <w:t xml:space="preserve"> at each horizon, backtested on the user's own data and recomputed weekly. It is no harder to compute, it needs no distributional assumption, and it widens automatically in the conditions where it should.</w:t>
      </w:r>
    </w:p>
    <w:p>
      <w:pPr>
        <w:spacing w:after="100" w:before="180"/>
      </w:pPr>
      <w:r>
        <w:rPr>
          <w:b/>
          <w:bCs/>
          <w:color w:val="1F4D78"/>
        </w:rPr>
        <w:t xml:space="preserve">Bedside Mode trigger: ambient light, time, or both?</w:t>
      </w:r>
    </w:p>
    <w:p>
      <w:pPr>
        <w:spacing w:after="120" w:line="276"/>
      </w:pPr>
      <w:r>
        <w:rPr>
          <w:b/>
          <w:bCs/>
        </w:rPr>
        <w:t xml:space="preserve">Schedule primary, ambient light as a modifier.</w:t>
      </w:r>
      <w:r>
        <w:rPr>
          <w:b w:val="false"/>
          <w:bCs w:val="false"/>
        </w:rPr>
        <w:t xml:space="preserve"> Pure ambient-light triggering flips modes when walking past a window or into a dark room mid-afternoon, and mode flapping is worse than either mode. The schedule decides whether Bedside Mode is eligible; ambient light within that window modulates the dimming opacity.</w:t>
      </w:r>
    </w:p>
    <w:p>
      <w:pPr>
        <w:spacing w:after="100" w:before="180"/>
      </w:pPr>
      <w:r>
        <w:rPr>
          <w:b/>
          <w:bCs/>
          <w:color w:val="1F4D78"/>
        </w:rPr>
        <w:t xml:space="preserve">v3 closed-loop integration?</w:t>
      </w:r>
    </w:p>
    <w:p>
      <w:pPr>
        <w:spacing w:after="120" w:line="276"/>
      </w:pPr>
      <w:r>
        <w:rPr>
          <w:b/>
          <w:bCs/>
        </w:rPr>
        <w:t xml:space="preserve">No — stay strictly observational, permanently.</w:t>
      </w:r>
      <w:r>
        <w:rPr>
          <w:b w:val="false"/>
          <w:bCs w:val="false"/>
        </w:rPr>
        <w:t xml:space="preserve"> v1.1 recommended this and the recommendation is upgraded to a non-goal (§1.2). The subtler risk worth naming: a prediction curve displayed adjacent to a dose entry field functions as dose guidance regardless of labelling. The §3.2.3 requirement that predictions and dose entry never share a screen region exists for this reason.</w:t>
      </w:r>
    </w:p>
    <w:p>
      <w:pPr>
        <w:pStyle w:val="Heading1"/>
        <w:spacing w:after="160" w:before="360"/>
      </w:pPr>
      <w:r>
        <w:rPr>
          <w:b w:val="false"/>
          <w:bCs w:val="false"/>
        </w:rPr>
        <w:t xml:space="preserve">9. Open Questions</w:t>
      </w:r>
    </w:p>
    <w:p>
      <w:pPr>
        <w:spacing w:after="120" w:line="276"/>
      </w:pPr>
      <w:r>
        <w:rPr>
          <w:b w:val="false"/>
          <w:bCs w:val="false"/>
        </w:rPr>
        <w:t xml:space="preserve">v1.3's first two questions are closed. Direct BLE does not work (§3.1.1). HealthKit's lag is a documented three hours, and the mechanism is unused.</w:t>
      </w:r>
    </w:p>
    <w:p>
      <w:pPr>
        <w:pStyle w:val="ListParagraph"/>
        <w:numPr>
          <w:ilvl w:val="0"/>
          <w:numId w:val="3"/>
        </w:numPr>
        <w:spacing w:after="80" w:line="276"/>
      </w:pPr>
      <w:r>
        <w:rPr>
          <w:b/>
          <w:bCs/>
        </w:rPr>
        <w:t xml:space="preserve">How often does the Share dependency chain actually break in normal use?</w:t>
      </w:r>
      <w:r>
        <w:rPr>
          <w:b w:val="false"/>
          <w:bCs w:val="false"/>
        </w:rPr>
        <w:t xml:space="preserve"> Overnight wifi drops, cloud hiccups, the official app failing to upload. Instrument during Phase 7 and record the real figure — it determines whether the §10 resilience criterion is realistic.</w:t>
      </w:r>
    </w:p>
    <w:p>
      <w:pPr>
        <w:pStyle w:val="ListParagraph"/>
        <w:numPr>
          <w:ilvl w:val="0"/>
          <w:numId w:val="3"/>
        </w:numPr>
        <w:spacing w:after="80" w:line="276"/>
      </w:pPr>
      <w:r>
        <w:rPr>
          <w:b/>
          <w:bCs/>
        </w:rPr>
        <w:t xml:space="preserve">Is background polling worth keeping at all?</w:t>
      </w:r>
      <w:r>
        <w:rPr>
          <w:b w:val="false"/>
          <w:bCs w:val="false"/>
        </w:rPr>
        <w:t xml:space="preserve"> If </w:t>
      </w:r>
      <w:r>
        <w:rPr>
          <w:rFonts w:ascii="Consolas" w:cs="Consolas" w:eastAsia="Consolas" w:hAnsi="Consolas"/>
          <w:b w:val="false"/>
          <w:bCs w:val="false"/>
          <w:sz w:val="19"/>
          <w:szCs w:val="19"/>
        </w:rPr>
        <w:t xml:space="preserve">BGAppRefreshTask</w:t>
      </w:r>
      <w:r>
        <w:rPr>
          <w:b w:val="false"/>
          <w:bCs w:val="false"/>
        </w:rPr>
        <w:t xml:space="preserve"> almost never fires, the code is complexity with no benefit, and freshness-on-open is the honest model. Measure before deciding.</w:t>
      </w:r>
    </w:p>
    <w:p>
      <w:pPr>
        <w:pStyle w:val="ListParagraph"/>
        <w:numPr>
          <w:ilvl w:val="0"/>
          <w:numId w:val="3"/>
        </w:numPr>
        <w:spacing w:after="80" w:line="276"/>
      </w:pPr>
      <w:r>
        <w:rPr>
          <w:b/>
          <w:bCs/>
        </w:rPr>
        <w:t xml:space="preserve">Should sensor session tracking be attempted from gap inference?</w:t>
      </w:r>
      <w:r>
        <w:rPr>
          <w:b w:val="false"/>
          <w:bCs w:val="false"/>
        </w:rPr>
        <w:t xml:space="preserve"> v1.3 could read session state directly over BLE. Via Share it is guesswork, and a wrong “sensor expiring” prompt is worse than none.</w:t>
      </w:r>
    </w:p>
    <w:p>
      <w:pPr>
        <w:pStyle w:val="ListParagraph"/>
        <w:numPr>
          <w:ilvl w:val="0"/>
          <w:numId w:val="3"/>
        </w:numPr>
        <w:spacing w:after="80" w:line="276"/>
      </w:pPr>
      <w:r>
        <w:rPr>
          <w:b/>
          <w:bCs/>
        </w:rPr>
        <w:t xml:space="preserve">Does the weekly re-signing rhythm hold,</w:t>
      </w:r>
      <w:r>
        <w:rPr>
          <w:b w:val="false"/>
          <w:bCs w:val="false"/>
        </w:rPr>
        <w:t xml:space="preserve"> or does the app die often enough to justify the $99 before Phase 9?</w:t>
      </w:r>
    </w:p>
    <w:p>
      <w:pPr>
        <w:pStyle w:val="ListParagraph"/>
        <w:numPr>
          <w:ilvl w:val="0"/>
          <w:numId w:val="3"/>
        </w:numPr>
        <w:spacing w:after="80" w:line="276"/>
      </w:pPr>
      <w:r>
        <w:rPr>
          <w:b/>
          <w:bCs/>
        </w:rPr>
        <w:t xml:space="preserve">Default exercise sensitivity multiplier.</w:t>
      </w:r>
      <w:r>
        <w:rPr>
          <w:b w:val="false"/>
          <w:bCs w:val="false"/>
        </w:rPr>
        <w:t xml:space="preserve"> 1.5 is a placeholder; derive from the user's own logged events once Phase 8 has data.</w:t>
      </w:r>
    </w:p>
    <w:p>
      <w:pPr>
        <w:pStyle w:val="ListParagraph"/>
        <w:numPr>
          <w:ilvl w:val="0"/>
          <w:numId w:val="3"/>
        </w:numPr>
        <w:spacing w:after="80" w:line="276"/>
      </w:pPr>
      <w:r>
        <w:rPr>
          <w:b/>
          <w:bCs/>
        </w:rPr>
        <w:t xml:space="preserve">How many samples make a meal fingerprint trustworthy?</w:t>
      </w:r>
      <w:r>
        <w:rPr>
          <w:b w:val="false"/>
          <w:bCs w:val="false"/>
        </w:rPr>
        <w:t xml:space="preserve"> Provisional: individual curves from the first instance, median suppressed until four.</w:t>
      </w:r>
    </w:p>
    <w:p>
      <w:pPr>
        <w:pStyle w:val="Heading1"/>
        <w:spacing w:after="160" w:before="360"/>
      </w:pPr>
      <w:r>
        <w:rPr>
          <w:b w:val="false"/>
          <w:bCs w:val="false"/>
        </w:rPr>
        <w:t xml:space="preserve">10. Success Criteria</w:t>
      </w:r>
    </w:p>
    <w:p>
      <w:pPr>
        <w:spacing w:after="120" w:line="276"/>
      </w:pPr>
      <w:r>
        <w:rPr>
          <w:b w:val="false"/>
          <w:bCs w:val="false"/>
        </w:rPr>
        <w:t xml:space="preserve">This is a personal-use app, so success is measured against the user's own daily experience, not market metrics. v1.1's criteria are retained where they were measurable and tightened where they were not.</w:t>
      </w:r>
    </w:p>
    <w:p>
      <w:pPr>
        <w:pStyle w:val="ListParagraph"/>
        <w:numPr>
          <w:ilvl w:val="0"/>
          <w:numId w:val="2"/>
        </w:numPr>
        <w:spacing w:after="80" w:line="276"/>
      </w:pPr>
      <w:r>
        <w:rPr>
          <w:b/>
          <w:bCs/>
        </w:rPr>
        <w:t xml:space="preserve">Preference.</w:t>
      </w:r>
      <w:r>
        <w:rPr>
          <w:b w:val="false"/>
          <w:bCs w:val="false"/>
        </w:rPr>
        <w:t xml:space="preserve"> The user opens GlucoNoir before the official Dexcom app for routine checks within 30 days of v1. Measurable directly, since the app can count its own launches against a self-reported baseline.</w:t>
      </w:r>
    </w:p>
    <w:p>
      <w:pPr>
        <w:pStyle w:val="ListParagraph"/>
        <w:numPr>
          <w:ilvl w:val="0"/>
          <w:numId w:val="2"/>
        </w:numPr>
        <w:spacing w:after="80" w:line="276"/>
      </w:pPr>
      <w:r>
        <w:rPr>
          <w:b/>
          <w:bCs/>
        </w:rPr>
        <w:t xml:space="preserve">Glance displacement (new).</w:t>
      </w:r>
      <w:r>
        <w:rPr>
          <w:b w:val="false"/>
          <w:bCs w:val="false"/>
        </w:rPr>
        <w:t xml:space="preserve"> After v2, at least half of daily glucose checks are satisfied by the Live Activity, Lock Screen, or Watch complication without opening the app. This is the criterion that reflects §2.2's dominant use case.</w:t>
      </w:r>
    </w:p>
    <w:p>
      <w:pPr>
        <w:pStyle w:val="ListParagraph"/>
        <w:numPr>
          <w:ilvl w:val="0"/>
          <w:numId w:val="2"/>
        </w:numPr>
        <w:spacing w:after="80" w:line="276"/>
      </w:pPr>
      <w:r>
        <w:rPr>
          <w:b/>
          <w:bCs/>
        </w:rPr>
        <w:t xml:space="preserve">Eye strain.</w:t>
      </w:r>
      <w:r>
        <w:rPr>
          <w:b w:val="false"/>
          <w:bCs w:val="false"/>
        </w:rPr>
        <w:t xml:space="preserve"> Nighttime checks are subjectively less unpleasant. Deliberately subjective; a weekly one-tap self-rating in the app makes it trackable without pretending it is objective.</w:t>
      </w:r>
    </w:p>
    <w:p>
      <w:pPr>
        <w:pStyle w:val="ListParagraph"/>
        <w:numPr>
          <w:ilvl w:val="0"/>
          <w:numId w:val="2"/>
        </w:numPr>
        <w:spacing w:after="80" w:line="276"/>
      </w:pPr>
      <w:r>
        <w:rPr>
          <w:b/>
          <w:bCs/>
        </w:rPr>
        <w:t xml:space="preserve">Logging speed.</w:t>
      </w:r>
      <w:r>
        <w:rPr>
          <w:b w:val="false"/>
          <w:bCs w:val="false"/>
        </w:rPr>
        <w:t xml:space="preserve"> Median time from intent to logged event stays under 30 seconds, measured by the app instrumenting its own log flows. Under 10 seconds via App Intents.</w:t>
      </w:r>
    </w:p>
    <w:p>
      <w:pPr>
        <w:pStyle w:val="ListParagraph"/>
        <w:numPr>
          <w:ilvl w:val="0"/>
          <w:numId w:val="2"/>
        </w:numPr>
        <w:spacing w:after="80" w:line="276"/>
      </w:pPr>
      <w:r>
        <w:rPr>
          <w:b/>
          <w:bCs/>
        </w:rPr>
        <w:t xml:space="preserve">Forecast quality.</w:t>
      </w:r>
      <w:r>
        <w:rPr>
          <w:b w:val="false"/>
          <w:bCs w:val="false"/>
        </w:rPr>
        <w:t xml:space="preserve"> The §4.4 validation gate: beats the persistence baseline by at least 15% RMSE at 15 minutes, with zero points in Parkes zones C/D/E. This replaces v1.1's ±20 mg/dL threshold, which a naive baseline passes.</w:t>
      </w:r>
    </w:p>
    <w:p>
      <w:pPr>
        <w:pStyle w:val="ListParagraph"/>
        <w:numPr>
          <w:ilvl w:val="0"/>
          <w:numId w:val="2"/>
        </w:numPr>
        <w:spacing w:after="80" w:line="276"/>
      </w:pPr>
      <w:r>
        <w:rPr>
          <w:b/>
          <w:bCs/>
        </w:rPr>
        <w:t xml:space="preserve">Resilience (new).</w:t>
      </w:r>
      <w:r>
        <w:rPr>
          <w:b w:val="false"/>
          <w:bCs w:val="false"/>
        </w:rPr>
        <w:t xml:space="preserve"> Over any 30-day period after v1, no more than 1% of expected 5-minute samples are permanently missing from the local store, and no single gap exceeds 2 hours while the phone had network. This is the criterion for whether the dual-source architecture actually earned its complexity — v1.1 rewrote the architecture and then never measured whether it worked.</w:t>
      </w:r>
    </w:p>
    <w:p>
      <w:pPr>
        <w:pStyle w:val="ListParagraph"/>
        <w:numPr>
          <w:ilvl w:val="0"/>
          <w:numId w:val="2"/>
        </w:numPr>
        <w:spacing w:after="80" w:line="276"/>
      </w:pPr>
      <w:r>
        <w:rPr>
          <w:b/>
          <w:bCs/>
        </w:rPr>
        <w:t xml:space="preserve">Time in range.</w:t>
      </w:r>
      <w:r>
        <w:rPr>
          <w:b w:val="false"/>
          <w:bCs w:val="false"/>
        </w:rPr>
        <w:t xml:space="preserve"> TIR improves by at least 5 percentage points, sustained over a 30-day window, compared against the 90 days preceding v1 install. v1.1's “any measurable amount” is not a criterion — TIR routinely swings several points week to week on its own, so any threshold below the noise floor will be met by chance. Attribution to the app is explicitly not claimed; this measures whether things got better, not why.</w:t>
      </w:r>
    </w:p>
    <w:p>
      <w:pPr>
        <w:pStyle w:val="Heading1"/>
        <w:spacing w:after="160" w:before="360"/>
      </w:pPr>
      <w:r>
        <w:rPr>
          <w:b w:val="false"/>
          <w:bCs w:val="false"/>
        </w:rPr>
        <w:t xml:space="preserve">Appendix A: Glossary</w:t>
      </w:r>
    </w:p>
    <w:p>
      <w:pPr>
        <w:pStyle w:val="ListParagraph"/>
        <w:numPr>
          <w:ilvl w:val="0"/>
          <w:numId w:val="2"/>
        </w:numPr>
        <w:spacing w:after="80" w:line="276"/>
      </w:pPr>
      <w:r>
        <w:rPr>
          <w:b/>
          <w:bCs/>
        </w:rPr>
        <w:t xml:space="preserve">AGP</w:t>
      </w:r>
      <w:r>
        <w:rPr>
          <w:b w:val="false"/>
          <w:bCs w:val="false"/>
        </w:rPr>
        <w:t xml:space="preserve"> — Ambulatory Glucose Profile. A standardised CGM chart format showing percentile bands of glucose by time of day.</w:t>
      </w:r>
    </w:p>
    <w:p>
      <w:pPr>
        <w:pStyle w:val="ListParagraph"/>
        <w:numPr>
          <w:ilvl w:val="0"/>
          <w:numId w:val="2"/>
        </w:numPr>
        <w:spacing w:after="80" w:line="276"/>
      </w:pPr>
      <w:r>
        <w:rPr>
          <w:b/>
          <w:bCs/>
        </w:rPr>
        <w:t xml:space="preserve">BLE</w:t>
      </w:r>
      <w:r>
        <w:rPr>
          <w:b w:val="false"/>
          <w:bCs w:val="false"/>
        </w:rPr>
        <w:t xml:space="preserve"> — Bluetooth Low Energy. The radio protocol the G7 sensor broadcasts on, and GlucoNoir's primary data path.</w:t>
      </w:r>
    </w:p>
    <w:p>
      <w:pPr>
        <w:pStyle w:val="ListParagraph"/>
        <w:numPr>
          <w:ilvl w:val="0"/>
          <w:numId w:val="2"/>
        </w:numPr>
        <w:spacing w:after="80" w:line="276"/>
      </w:pPr>
      <w:r>
        <w:rPr>
          <w:b/>
          <w:bCs/>
        </w:rPr>
        <w:t xml:space="preserve">CGM</w:t>
      </w:r>
      <w:r>
        <w:rPr>
          <w:b w:val="false"/>
          <w:bCs w:val="false"/>
        </w:rPr>
        <w:t xml:space="preserve"> — Continuous Glucose Monitor (e.g. Dexcom G7).</w:t>
      </w:r>
    </w:p>
    <w:p>
      <w:pPr>
        <w:pStyle w:val="ListParagraph"/>
        <w:numPr>
          <w:ilvl w:val="0"/>
          <w:numId w:val="2"/>
        </w:numPr>
        <w:spacing w:after="80" w:line="276"/>
      </w:pPr>
      <w:r>
        <w:rPr>
          <w:b/>
          <w:bCs/>
        </w:rPr>
        <w:t xml:space="preserve">Direct to Watch</w:t>
      </w:r>
      <w:r>
        <w:rPr>
          <w:b w:val="false"/>
          <w:bCs w:val="false"/>
        </w:rPr>
        <w:t xml:space="preserve"> — Dexcom feature connecting the G7 sensor straight to an Apple Watch, consuming one of the sensor's three Bluetooth channels.</w:t>
      </w:r>
    </w:p>
    <w:p>
      <w:pPr>
        <w:pStyle w:val="ListParagraph"/>
        <w:numPr>
          <w:ilvl w:val="0"/>
          <w:numId w:val="2"/>
        </w:numPr>
        <w:spacing w:after="80" w:line="276"/>
      </w:pPr>
      <w:r>
        <w:rPr>
          <w:b/>
          <w:bCs/>
        </w:rPr>
        <w:t xml:space="preserve">Free personal team</w:t>
      </w:r>
      <w:r>
        <w:rPr>
          <w:b w:val="false"/>
          <w:bCs w:val="false"/>
        </w:rPr>
        <w:t xml:space="preserve"> — Apple's no-cost signing tier. Sufficient for all of GlucoNoir v1; provisioning expires every 7 days (§6.1).</w:t>
      </w:r>
    </w:p>
    <w:p>
      <w:pPr>
        <w:pStyle w:val="ListParagraph"/>
        <w:numPr>
          <w:ilvl w:val="0"/>
          <w:numId w:val="2"/>
        </w:numPr>
        <w:spacing w:after="80" w:line="276"/>
      </w:pPr>
      <w:r>
        <w:rPr>
          <w:b/>
          <w:bCs/>
        </w:rPr>
        <w:t xml:space="preserve">G7SensorKit</w:t>
      </w:r>
      <w:r>
        <w:rPr>
          <w:b w:val="false"/>
          <w:bCs w:val="false"/>
        </w:rPr>
        <w:t xml:space="preserve"> — LoopKit's MIT-licensed Swift package implementing the G7 BLE protocol. GlucoNoir's transport layer.</w:t>
      </w:r>
    </w:p>
    <w:p>
      <w:pPr>
        <w:pStyle w:val="ListParagraph"/>
        <w:numPr>
          <w:ilvl w:val="0"/>
          <w:numId w:val="2"/>
        </w:numPr>
        <w:spacing w:after="80" w:line="276"/>
      </w:pPr>
      <w:r>
        <w:rPr>
          <w:b/>
          <w:bCs/>
        </w:rPr>
        <w:t xml:space="preserve">COB</w:t>
      </w:r>
      <w:r>
        <w:rPr>
          <w:b w:val="false"/>
          <w:bCs w:val="false"/>
        </w:rPr>
        <w:t xml:space="preserve"> — Carbs On Board. Ingested carbohydrate not yet absorbed.</w:t>
      </w:r>
    </w:p>
    <w:p>
      <w:pPr>
        <w:pStyle w:val="ListParagraph"/>
        <w:numPr>
          <w:ilvl w:val="0"/>
          <w:numId w:val="2"/>
        </w:numPr>
        <w:spacing w:after="80" w:line="276"/>
      </w:pPr>
      <w:r>
        <w:rPr>
          <w:b/>
          <w:bCs/>
        </w:rPr>
        <w:t xml:space="preserve">Compression low</w:t>
      </w:r>
      <w:r>
        <w:rPr>
          <w:b w:val="false"/>
          <w:bCs w:val="false"/>
        </w:rPr>
        <w:t xml:space="preserve"> — a falsely low reading caused by physical pressure on the sensor, typically from lying on it. A sensor artifact, not a physiological event.</w:t>
      </w:r>
    </w:p>
    <w:p>
      <w:pPr>
        <w:pStyle w:val="ListParagraph"/>
        <w:numPr>
          <w:ilvl w:val="0"/>
          <w:numId w:val="2"/>
        </w:numPr>
        <w:spacing w:after="80" w:line="276"/>
      </w:pPr>
      <w:r>
        <w:rPr>
          <w:b/>
          <w:bCs/>
        </w:rPr>
        <w:t xml:space="preserve">CV</w:t>
      </w:r>
      <w:r>
        <w:rPr>
          <w:b w:val="false"/>
          <w:bCs w:val="false"/>
        </w:rPr>
        <w:t xml:space="preserve"> — Coefficient of Variation. SD divided by mean, expressed as a percentage. The standard glycaemic variability metric; target below 36%.</w:t>
      </w:r>
    </w:p>
    <w:p>
      <w:pPr>
        <w:pStyle w:val="ListParagraph"/>
        <w:numPr>
          <w:ilvl w:val="0"/>
          <w:numId w:val="2"/>
        </w:numPr>
        <w:spacing w:after="80" w:line="276"/>
      </w:pPr>
      <w:r>
        <w:rPr>
          <w:b/>
          <w:bCs/>
        </w:rPr>
        <w:t xml:space="preserve">DIA</w:t>
      </w:r>
      <w:r>
        <w:rPr>
          <w:b w:val="false"/>
          <w:bCs w:val="false"/>
        </w:rPr>
        <w:t xml:space="preserve"> — Duration of Insulin Action. How long a dose remains active; 5 to 6 hours for rapid analogues.</w:t>
      </w:r>
    </w:p>
    <w:p>
      <w:pPr>
        <w:pStyle w:val="ListParagraph"/>
        <w:numPr>
          <w:ilvl w:val="0"/>
          <w:numId w:val="2"/>
        </w:numPr>
        <w:spacing w:after="80" w:line="276"/>
      </w:pPr>
      <w:r>
        <w:rPr>
          <w:b/>
          <w:bCs/>
        </w:rPr>
        <w:t xml:space="preserve">GMI</w:t>
      </w:r>
      <w:r>
        <w:rPr>
          <w:b w:val="false"/>
          <w:bCs w:val="false"/>
        </w:rPr>
        <w:t xml:space="preserve"> — Glucose Management Indicator. An A1C estimate derived from mean CGM glucose. Requires at least 14 days at 70% capture to be meaningful.</w:t>
      </w:r>
    </w:p>
    <w:p>
      <w:pPr>
        <w:pStyle w:val="ListParagraph"/>
        <w:numPr>
          <w:ilvl w:val="0"/>
          <w:numId w:val="2"/>
        </w:numPr>
        <w:spacing w:after="80" w:line="276"/>
      </w:pPr>
      <w:r>
        <w:rPr>
          <w:b/>
          <w:bCs/>
        </w:rPr>
        <w:t xml:space="preserve">ICR</w:t>
      </w:r>
      <w:r>
        <w:rPr>
          <w:b w:val="false"/>
          <w:bCs w:val="false"/>
        </w:rPr>
        <w:t xml:space="preserve"> — Insulin-to-Carb Ratio. Grams of carbohydrate covered by one unit of insulin.</w:t>
      </w:r>
    </w:p>
    <w:p>
      <w:pPr>
        <w:pStyle w:val="ListParagraph"/>
        <w:numPr>
          <w:ilvl w:val="0"/>
          <w:numId w:val="2"/>
        </w:numPr>
        <w:spacing w:after="80" w:line="276"/>
      </w:pPr>
      <w:r>
        <w:rPr>
          <w:b/>
          <w:bCs/>
        </w:rPr>
        <w:t xml:space="preserve">IOB</w:t>
      </w:r>
      <w:r>
        <w:rPr>
          <w:b w:val="false"/>
          <w:bCs w:val="false"/>
        </w:rPr>
        <w:t xml:space="preserve"> — Insulin On Board. Active insulin still working in the body.</w:t>
      </w:r>
    </w:p>
    <w:p>
      <w:pPr>
        <w:pStyle w:val="ListParagraph"/>
        <w:numPr>
          <w:ilvl w:val="0"/>
          <w:numId w:val="2"/>
        </w:numPr>
        <w:spacing w:after="80" w:line="276"/>
      </w:pPr>
      <w:r>
        <w:rPr>
          <w:b/>
          <w:bCs/>
        </w:rPr>
        <w:t xml:space="preserve">ISF</w:t>
      </w:r>
      <w:r>
        <w:rPr>
          <w:b w:val="false"/>
          <w:bCs w:val="false"/>
        </w:rPr>
        <w:t xml:space="preserve"> — Insulin Sensitivity Factor. Expected mg/dL drop per unit of insulin. Also called correction factor.</w:t>
      </w:r>
    </w:p>
    <w:p>
      <w:pPr>
        <w:pStyle w:val="ListParagraph"/>
        <w:numPr>
          <w:ilvl w:val="0"/>
          <w:numId w:val="2"/>
        </w:numPr>
        <w:spacing w:after="80" w:line="276"/>
      </w:pPr>
      <w:r>
        <w:rPr>
          <w:b/>
          <w:bCs/>
        </w:rPr>
        <w:t xml:space="preserve">MDI</w:t>
      </w:r>
      <w:r>
        <w:rPr>
          <w:b w:val="false"/>
          <w:bCs w:val="false"/>
        </w:rPr>
        <w:t xml:space="preserve"> — Multiple Daily Injections. A non-pump insulin regimen.</w:t>
      </w:r>
    </w:p>
    <w:p>
      <w:pPr>
        <w:pStyle w:val="ListParagraph"/>
        <w:numPr>
          <w:ilvl w:val="0"/>
          <w:numId w:val="2"/>
        </w:numPr>
        <w:spacing w:after="80" w:line="276"/>
      </w:pPr>
      <w:r>
        <w:rPr>
          <w:b/>
          <w:bCs/>
        </w:rPr>
        <w:t xml:space="preserve">Parkes error grid</w:t>
      </w:r>
      <w:r>
        <w:rPr>
          <w:b w:val="false"/>
          <w:bCs w:val="false"/>
        </w:rPr>
        <w:t xml:space="preserve"> — a clinical-significance plot for glucose estimates, dividing predicted-versus-actual space into zones by the severity of the consequence of the error.</w:t>
      </w:r>
    </w:p>
    <w:p>
      <w:pPr>
        <w:pStyle w:val="ListParagraph"/>
        <w:numPr>
          <w:ilvl w:val="0"/>
          <w:numId w:val="2"/>
        </w:numPr>
        <w:spacing w:after="80" w:line="276"/>
      </w:pPr>
      <w:r>
        <w:rPr>
          <w:b/>
          <w:bCs/>
        </w:rPr>
        <w:t xml:space="preserve">Persistence baseline</w:t>
      </w:r>
      <w:r>
        <w:rPr>
          <w:b w:val="false"/>
          <w:bCs w:val="false"/>
        </w:rPr>
        <w:t xml:space="preserve"> — the trivial forecast “the next value equals the current value.” The benchmark any real forecaster must beat.</w:t>
      </w:r>
    </w:p>
    <w:p>
      <w:pPr>
        <w:pStyle w:val="ListParagraph"/>
        <w:numPr>
          <w:ilvl w:val="0"/>
          <w:numId w:val="2"/>
        </w:numPr>
        <w:spacing w:after="80" w:line="276"/>
      </w:pPr>
      <w:r>
        <w:rPr>
          <w:b/>
          <w:bCs/>
        </w:rPr>
        <w:t xml:space="preserve">T1D</w:t>
      </w:r>
      <w:r>
        <w:rPr>
          <w:b w:val="false"/>
          <w:bCs w:val="false"/>
        </w:rPr>
        <w:t xml:space="preserve"> — Type 1 Diabetes.</w:t>
      </w:r>
    </w:p>
    <w:p>
      <w:pPr>
        <w:pStyle w:val="ListParagraph"/>
        <w:numPr>
          <w:ilvl w:val="0"/>
          <w:numId w:val="2"/>
        </w:numPr>
        <w:spacing w:after="80" w:line="276"/>
      </w:pPr>
      <w:r>
        <w:rPr>
          <w:b/>
          <w:bCs/>
        </w:rPr>
        <w:t xml:space="preserve">Time in Range (TIR)</w:t>
      </w:r>
      <w:r>
        <w:rPr>
          <w:b w:val="false"/>
          <w:bCs w:val="false"/>
        </w:rPr>
        <w:t xml:space="preserve"> — percentage of CGM readings within the target range, conventionally 70 to 180 mg/dL.</w:t>
      </w:r>
    </w:p>
    <w:p>
      <w:r>
        <w:br w:type="page"/>
      </w:r>
    </w:p>
    <w:p>
      <w:pPr>
        <w:pStyle w:val="Heading1"/>
        <w:spacing w:after="160" w:before="360"/>
      </w:pPr>
      <w:r>
        <w:rPr>
          <w:b w:val="false"/>
          <w:bCs w:val="false"/>
        </w:rPr>
        <w:t xml:space="preserve">Appendix B: Review Findings Log</w:t>
      </w:r>
    </w:p>
    <w:p>
      <w:pPr>
        <w:spacing w:after="120" w:line="276"/>
      </w:pPr>
      <w:r>
        <w:rPr>
          <w:b w:val="false"/>
          <w:bCs w:val="false"/>
        </w:rPr>
        <w:t xml:space="preserve">Every change made across both review passes, with the finding that prompted it. Ordered by severity within each pass so the material changes can be reviewed first. “Blocking” means the app would not have worked as specified.</w:t>
      </w:r>
    </w:p>
    <w:p>
      <w:pPr>
        <w:pBdr>
          <w:left w:val="single" w:color="BFD3E6" w:sz="12" w:space="8"/>
        </w:pBdr>
        <w:spacing w:after="160" w:line="260"/>
        <w:ind w:left="180"/>
      </w:pPr>
      <w:r>
        <w:rPr>
          <w:b w:val="false"/>
          <w:bCs w:val="false"/>
          <w:i/>
          <w:iCs/>
          <w:color w:val="595959"/>
          <w:sz w:val="20"/>
          <w:szCs w:val="20"/>
        </w:rPr>
        <w:t xml:space="preserve">Section references in B.1 to B.6 use the numbering of v1.2, the revision in which those changes were made. Sections were renumbered in v1.3 when the source layer was restructured; B.7 uses current numbering. Where the two conflict, B.7 supersedes — several v1.2 fixes were to a HealthKit-primary design that v1.3 discarded outright.</w:t>
      </w:r>
    </w:p>
    <w:p>
      <w:pPr>
        <w:pStyle w:val="Heading2"/>
        <w:spacing w:after="140" w:before="280"/>
      </w:pPr>
      <w:r>
        <w:rPr>
          <w:b w:val="false"/>
          <w:bCs w:val="false"/>
        </w:rPr>
        <w:t xml:space="preserve">B.1 Blocking Technical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BGAppRefreshTask cannot deliver a 15-minute background poll; earliestBeginDate is a floor, not a schedule, and is least likely to fire overnight.</w:t>
            </w:r>
          </w:p>
        </w:tc>
        <w:tc>
          <w:tcPr>
            <w:tcW w:type="dxa" w:w="4100"/>
            <w:tcMar>
              <w:top w:type="dxa" w:w="60"/>
              <w:left w:type="dxa" w:w="100"/>
              <w:bottom w:type="dxa" w:w="60"/>
              <w:right w:type="dxa" w:w="100"/>
            </w:tcMar>
          </w:tcPr>
          <w:p>
            <w:pPr>
              <w:spacing w:after="0" w:line="250"/>
            </w:pPr>
            <w:r>
              <w:rPr>
                <w:b w:val="false"/>
                <w:bCs w:val="false"/>
                <w:sz w:val="20"/>
                <w:szCs w:val="20"/>
              </w:rPr>
              <w:t xml:space="preserve">Background architecture inverted: HealthKit background delivery is the wake mechanism; Share polled opportunistically inside each wake; BGAppRefreshTask demoted to a daily janitor.</w:t>
            </w:r>
          </w:p>
        </w:tc>
        <w:tc>
          <w:tcPr>
            <w:tcW w:type="dxa" w:w="1760"/>
            <w:tcMar>
              <w:top w:type="dxa" w:w="60"/>
              <w:left w:type="dxa" w:w="100"/>
              <w:bottom w:type="dxa" w:w="60"/>
              <w:right w:type="dxa" w:w="100"/>
            </w:tcMar>
          </w:tcPr>
          <w:p>
            <w:pPr>
              <w:spacing w:after="0" w:line="250"/>
            </w:pPr>
            <w:r>
              <w:rPr>
                <w:b w:val="false"/>
                <w:bCs w:val="false"/>
                <w:sz w:val="20"/>
                <w:szCs w:val="20"/>
              </w:rPr>
              <w:t xml:space="preserve">§3.1.1, §4.1, §4.2.1,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HealthKit background delivery entitlement was never mentioned; without it the observer does not fire when backgrounded.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Entitlement added to the stack table and the source spec; verified in Phase 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kSecAttrAccessibleWhenUnlockedThisDeviceOnly makes credentials unreadable while the device is locked, breaking every background Share poll and all operation after reboot until first unlock.</w:t>
            </w:r>
          </w:p>
        </w:tc>
        <w:tc>
          <w:tcPr>
            <w:tcW w:type="dxa" w:w="4100"/>
            <w:tcMar>
              <w:top w:type="dxa" w:w="60"/>
              <w:left w:type="dxa" w:w="100"/>
              <w:bottom w:type="dxa" w:w="60"/>
              <w:right w:type="dxa" w:w="100"/>
            </w:tcMar>
          </w:tcPr>
          <w:p>
            <w:pPr>
              <w:spacing w:after="0" w:line="250"/>
            </w:pPr>
            <w:r>
              <w:rPr>
                <w:b w:val="false"/>
                <w:bCs w:val="false"/>
                <w:sz w:val="20"/>
                <w:szCs w:val="20"/>
              </w:rPr>
              <w:t xml:space="preserve">Changed to kSecAttrAccessibleAfterFirstUnlockThisDeviceOnly.</w:t>
            </w:r>
          </w:p>
        </w:tc>
        <w:tc>
          <w:tcPr>
            <w:tcW w:type="dxa" w:w="1760"/>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unique syncId attribute is incompatible with SwiftData's CloudKit backing, which v3 commits to.</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unique attributes anywhere; dedup enforced in the coordinator with an indexed non-unique dedupKey and explicit upsert. CloudKit's optional-property and delete-rule constraints adopted from v1.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App Group container; widgets, Live Activity, and Watch cannot read the default store, and retrofitting means migrating the whole history.</w:t>
            </w:r>
          </w:p>
        </w:tc>
        <w:tc>
          <w:tcPr>
            <w:tcW w:type="dxa" w:w="4100"/>
            <w:tcMar>
              <w:top w:type="dxa" w:w="60"/>
              <w:left w:type="dxa" w:w="100"/>
              <w:bottom w:type="dxa" w:w="60"/>
              <w:right w:type="dxa" w:w="100"/>
            </w:tcMar>
          </w:tcPr>
          <w:p>
            <w:pPr>
              <w:spacing w:after="0" w:line="250"/>
            </w:pPr>
            <w:r>
              <w:rPr>
                <w:b w:val="false"/>
                <w:bCs w:val="false"/>
                <w:sz w:val="20"/>
                <w:szCs w:val="20"/>
              </w:rPr>
              <w:t xml:space="preserve">App Group mandated from Phase 0, including the HealthKit anchor.</w:t>
            </w:r>
          </w:p>
        </w:tc>
        <w:tc>
          <w:tcPr>
            <w:tcW w:type="dxa" w:w="1760"/>
            <w:tcMar>
              <w:top w:type="dxa" w:w="60"/>
              <w:left w:type="dxa" w:w="100"/>
              <w:bottom w:type="dxa" w:w="60"/>
              <w:right w:type="dxa" w:w="100"/>
            </w:tcMar>
          </w:tcPr>
          <w:p>
            <w:pPr>
              <w:spacing w:after="0" w:line="250"/>
            </w:pPr>
            <w:r>
              <w:rPr>
                <w:b w:val="false"/>
                <w:bCs w:val="false"/>
                <w:sz w:val="20"/>
                <w:szCs w:val="20"/>
              </w:rPr>
              <w:t xml:space="preserve">§4.1, §4.2.2, §4.3, §4.6,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Blanket exponential backoff applied to a 401 retries bad credentials indefinitely and can lock the Dexcom account the official app depends 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Auth failures stop immediately and prompt; only transient failures back off.</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An app cannot set brightness for its own window; UIScreen.main.brightness is global and persistent, and a crash leaves the device stuck dim.</w:t>
            </w:r>
          </w:p>
        </w:tc>
        <w:tc>
          <w:tcPr>
            <w:tcW w:type="dxa" w:w="4100"/>
            <w:tcMar>
              <w:top w:type="dxa" w:w="60"/>
              <w:left w:type="dxa" w:w="100"/>
              <w:bottom w:type="dxa" w:w="60"/>
              <w:right w:type="dxa" w:w="100"/>
            </w:tcMar>
          </w:tcPr>
          <w:p>
            <w:pPr>
              <w:spacing w:after="0" w:line="250"/>
            </w:pPr>
            <w:r>
              <w:rPr>
                <w:b w:val="false"/>
                <w:bCs w:val="false"/>
                <w:sz w:val="20"/>
                <w:szCs w:val="20"/>
              </w:rPr>
              <w:t xml:space="preserve">Bedside dimming reimplemented as a black overlay with adjustable opacity; optional system dimming requires capture and guaranteed restore.</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Share auth flow, applicationId, Microsoft date format, and integer/string trend polymorphism were unspecified — each an established breakage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Full protocol spec added, with an instruction to pin against a maintained reference implementation.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B.2 Clinical &amp; Mathematical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Linear 4-hour IOB decay is wrong in shape (activity peaks, it does not decline linearly) and duration (5–6 hours, not 4). The error propagated into every prediction via the meal estimator.</w:t>
            </w:r>
          </w:p>
        </w:tc>
        <w:tc>
          <w:tcPr>
            <w:tcW w:type="dxa" w:w="4100"/>
            <w:tcMar>
              <w:top w:type="dxa" w:w="60"/>
              <w:left w:type="dxa" w:w="100"/>
              <w:bottom w:type="dxa" w:w="60"/>
              <w:right w:type="dxa" w:w="100"/>
            </w:tcMar>
          </w:tcPr>
          <w:p>
            <w:pPr>
              <w:spacing w:after="0" w:line="250"/>
            </w:pPr>
            <w:r>
              <w:rPr>
                <w:b w:val="false"/>
                <w:bCs w:val="false"/>
                <w:sz w:val="20"/>
                <w:szCs w:val="20"/>
              </w:rPr>
              <w:t xml:space="preserve">Bi-exponential LoopKit model with explicit formula; defaults peak 75 min / duration 360 min for rapid, 55/300 for ultra-rapid; all editable.</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Long-acting insulin was logged and fed into IOB undifferentiated, making the IOB figure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Basal explicitly excluded from IOB; logged and displayed separately.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§4.3,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MealResponseEstimator was mathematically impossible as specified — carbs-to-mg/dL needs ICR and insulin-to-mg/dL needs ISF, and neither existed in the settings or the data model.</w:t>
            </w:r>
          </w:p>
        </w:tc>
        <w:tc>
          <w:tcPr>
            <w:tcW w:type="dxa" w:w="4100"/>
            <w:tcMar>
              <w:top w:type="dxa" w:w="60"/>
              <w:left w:type="dxa" w:w="100"/>
              <w:bottom w:type="dxa" w:w="60"/>
              <w:right w:type="dxa" w:w="100"/>
            </w:tcMar>
          </w:tcPr>
          <w:p>
            <w:pPr>
              <w:spacing w:after="0" w:line="250"/>
            </w:pPr>
            <w:r>
              <w:rPr>
                <w:b w:val="false"/>
                <w:bCs w:val="false"/>
                <w:sz w:val="20"/>
                <w:szCs w:val="20"/>
              </w:rPr>
              <w:t xml:space="preserve">ISF and ICR added as required settings and model fields; explicit prediction formula; forecast disabled until both are entered.</w:t>
            </w:r>
          </w:p>
        </w:tc>
        <w:tc>
          <w:tcPr>
            <w:tcW w:type="dxa" w:w="1760"/>
            <w:tcMar>
              <w:top w:type="dxa" w:w="60"/>
              <w:left w:type="dxa" w:w="100"/>
              <w:bottom w:type="dxa" w:w="60"/>
              <w:right w:type="dxa" w:w="100"/>
            </w:tcMar>
          </w:tcPr>
          <w:p>
            <w:pPr>
              <w:spacing w:after="0" w:line="250"/>
            </w:pPr>
            <w:r>
              <w:rPr>
                <w:b w:val="false"/>
                <w:bCs w:val="false"/>
                <w:sz w:val="20"/>
                <w:szCs w:val="20"/>
              </w:rPr>
              <w:t xml:space="preserve">§3.1.6, §4.3,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GMI would have been computed for 3-hour windows, where it is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Gated to windows ≥14 days with ≥70% capture; hidden otherwise. Formula stated explicitly.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Three-band time-in-range does not match the consensus definition or any AGP report, despite AGP export being a stated goal.</w:t>
            </w:r>
          </w:p>
        </w:tc>
        <w:tc>
          <w:tcPr>
            <w:tcW w:type="dxa" w:w="4100"/>
            <w:tcMar>
              <w:top w:type="dxa" w:w="60"/>
              <w:left w:type="dxa" w:w="100"/>
              <w:bottom w:type="dxa" w:w="60"/>
              <w:right w:type="dxa" w:w="100"/>
            </w:tcMar>
          </w:tcPr>
          <w:p>
            <w:pPr>
              <w:spacing w:after="0" w:line="250"/>
            </w:pPr>
            <w:r>
              <w:rPr>
                <w:b w:val="false"/>
                <w:bCs w:val="false"/>
                <w:sz w:val="20"/>
                <w:szCs w:val="20"/>
              </w:rPr>
              <w:t xml:space="preserve">Five-band TIR with consensus thresholds and targets.</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Coefficient of variation — the standard variability metric — was absent; raw SD was reported instead.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CV added and emphasised; SD retained but de-emphasised. Data-capture percentage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described “AGP overlay” is a spaghetti plot, not an AGP; v3 then promised an AGP-styled PDF.</w:t>
            </w:r>
          </w:p>
        </w:tc>
        <w:tc>
          <w:tcPr>
            <w:tcW w:type="dxa" w:w="4100"/>
            <w:tcMar>
              <w:top w:type="dxa" w:w="60"/>
              <w:left w:type="dxa" w:w="100"/>
              <w:bottom w:type="dxa" w:w="60"/>
              <w:right w:type="dxa" w:w="100"/>
            </w:tcMar>
          </w:tcPr>
          <w:p>
            <w:pPr>
              <w:spacing w:after="0" w:line="250"/>
            </w:pPr>
            <w:r>
              <w:rPr>
                <w:b w:val="false"/>
                <w:bCs w:val="false"/>
                <w:sz w:val="20"/>
                <w:szCs w:val="20"/>
              </w:rPr>
              <w:t xml:space="preserve">Percentile-band computation (5/25/50/75/95 in 30-minute bins) specified in v1, making the v3 export a rendering task.</w:t>
            </w:r>
          </w:p>
        </w:tc>
        <w:tc>
          <w:tcPr>
            <w:tcW w:type="dxa" w:w="1760"/>
            <w:tcMar>
              <w:top w:type="dxa" w:w="60"/>
              <w:left w:type="dxa" w:w="100"/>
              <w:bottom w:type="dxa" w:w="60"/>
              <w:right w:type="dxa" w:w="100"/>
            </w:tcMar>
          </w:tcPr>
          <w:p>
            <w:pPr>
              <w:spacing w:after="0" w:line="250"/>
            </w:pPr>
            <w:r>
              <w:rPr>
                <w:b w:val="false"/>
                <w:bCs w:val="false"/>
                <w:sz w:val="20"/>
                <w:szCs w:val="20"/>
              </w:rPr>
              <w:t xml:space="preserve">§3.1.5, §3.3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±20 mg/dL / 80% accuracy target is passed by a naive persistence baseline, so it demonstrates nothing.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mandatory persistence-baseline comparison, zone-stratified error, and a Parkes error grid gate.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§4.4, §10</w:t>
            </w:r>
          </w:p>
        </w:tc>
      </w:tr>
      <w:tr>
        <w:tc>
          <w:tcPr>
            <w:tcW w:type="dxa" w:w="3500"/>
            <w:tcMar>
              <w:top w:type="dxa" w:w="60"/>
              <w:left w:type="dxa" w:w="100"/>
              <w:bottom w:type="dxa" w:w="60"/>
              <w:right w:type="dxa" w:w="100"/>
            </w:tcMar>
          </w:tcPr>
          <w:p>
            <w:pPr>
              <w:spacing w:after="0" w:line="250"/>
            </w:pPr>
            <w:r>
              <w:rPr>
                <w:b w:val="false"/>
                <w:bCs w:val="false"/>
                <w:sz w:val="20"/>
                <w:szCs w:val="20"/>
              </w:rPr>
              <w:t xml:space="preserve">Undamped linear extrapolation overshoots at post-meal peaks and post-correction nadirs — the moments a forecast is actually consulted.</w:t>
            </w:r>
          </w:p>
        </w:tc>
        <w:tc>
          <w:tcPr>
            <w:tcW w:type="dxa" w:w="4100"/>
            <w:tcMar>
              <w:top w:type="dxa" w:w="60"/>
              <w:left w:type="dxa" w:w="100"/>
              <w:bottom w:type="dxa" w:w="60"/>
              <w:right w:type="dxa" w:w="100"/>
            </w:tcMar>
          </w:tcPr>
          <w:p>
            <w:pPr>
              <w:spacing w:after="0" w:line="250"/>
            </w:pPr>
            <w:r>
              <w:rPr>
                <w:b w:val="false"/>
                <w:bCs w:val="false"/>
                <w:sz w:val="20"/>
                <w:szCs w:val="20"/>
              </w:rPr>
              <w:t xml:space="preserve">Exponentially damped projection with a ±4 mg/dL/min slope clamp.</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±1 SD confidence band assumes stationary normal residuals; glucose forecast residuals are strongly heteroscedastic.</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Empirical 10th/90th percentile band from backtested errors, recomputed weekly.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§3.2.3, §4.4, §8</w:t>
            </w:r>
          </w:p>
        </w:tc>
      </w:tr>
    </w:tbl>
    <w:p>
      <w:pPr>
        <w:pStyle w:val="Heading2"/>
        <w:spacing w:after="140" w:before="280"/>
      </w:pPr>
      <w:r>
        <w:rPr>
          <w:b w:val="false"/>
          <w:bCs w:val="false"/>
        </w:rPr>
        <w:t xml:space="preserve">B.3 Internal Contradictions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Dedup rule contradicted itself: §3.1.1 said the earlier timestamp wins, §4.2.3 said the record with the most metadata wins.</w:t>
            </w:r>
          </w:p>
        </w:tc>
        <w:tc>
          <w:tcPr>
            <w:tcW w:type="dxa" w:w="4100"/>
            <w:tcMar>
              <w:top w:type="dxa" w:w="60"/>
              <w:left w:type="dxa" w:w="100"/>
              <w:bottom w:type="dxa" w:w="60"/>
              <w:right w:type="dxa" w:w="100"/>
            </w:tcMar>
          </w:tcPr>
          <w:p>
            <w:pPr>
              <w:spacing w:after="0" w:line="250"/>
            </w:pPr>
            <w:r>
              <w:rPr>
                <w:b w:val="false"/>
                <w:bCs w:val="false"/>
                <w:sz w:val="20"/>
                <w:szCs w:val="20"/>
              </w:rPr>
              <w:t xml:space="preserve">Neither — the records are merged, taking HealthKit's timestamp and Share's trend. Window widened from 60s to ±2.5 min.</w:t>
            </w:r>
          </w:p>
        </w:tc>
        <w:tc>
          <w:tcPr>
            <w:tcW w:type="dxa" w:w="1760"/>
            <w:tcMar>
              <w:top w:type="dxa" w:w="60"/>
              <w:left w:type="dxa" w:w="100"/>
              <w:bottom w:type="dxa" w:w="60"/>
              <w:right w:type="dxa" w:w="100"/>
            </w:tcMar>
          </w:tcPr>
          <w:p>
            <w:pPr>
              <w:spacing w:after="0" w:line="250"/>
            </w:pPr>
            <w:r>
              <w:rPr>
                <w:b w:val="false"/>
                <w:bCs w:val="false"/>
                <w:sz w:val="20"/>
                <w:szCs w:val="20"/>
              </w:rPr>
              <w:t xml:space="preserve">§3.1.1,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Widget and Watch complication appeared in v2 (§3.2.1) and v3 (§3.3, §4.5) simultaneously.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Consolidated into v2 as §3.2.4 Glanceable Surfaces, with only the full Watch app and StandBy widgets left in v3.</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§3.3, §4.6, §7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§1.3 enforced a safety boundary on glucose alarms, but no alarm feature was specified anywhere in §3.</w:t>
            </w:r>
          </w:p>
        </w:tc>
        <w:tc>
          <w:tcPr>
            <w:tcW w:type="dxa" w:w="4100"/>
            <w:tcMar>
              <w:top w:type="dxa" w:w="60"/>
              <w:left w:type="dxa" w:w="100"/>
              <w:bottom w:type="dxa" w:w="60"/>
              <w:right w:type="dxa" w:w="100"/>
            </w:tcMar>
          </w:tcPr>
          <w:p>
            <w:pPr>
              <w:spacing w:after="0" w:line="250"/>
            </w:pPr>
            <w:r>
              <w:rPr>
                <w:b w:val="false"/>
                <w:bCs w:val="false"/>
                <w:sz w:val="20"/>
                <w:szCs w:val="20"/>
              </w:rPr>
              <w:t xml:space="preserve">Alarms excluded permanently, with the Critical Alerts entitlement as the concrete reason. Replaced by a pull-only predicted-low heads-up.</w:t>
            </w:r>
          </w:p>
        </w:tc>
        <w:tc>
          <w:tcPr>
            <w:tcW w:type="dxa" w:w="1760"/>
            <w:tcMar>
              <w:top w:type="dxa" w:w="60"/>
              <w:left w:type="dxa" w:w="100"/>
              <w:bottom w:type="dxa" w:w="60"/>
              <w:right w:type="dxa" w:w="100"/>
            </w:tcMar>
          </w:tcPr>
          <w:p>
            <w:pPr>
              <w:spacing w:after="0" w:line="250"/>
            </w:pPr>
            <w:r>
              <w:rPr>
                <w:b w:val="false"/>
                <w:bCs w:val="false"/>
                <w:sz w:val="20"/>
                <w:szCs w:val="20"/>
              </w:rPr>
              <w:t xml:space="preserve">§1.2, §1.3, §3.2.3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§2.1 defined the target user as someone maintaining a Share follower account; §4.2.4 defined a fully supported HealthKit-only mode.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 described as optional throughout.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§2.1, §4.2.5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§3.1.2 omitted the source badge that §3.1.1 mandates — a v1.1 revision leftover.</w:t>
            </w:r>
          </w:p>
        </w:tc>
        <w:tc>
          <w:tcPr>
            <w:tcW w:type="dxa" w:w="4100"/>
            <w:tcMar>
              <w:top w:type="dxa" w:w="60"/>
              <w:left w:type="dxa" w:w="100"/>
              <w:bottom w:type="dxa" w:w="60"/>
              <w:right w:type="dxa" w:w="100"/>
            </w:tcMar>
          </w:tcPr>
          <w:p>
            <w:pPr>
              <w:spacing w:after="0" w:line="250"/>
            </w:pPr>
            <w:r>
              <w:rPr>
                <w:b w:val="false"/>
                <w:bCs w:val="false"/>
                <w:sz w:val="20"/>
                <w:szCs w:val="20"/>
              </w:rPr>
              <w:t xml:space="preserve">Badge added to the screen spec.</w:t>
            </w:r>
          </w:p>
        </w:tc>
        <w:tc>
          <w:tcPr>
            <w:tcW w:type="dxa" w:w="1760"/>
            <w:tcMar>
              <w:top w:type="dxa" w:w="60"/>
              <w:left w:type="dxa" w:w="100"/>
              <w:bottom w:type="dxa" w:w="60"/>
              <w:right w:type="dxa" w:w="100"/>
            </w:tcMar>
          </w:tcPr>
          <w:p>
            <w:pPr>
              <w:spacing w:after="0" w:line="250"/>
            </w:pPr>
            <w:r>
              <w:rPr>
                <w:b w:val="false"/>
                <w:bCs w:val="false"/>
                <w:sz w:val="20"/>
                <w:szCs w:val="20"/>
              </w:rPr>
              <w:t xml:space="preserve">§3.1.2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§6 Privacy was never updated for the v1.1 dual-source change and said nothing about HealthKit.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HealthKit handling, export handling, and diagnostics redaction specified.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 had no success criterion for source failover — the capability the v1.1 architecture rewrite existed to deliver.</w:t>
            </w:r>
          </w:p>
        </w:tc>
        <w:tc>
          <w:tcPr>
            <w:tcW w:type="dxa" w:w="4100"/>
            <w:tcMar>
              <w:top w:type="dxa" w:w="60"/>
              <w:left w:type="dxa" w:w="100"/>
              <w:bottom w:type="dxa" w:w="60"/>
              <w:right w:type="dxa" w:w="100"/>
            </w:tcMar>
          </w:tcPr>
          <w:p>
            <w:pPr>
              <w:spacing w:after="0" w:line="250"/>
            </w:pPr>
            <w:r>
              <w:rPr>
                <w:b w:val="false"/>
                <w:bCs w:val="false"/>
                <w:sz w:val="20"/>
                <w:szCs w:val="20"/>
              </w:rPr>
              <w:t xml:space="preserve">Resilience criterion added: sample completeness and maximum gap duration.</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bl>
    <w:p>
      <w:pPr>
        <w:pStyle w:val="Heading2"/>
        <w:spacing w:after="140" w:before="280"/>
      </w:pPr>
      <w:r>
        <w:rPr>
          <w:b w:val="false"/>
          <w:bCs w:val="false"/>
        </w:rPr>
        <w:t xml:space="preserve">B.4 Specification Gaps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sensor lifecycle model; a routine 30-minute G7 warmup would have rendered as a staleness failure every 10 days.</w:t>
            </w:r>
          </w:p>
        </w:tc>
        <w:tc>
          <w:tcPr>
            <w:tcW w:type="dxa" w:w="4100"/>
            <w:tcMar>
              <w:top w:type="dxa" w:w="60"/>
              <w:left w:type="dxa" w:w="100"/>
              <w:bottom w:type="dxa" w:w="60"/>
              <w:right w:type="dxa" w:w="100"/>
            </w:tcMar>
          </w:tcPr>
          <w:p>
            <w:pPr>
              <w:spacing w:after="0" w:line="250"/>
            </w:pPr>
            <w:r>
              <w:rPr>
                <w:b w:val="false"/>
                <w:bCs w:val="false"/>
                <w:sz w:val="20"/>
                <w:szCs w:val="20"/>
              </w:rPr>
              <w:t xml:space="preserve">New §3.1.3 with six explicit states, plus a sensor session dashboard.</w:t>
            </w:r>
          </w:p>
        </w:tc>
        <w:tc>
          <w:tcPr>
            <w:tcW w:type="dxa" w:w="1760"/>
            <w:tcMar>
              <w:top w:type="dxa" w:w="60"/>
              <w:left w:type="dxa" w:w="100"/>
              <w:bottom w:type="dxa" w:w="60"/>
              <w:right w:type="dxa" w:w="100"/>
            </w:tcMar>
          </w:tcPr>
          <w:p>
            <w:pPr>
              <w:spacing w:after="0" w:line="250"/>
            </w:pPr>
            <w:r>
              <w:rPr>
                <w:b w:val="false"/>
                <w:bCs w:val="false"/>
                <w:sz w:val="20"/>
                <w:szCs w:val="20"/>
              </w:rPr>
              <w:t xml:space="preserve">§3.1.2, §3.1.3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handling for values at the G7's 40–400 mg/dL rails; a bounded sentinel would display as a measurement.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LOW/HIGH sentinel rendering and model flags.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§4.2.3,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Dexcom backfills and revises readings; insert-only persistence accumulates duplicates that corrupt every aggregate.</w:t>
            </w:r>
          </w:p>
        </w:tc>
        <w:tc>
          <w:tcPr>
            <w:tcW w:type="dxa" w:w="4100"/>
            <w:tcMar>
              <w:top w:type="dxa" w:w="60"/>
              <w:left w:type="dxa" w:w="100"/>
              <w:bottom w:type="dxa" w:w="60"/>
              <w:right w:type="dxa" w:w="100"/>
            </w:tcMar>
          </w:tcPr>
          <w:p>
            <w:pPr>
              <w:spacing w:after="0" w:line="250"/>
            </w:pPr>
            <w:r>
              <w:rPr>
                <w:b w:val="false"/>
                <w:bCs w:val="false"/>
                <w:sz w:val="20"/>
                <w:szCs w:val="20"/>
              </w:rPr>
              <w:t xml:space="preserve">Upsert-by-sample-time semantics; HealthKit deletions handled.</w:t>
            </w:r>
          </w:p>
        </w:tc>
        <w:tc>
          <w:tcPr>
            <w:tcW w:type="dxa" w:w="1760"/>
            <w:tcMar>
              <w:top w:type="dxa" w:w="60"/>
              <w:left w:type="dxa" w:w="100"/>
              <w:bottom w:type="dxa" w:w="60"/>
              <w:right w:type="dxa" w:w="100"/>
            </w:tcMar>
          </w:tcPr>
          <w:p>
            <w:pPr>
              <w:spacing w:after="0" w:line="250"/>
            </w:pPr>
            <w:r>
              <w:rPr>
                <w:b w:val="false"/>
                <w:bCs w:val="false"/>
                <w:sz w:val="20"/>
                <w:szCs w:val="20"/>
              </w:rPr>
              <w:t xml:space="preserve">§3.1.1, §4.2.2,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90-day window is ~26,000 points; handing that to Swift Charts stutters, and an unbounded @Query materialises the store into a view body.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§4.5: downsampling with min/max preservation, DailyAggregate, bounded predicates.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SwiftData was chosen for migrations, then no migration plan was given despite committed model changes at v2 and v3.</w:t>
            </w:r>
          </w:p>
        </w:tc>
        <w:tc>
          <w:tcPr>
            <w:tcW w:type="dxa" w:w="4100"/>
            <w:tcMar>
              <w:top w:type="dxa" w:w="60"/>
              <w:left w:type="dxa" w:w="100"/>
              <w:bottom w:type="dxa" w:w="60"/>
              <w:right w:type="dxa" w:w="100"/>
            </w:tcMar>
          </w:tcPr>
          <w:p>
            <w:pPr>
              <w:spacing w:after="0" w:line="250"/>
            </w:pPr>
            <w:r>
              <w:rPr>
                <w:b w:val="false"/>
                <w:bCs w:val="false"/>
                <w:sz w:val="20"/>
                <w:szCs w:val="20"/>
              </w:rPr>
              <w:t xml:space="preserve">VersionedSchema and SchemaMigrationPlan from v1, with per-version migration tests.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retention policy, and the 90-day backfill window means older data exists only if the app was running.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Retention policy defined; nothing auto-deleted.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export or backup before v3 iCloud — a single point of failure for years of irreplaceable medical history.</w:t>
            </w:r>
          </w:p>
        </w:tc>
        <w:tc>
          <w:tcPr>
            <w:tcW w:type="dxa" w:w="4100"/>
            <w:tcMar>
              <w:top w:type="dxa" w:w="60"/>
              <w:left w:type="dxa" w:w="100"/>
              <w:bottom w:type="dxa" w:w="60"/>
              <w:right w:type="dxa" w:w="100"/>
            </w:tcMar>
          </w:tcPr>
          <w:p>
            <w:pPr>
              <w:spacing w:after="0" w:line="250"/>
            </w:pPr>
            <w:r>
              <w:rPr>
                <w:b w:val="false"/>
                <w:bCs w:val="false"/>
                <w:sz w:val="20"/>
                <w:szCs w:val="20"/>
              </w:rPr>
              <w:t xml:space="preserve">New §3.1.7 shipping in v1: CSV/JSON, database backup/restore, Nightscout format.</w:t>
            </w:r>
          </w:p>
        </w:tc>
        <w:tc>
          <w:tcPr>
            <w:tcW w:type="dxa" w:w="1760"/>
            <w:tcMar>
              <w:top w:type="dxa" w:w="60"/>
              <w:left w:type="dxa" w:w="100"/>
              <w:bottom w:type="dxa" w:w="60"/>
              <w:right w:type="dxa" w:w="100"/>
            </w:tcMar>
          </w:tcPr>
          <w:p>
            <w:pPr>
              <w:spacing w:after="0" w:line="250"/>
            </w:pPr>
            <w:r>
              <w:rPr>
                <w:b w:val="false"/>
                <w:bCs w:val="false"/>
                <w:sz w:val="20"/>
                <w:szCs w:val="20"/>
              </w:rPr>
              <w:t xml:space="preserve">§3.1.7,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Exercise was logged with type, duration, and intensity, then used only as a timeline glyph despite being a major driver of glucose response.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Exercise sensitivity multiplier feeds the forecast; HealthKit workouts auto-suggest entries.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§3.2.3,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Client-side trend thresholds were unspecified, so computed arrows would have disagreed with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New §4.2.6 with Dexcom's published rate bands and the non-computable cases.</w:t>
            </w:r>
          </w:p>
        </w:tc>
        <w:tc>
          <w:tcPr>
            <w:tcW w:type="dxa" w:w="1760"/>
            <w:tcMar>
              <w:top w:type="dxa" w:w="60"/>
              <w:left w:type="dxa" w:w="100"/>
              <w:bottom w:type="dxa" w:w="60"/>
              <w:right w:type="dxa" w:w="100"/>
            </w:tcMar>
          </w:tcPr>
          <w:p>
            <w:pPr>
              <w:spacing w:after="0" w:line="250"/>
            </w:pPr>
            <w:r>
              <w:rPr>
                <w:b w:val="false"/>
                <w:bCs w:val="false"/>
                <w:sz w:val="20"/>
                <w:szCs w:val="20"/>
              </w:rPr>
              <w:t xml:space="preserve">§4.2.6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Trend was described as seven states; the Share API returns ten, including None, NotComputable, and RateOutOfRange.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Non-arrow states specified and given a neutral glyph.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VoiceOver and chart accessibility unaddressed; Swift Charts is opaque to screen readers by default.</w:t>
            </w:r>
          </w:p>
        </w:tc>
        <w:tc>
          <w:tcPr>
            <w:tcW w:type="dxa" w:w="4100"/>
            <w:tcMar>
              <w:top w:type="dxa" w:w="60"/>
              <w:left w:type="dxa" w:w="100"/>
              <w:bottom w:type="dxa" w:w="60"/>
              <w:right w:type="dxa" w:w="100"/>
            </w:tcMar>
          </w:tcPr>
          <w:p>
            <w:pPr>
              <w:spacing w:after="0" w:line="250"/>
            </w:pPr>
            <w:r>
              <w:rPr>
                <w:b w:val="false"/>
                <w:bCs w:val="false"/>
                <w:sz w:val="20"/>
                <w:szCs w:val="20"/>
              </w:rPr>
              <w:t xml:space="preserve">New §5.4, including AXChartDescriptor, composed hero labels, and Reduce Motion / Increase Contrast behaviour.</w:t>
            </w:r>
          </w:p>
        </w:tc>
        <w:tc>
          <w:tcPr>
            <w:tcW w:type="dxa" w:w="1760"/>
            <w:tcMar>
              <w:top w:type="dxa" w:w="60"/>
              <w:left w:type="dxa" w:w="100"/>
              <w:bottom w:type="dxa" w:w="60"/>
              <w:right w:type="dxa" w:w="100"/>
            </w:tcMar>
          </w:tcPr>
          <w:p>
            <w:pPr>
              <w:spacing w:after="0" w:line="250"/>
            </w:pPr>
            <w:r>
              <w:rPr>
                <w:b w:val="false"/>
                <w:bCs w:val="false"/>
                <w:sz w:val="20"/>
                <w:szCs w:val="20"/>
              </w:rPr>
              <w:t xml:space="preserve">§5.4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96pt hero number cannot survive accessibility Dynamic Type sizes.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Scaling cap with layout reflow, verified at AX5.</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claim that HealthKit glucose lags 15–30 minutes was a G6-era figure driving the entire architecture, and was never verified for G7.</w:t>
            </w:r>
          </w:p>
        </w:tc>
        <w:tc>
          <w:tcPr>
            <w:tcW w:type="dxa" w:w="4100"/>
            <w:tcMar>
              <w:top w:type="dxa" w:w="60"/>
              <w:left w:type="dxa" w:w="100"/>
              <w:bottom w:type="dxa" w:w="60"/>
              <w:right w:type="dxa" w:w="100"/>
            </w:tcMar>
          </w:tcPr>
          <w:p>
            <w:pPr>
              <w:spacing w:after="0" w:line="250"/>
            </w:pPr>
            <w:r>
              <w:rPr>
                <w:b w:val="false"/>
                <w:bCs w:val="false"/>
                <w:sz w:val="20"/>
                <w:szCs w:val="20"/>
              </w:rPr>
              <w:t xml:space="preserve">Made an explicit Phase 1 measurement with a defined method and a blocking exit criterion; downstream product decisions named.</w:t>
            </w:r>
          </w:p>
        </w:tc>
        <w:tc>
          <w:tcPr>
            <w:tcW w:type="dxa" w:w="1760"/>
            <w:tcMar>
              <w:top w:type="dxa" w:w="60"/>
              <w:left w:type="dxa" w:w="100"/>
              <w:bottom w:type="dxa" w:w="60"/>
              <w:right w:type="dxa" w:w="100"/>
            </w:tcMar>
          </w:tcPr>
          <w:p>
            <w:pPr>
              <w:spacing w:after="0" w:line="250"/>
            </w:pPr>
            <w:r>
              <w:rPr>
                <w:b w:val="false"/>
                <w:bCs w:val="false"/>
                <w:sz w:val="20"/>
                <w:szCs w:val="20"/>
              </w:rPr>
              <w:t xml:space="preserve">§1.3, §4.2.2, §7, §9</w:t>
            </w:r>
          </w:p>
        </w:tc>
      </w:tr>
    </w:tbl>
    <w:p>
      <w:pPr>
        <w:pStyle w:val="Heading2"/>
        <w:spacing w:after="140" w:before="280"/>
      </w:pPr>
      <w:r>
        <w:rPr>
          <w:b w:val="false"/>
          <w:bCs w:val="false"/>
        </w:rPr>
        <w:t xml:space="preserve">B.5 Corrections &amp; Refinements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range.low (#FF453A) and range.urgent (#FF2D55) are near-identical hues, and that is the most safety-critical distinction in the app.</w:t>
            </w:r>
          </w:p>
        </w:tc>
        <w:tc>
          <w:tcPr>
            <w:tcW w:type="dxa" w:w="4100"/>
            <w:tcMar>
              <w:top w:type="dxa" w:w="60"/>
              <w:left w:type="dxa" w:w="100"/>
              <w:bottom w:type="dxa" w:w="60"/>
              <w:right w:type="dxa" w:w="100"/>
            </w:tcMar>
          </w:tcPr>
          <w:p>
            <w:pPr>
              <w:spacing w:after="0" w:line="250"/>
            </w:pPr>
            <w:r>
              <w:rPr>
                <w:b w:val="false"/>
                <w:bCs w:val="false"/>
                <w:sz w:val="20"/>
                <w:szCs w:val="20"/>
              </w:rPr>
              <w:t xml:space="preserve">Urgent distinguished by treatment rather than hue: fill-plus-white-text versus coloured text, plus a distinct glyph.</w:t>
            </w:r>
          </w:p>
        </w:tc>
        <w:tc>
          <w:tcPr>
            <w:tcW w:type="dxa" w:w="1760"/>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Freshness text — the most safety-relevant string on screen — used the dimmest token in the system at 13pt.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text.freshness token; measured contrast reported.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“96pt Bold is a true OLED-friendly weight” is backwards; a heavier glyph lights more pixels and increases night glare.</w:t>
            </w:r>
          </w:p>
        </w:tc>
        <w:tc>
          <w:tcPr>
            <w:tcW w:type="dxa" w:w="4100"/>
            <w:tcMar>
              <w:top w:type="dxa" w:w="60"/>
              <w:left w:type="dxa" w:w="100"/>
              <w:bottom w:type="dxa" w:w="60"/>
              <w:right w:type="dxa" w:w="100"/>
            </w:tcMar>
          </w:tcPr>
          <w:p>
            <w:pPr>
              <w:spacing w:after="0" w:line="250"/>
            </w:pPr>
            <w:r>
              <w:rPr>
                <w:b w:val="false"/>
                <w:bCs w:val="false"/>
                <w:sz w:val="20"/>
                <w:szCs w:val="20"/>
              </w:rPr>
              <w:t xml:space="preserve">Rationale corrected; Bold retained for legibility; Bedside Mode drops to Medium.</w:t>
            </w:r>
          </w:p>
        </w:tc>
        <w:tc>
          <w:tcPr>
            <w:tcW w:type="dxa" w:w="1760"/>
            <w:tcMar>
              <w:top w:type="dxa" w:w="60"/>
              <w:left w:type="dxa" w:w="100"/>
              <w:bottom w:type="dxa" w:w="60"/>
              <w:right w:type="dxa" w:w="100"/>
            </w:tcMar>
          </w:tcPr>
          <w:p>
            <w:pPr>
              <w:spacing w:after="0" w:line="250"/>
            </w:pPr>
            <w:r>
              <w:rPr>
                <w:b w:val="false"/>
                <w:bCs w:val="false"/>
                <w:sz w:val="20"/>
                <w:szCs w:val="20"/>
              </w:rPr>
              <w:t xml:space="preserve">§5.2, §5.3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“Single tap anywhere exits Bedside Mode” conflicts with the tappable timeline and fires on accidental wake-taps.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Deliberate exit gesture: two-finger tap or long-press on the hero number.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Staleness amber at 10 minutes fires on a single missed reading — routine — and trains the user to ignore it.</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Thresholds moved to 12 and 30 minutes; arrow and forecast hidden in the critical state.</w:t>
            </w:r>
          </w:p>
        </w:tc>
        <w:tc>
          <w:tcPr>
            <w:tcW w:type="dxa" w:w="1760"/>
            <w:tcMar>
              <w:top w:type="dxa" w:w="60"/>
              <w:left w:type="dxa" w:w="100"/>
              <w:bottom w:type="dxa" w:w="60"/>
              <w:right w:type="dxa" w:w="100"/>
            </w:tcMar>
          </w:tcPr>
          <w:p>
            <w:pPr>
              <w:spacing w:after="0" w:line="250"/>
            </w:pPr>
            <w:r>
              <w:rPr>
                <w:b w:val="false"/>
                <w:bCs w:val="false"/>
                <w:sz w:val="20"/>
                <w:szCs w:val="20"/>
              </w:rPr>
              <w:t xml:space="preserve">§1.3, §3.1.2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third-party servers” is inaccurate while Share is a data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Reworded to “no servers beyond Dexcom's own.”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photoData stored inline in SwiftData bloats the store and slows unrelated queries.</w:t>
            </w:r>
          </w:p>
        </w:tc>
        <w:tc>
          <w:tcPr>
            <w:tcW w:type="dxa" w:w="4100"/>
            <w:tcMar>
              <w:top w:type="dxa" w:w="60"/>
              <w:left w:type="dxa" w:w="100"/>
              <w:bottom w:type="dxa" w:w="60"/>
              <w:right w:type="dxa" w:w="100"/>
            </w:tcMar>
          </w:tcPr>
          <w:p>
            <w:pPr>
              <w:spacing w:after="0" w:line="250"/>
            </w:pPr>
            <w:r>
              <w:rPr>
                <w:b w:val="false"/>
                <w:bCs w:val="false"/>
                <w:sz w:val="20"/>
                <w:szCs w:val="20"/>
              </w:rPr>
              <w:t xml:space="preserve">@Attribute(.externalStorage).</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iOS 17 minimum is conservative for a single-user app with no market, and inherits iOS 17 SwiftData's known problems.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Minimum raised to the current major release, with the rationale stated.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 6 strict concurrency and SwiftData interact badly; ModelContext is not Sendable.</w:t>
            </w:r>
          </w:p>
        </w:tc>
        <w:tc>
          <w:tcPr>
            <w:tcW w:type="dxa" w:w="4100"/>
            <w:tcMar>
              <w:top w:type="dxa" w:w="60"/>
              <w:left w:type="dxa" w:w="100"/>
              <w:bottom w:type="dxa" w:w="60"/>
              <w:right w:type="dxa" w:w="100"/>
            </w:tcMar>
          </w:tcPr>
          <w:p>
            <w:pPr>
              <w:spacing w:after="0" w:line="250"/>
            </w:pPr>
            <w:r>
              <w:rPr>
                <w:b w:val="false"/>
                <w:bCs w:val="false"/>
                <w:sz w:val="20"/>
                <w:szCs w:val="20"/>
              </w:rPr>
              <w:t xml:space="preserve">All writes routed through a @ModelActor; noted in the stack table.</w:t>
            </w:r>
          </w:p>
        </w:tc>
        <w:tc>
          <w:tcPr>
            <w:tcW w:type="dxa" w:w="1760"/>
            <w:tcMar>
              <w:top w:type="dxa" w:w="60"/>
              <w:left w:type="dxa" w:w="100"/>
              <w:bottom w:type="dxa" w:w="60"/>
              <w:right w:type="dxa" w:w="100"/>
            </w:tcMar>
          </w:tcPr>
          <w:p>
            <w:pPr>
              <w:spacing w:after="0" w:line="250"/>
            </w:pPr>
            <w:r>
              <w:rPr>
                <w:b w:val="false"/>
                <w:bCs w:val="false"/>
                <w:sz w:val="20"/>
                <w:szCs w:val="20"/>
              </w:rPr>
              <w:t xml:space="preserve">§4.1, §4.3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CI signing in a one-weekend Phase 0 is a disproportionate time sink for a personal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CI does build and test only; signing deferred until TestFlight is actually needed.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“TIR improves by any measurable amount” is not measurable — TIR swings several points week to week on its own.</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 set at 5 percentage points sustained over 30 days against a defined pre-install baseline; attribution explicitly not claimed.</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Japan Share endpoint was missing from the region toggle.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share.dexcom.jp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regulatory position was framed as intent-based; the actual boundary is distribution.</w:t>
            </w:r>
          </w:p>
        </w:tc>
        <w:tc>
          <w:tcPr>
            <w:tcW w:type="dxa" w:w="4100"/>
            <w:tcMar>
              <w:top w:type="dxa" w:w="60"/>
              <w:left w:type="dxa" w:w="100"/>
              <w:bottom w:type="dxa" w:w="60"/>
              <w:right w:type="dxa" w:w="100"/>
            </w:tcMar>
          </w:tcPr>
          <w:p>
            <w:pPr>
              <w:spacing w:after="0" w:line="250"/>
            </w:pPr>
            <w:r>
              <w:rPr>
                <w:b w:val="false"/>
                <w:bCs w:val="false"/>
                <w:sz w:val="20"/>
                <w:szCs w:val="20"/>
              </w:rPr>
              <w:t xml:space="preserve">New §1.4 stating the personal-use position, the line, the ToS issue, and why the official Dexcom API is unusable.</w:t>
            </w:r>
          </w:p>
        </w:tc>
        <w:tc>
          <w:tcPr>
            <w:tcW w:type="dxa" w:w="1760"/>
            <w:tcMar>
              <w:top w:type="dxa" w:w="60"/>
              <w:left w:type="dxa" w:w="100"/>
              <w:bottom w:type="dxa" w:w="60"/>
              <w:right w:type="dxa" w:w="100"/>
            </w:tcMar>
          </w:tcPr>
          <w:p>
            <w:pPr>
              <w:spacing w:after="0" w:line="250"/>
            </w:pPr>
            <w:r>
              <w:rPr>
                <w:b w:val="false"/>
                <w:bCs w:val="false"/>
                <w:sz w:val="20"/>
                <w:szCs w:val="20"/>
              </w:rPr>
              <w:t xml:space="preserve">§1.4</w:t>
            </w:r>
          </w:p>
        </w:tc>
      </w:tr>
    </w:tbl>
    <w:p>
      <w:pPr>
        <w:pStyle w:val="Heading2"/>
        <w:spacing w:after="140" w:before="280"/>
      </w:pPr>
      <w:r>
        <w:rPr>
          <w:b w:val="false"/>
          <w:bCs w:val="false"/>
        </w:rPr>
        <w:t xml:space="preserve">B.6 Features Added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Feature</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Rationale</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Live Activity and Dynamic Island</w:t>
            </w:r>
          </w:p>
        </w:tc>
        <w:tc>
          <w:tcPr>
            <w:tcW w:type="dxa" w:w="4100"/>
            <w:tcMar>
              <w:top w:type="dxa" w:w="60"/>
              <w:left w:type="dxa" w:w="100"/>
              <w:bottom w:type="dxa" w:w="60"/>
              <w:right w:type="dxa" w:w="100"/>
            </w:tcMar>
          </w:tcPr>
          <w:p>
            <w:pPr>
              <w:spacing w:after="0" w:line="250"/>
            </w:pPr>
            <w:r>
              <w:rPr>
                <w:b w:val="false"/>
                <w:bCs w:val="false"/>
                <w:sz w:val="20"/>
                <w:szCs w:val="20"/>
              </w:rPr>
              <w:t xml:space="preserve">The primary use case is 20–50 daily glances. A persistent Lock Screen reading absorbs most of them without opening anything, and it is the single change that most affects daily experience.</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Apple Watch complication, reading HealthKit directly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Glances happen at the wrist. Direct HealthKit access avoids WatchConnectivity, which would make the most-used surface the least fresh.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App Intents for logging and querying</w:t>
            </w:r>
          </w:p>
        </w:tc>
        <w:tc>
          <w:tcPr>
            <w:tcW w:type="dxa" w:w="4100"/>
            <w:tcMar>
              <w:top w:type="dxa" w:w="60"/>
              <w:left w:type="dxa" w:w="100"/>
              <w:bottom w:type="dxa" w:w="60"/>
              <w:right w:type="dxa" w:w="100"/>
            </w:tcMar>
          </w:tcPr>
          <w:p>
            <w:pPr>
              <w:spacing w:after="0" w:line="250"/>
            </w:pPr>
            <w:r>
              <w:rPr>
                <w:b w:val="false"/>
                <w:bCs w:val="false"/>
                <w:sz w:val="20"/>
                <w:szCs w:val="20"/>
              </w:rPr>
              <w:t xml:space="preserve">The fastest logging path available, serving the sub-30-second target. One implementation yields Siri, Shortcuts, Spotlight, and interactive widgets.</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Sensor session dashboard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Nearly free once the lifecycle state machine exists, and answers a question that currently requires opening the Dexcom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 (v1)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 fingerprinting</w:t>
            </w:r>
          </w:p>
        </w:tc>
        <w:tc>
          <w:tcPr>
            <w:tcW w:type="dxa" w:w="4100"/>
            <w:tcMar>
              <w:top w:type="dxa" w:w="60"/>
              <w:left w:type="dxa" w:w="100"/>
              <w:bottom w:type="dxa" w:w="60"/>
              <w:right w:type="dxa" w:w="100"/>
            </w:tcMar>
          </w:tcPr>
          <w:p>
            <w:pPr>
              <w:spacing w:after="0" w:line="250"/>
            </w:pPr>
            <w:r>
              <w:rPr>
                <w:b w:val="false"/>
                <w:bCs w:val="false"/>
                <w:sz w:val="20"/>
                <w:szCs w:val="20"/>
              </w:rPr>
              <w:t xml:space="preserve">The feature the official app structurally cannot offer, and the payoff that justifies the logging discipline v2 asks for. Promoted from a v3 line item.</w:t>
            </w:r>
          </w:p>
        </w:tc>
        <w:tc>
          <w:tcPr>
            <w:tcW w:type="dxa" w:w="1760"/>
            <w:tcMar>
              <w:top w:type="dxa" w:w="60"/>
              <w:left w:type="dxa" w:w="100"/>
              <w:bottom w:type="dxa" w:w="60"/>
              <w:right w:type="dxa" w:w="100"/>
            </w:tcMar>
          </w:tcPr>
          <w:p>
            <w:pPr>
              <w:spacing w:after="0" w:line="250"/>
            </w:pPr>
            <w:r>
              <w:rPr>
                <w:b w:val="false"/>
                <w:bCs w:val="false"/>
                <w:sz w:val="20"/>
                <w:szCs w:val="20"/>
              </w:rPr>
              <w:t xml:space="preserve">§3.2.5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Overnight report card with compression-low detection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High value for T1D at low cost; flagging artifacts prevents over-correcting patterns that were never real and keeps them out of the forecast error statistics.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§3.2.6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Extended HealthKit context reads (sleep, workouts, steps, carbs, insulin)</w:t>
            </w:r>
          </w:p>
        </w:tc>
        <w:tc>
          <w:tcPr>
            <w:tcW w:type="dxa" w:w="4100"/>
            <w:tcMar>
              <w:top w:type="dxa" w:w="60"/>
              <w:left w:type="dxa" w:w="100"/>
              <w:bottom w:type="dxa" w:w="60"/>
              <w:right w:type="dxa" w:w="100"/>
            </w:tcMar>
          </w:tcPr>
          <w:p>
            <w:pPr>
              <w:spacing w:after="0" w:line="250"/>
            </w:pPr>
            <w:r>
              <w:rPr>
                <w:b w:val="false"/>
                <w:bCs w:val="false"/>
                <w:sz w:val="20"/>
                <w:szCs w:val="20"/>
              </w:rPr>
              <w:t xml:space="preserve">The plumbing already exists. Each read reduces manual logging, which §10 identifies as the primary adoption risk.</w:t>
            </w:r>
          </w:p>
        </w:tc>
        <w:tc>
          <w:tcPr>
            <w:tcW w:type="dxa" w:w="1760"/>
            <w:tcMar>
              <w:top w:type="dxa" w:w="60"/>
              <w:left w:type="dxa" w:w="100"/>
              <w:bottom w:type="dxa" w:w="60"/>
              <w:right w:type="dxa" w:w="100"/>
            </w:tcMar>
          </w:tcPr>
          <w:p>
            <w:pPr>
              <w:spacing w:after="0" w:line="250"/>
            </w:pPr>
            <w:r>
              <w:rPr>
                <w:b w:val="false"/>
                <w:bCs w:val="false"/>
                <w:sz w:val="20"/>
                <w:szCs w:val="20"/>
              </w:rPr>
              <w:t xml:space="preserve">§3.1.1, §3.2.1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Bolus outcome review</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Reuses the prediction engine with no new math, closes the logging-to-learning loop, and stays retrospective — so it serves dosing accuracy without recommending a dose.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§3.2.7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Predicted-low heads-up, pull-only</w:t>
            </w:r>
          </w:p>
        </w:tc>
        <w:tc>
          <w:tcPr>
            <w:tcW w:type="dxa" w:w="4100"/>
            <w:tcMar>
              <w:top w:type="dxa" w:w="60"/>
              <w:left w:type="dxa" w:w="100"/>
              <w:bottom w:type="dxa" w:w="60"/>
              <w:right w:type="dxa" w:w="100"/>
            </w:tcMar>
          </w:tcPr>
          <w:p>
            <w:pPr>
              <w:spacing w:after="0" w:line="250"/>
            </w:pPr>
            <w:r>
              <w:rPr>
                <w:b w:val="false"/>
                <w:bCs w:val="false"/>
                <w:sz w:val="20"/>
                <w:szCs w:val="20"/>
              </w:rPr>
              <w:t xml:space="preserve">The most valuable forecast output, delivered without crossing the alarm boundary. The official app keeps the alarm; GlucoNoir keeps the foresight.</w:t>
            </w:r>
          </w:p>
        </w:tc>
        <w:tc>
          <w:tcPr>
            <w:tcW w:type="dxa" w:w="1760"/>
            <w:tcMar>
              <w:top w:type="dxa" w:w="60"/>
              <w:left w:type="dxa" w:w="100"/>
              <w:bottom w:type="dxa" w:w="60"/>
              <w:right w:type="dxa" w:w="100"/>
            </w:tcMar>
          </w:tcPr>
          <w:p>
            <w:pPr>
              <w:spacing w:after="0" w:line="250"/>
            </w:pPr>
            <w:r>
              <w:rPr>
                <w:b w:val="false"/>
                <w:bCs w:val="false"/>
                <w:sz w:val="20"/>
                <w:szCs w:val="20"/>
              </w:rPr>
              <w:t xml:space="preserve">§3.2.3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Auto-generated endo prep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More useful in a 15-minute appointment than a raw AGP page.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§3.3 (v3)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Replay and simulator mode</w:t>
            </w:r>
          </w:p>
        </w:tc>
        <w:tc>
          <w:tcPr>
            <w:tcW w:type="dxa" w:w="4100"/>
            <w:tcMar>
              <w:top w:type="dxa" w:w="60"/>
              <w:left w:type="dxa" w:w="100"/>
              <w:bottom w:type="dxa" w:w="60"/>
              <w:right w:type="dxa" w:w="100"/>
            </w:tcMar>
          </w:tcPr>
          <w:p>
            <w:pPr>
              <w:spacing w:after="0" w:line="250"/>
            </w:pPr>
            <w:r>
              <w:rPr>
                <w:b w:val="false"/>
                <w:bCs w:val="false"/>
                <w:sz w:val="20"/>
                <w:szCs w:val="20"/>
              </w:rPr>
              <w:t xml:space="preserve">Required to develop during sensor warmup and to make Phase 2's 24-hour failure-injection exit criterion an automated test rather than a vigil.</w:t>
            </w:r>
          </w:p>
        </w:tc>
        <w:tc>
          <w:tcPr>
            <w:tcW w:type="dxa" w:w="1760"/>
            <w:tcMar>
              <w:top w:type="dxa" w:w="60"/>
              <w:left w:type="dxa" w:w="100"/>
              <w:bottom w:type="dxa" w:w="60"/>
              <w:right w:type="dxa" w:w="100"/>
            </w:tcMar>
          </w:tcPr>
          <w:p>
            <w:pPr>
              <w:spacing w:after="0" w:line="250"/>
            </w:pPr>
            <w:r>
              <w:rPr>
                <w:b w:val="false"/>
                <w:bCs w:val="false"/>
                <w:sz w:val="20"/>
                <w:szCs w:val="20"/>
              </w:rPr>
              <w:t xml:space="preserve">§4.5,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Rescue-carb calculator — deliberately excluded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Two lines of code once ISF and ICR exist, and squarely across the §1.2 line. Recorded as a permanent non-goal so future work does not drift into it.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§1.2</w:t>
            </w:r>
          </w:p>
        </w:tc>
      </w:tr>
    </w:tbl>
    <w:p>
      <w:pPr>
        <w:pStyle w:val="Heading2"/>
        <w:spacing w:after="140" w:before="280"/>
      </w:pPr>
      <w:r>
        <w:rPr>
          <w:b w:val="false"/>
          <w:bCs w:val="false"/>
        </w:rPr>
        <w:t xml:space="preserve">B.7 v1.3 Findings — Data Source Architecture</w:t>
      </w:r>
    </w:p>
    <w:p>
      <w:pPr>
        <w:spacing w:after="120" w:line="276"/>
      </w:pPr>
      <w:r>
        <w:rPr>
          <w:b w:val="false"/>
          <w:bCs w:val="false"/>
        </w:rPr>
        <w:t xml:space="preserve">A second review pass, verified against primary sources rather than recalled. This pass overturned the central architectural decision of both prior revisions.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Apple HealthKit carries a documented three-hour delay</w:t>
            </w:r>
            <w:r>
              <w:rPr>
                <w:b w:val="false"/>
                <w:bCs w:val="false"/>
                <w:sz w:val="20"/>
                <w:szCs w:val="20"/>
              </w:rPr>
              <w:t xml:space="preserve"> for Dexcom G7 data, not the 15–30 minutes assumed in v1.1. v1.2 compounded this by promoting HealthKit to primary live source and background wake mechanism — it would have shown a three-hour-old value at 3am.</w:t>
            </w:r>
          </w:p>
        </w:tc>
        <w:tc>
          <w:tcPr>
            <w:tcW w:type="dxa" w:w="4100"/>
            <w:tcMar>
              <w:top w:type="dxa" w:w="60"/>
              <w:left w:type="dxa" w:w="100"/>
              <w:bottom w:type="dxa" w:w="60"/>
              <w:right w:type="dxa" w:w="100"/>
            </w:tcMar>
          </w:tcPr>
          <w:p>
            <w:pPr>
              <w:spacing w:after="0" w:line="250"/>
            </w:pPr>
            <w:r>
              <w:rPr>
                <w:b w:val="false"/>
                <w:bCs w:val="false"/>
                <w:sz w:val="20"/>
                <w:szCs w:val="20"/>
              </w:rPr>
              <w:t xml:space="preserve">HealthKit demoted to historical backfill only, where the delay is irrelevant. It is structurally barred from supplying the displayed current value.</w:t>
            </w:r>
          </w:p>
        </w:tc>
        <w:tc>
          <w:tcPr>
            <w:tcW w:type="dxa" w:w="1760"/>
            <w:tcMar>
              <w:top w:type="dxa" w:w="60"/>
              <w:left w:type="dxa" w:w="100"/>
              <w:bottom w:type="dxa" w:w="60"/>
              <w:right w:type="dxa" w:w="100"/>
            </w:tcMar>
          </w:tcPr>
          <w:p>
            <w:pPr>
              <w:spacing w:after="0" w:line="250"/>
            </w:pPr>
            <w:r>
              <w:rPr>
                <w:b w:val="false"/>
                <w:bCs w:val="false"/>
                <w:sz w:val="20"/>
                <w:szCs w:val="20"/>
              </w:rPr>
              <w:t xml:space="preserve">§1, §1.3, §3.1.1, §4.2.3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Direct BLE to the sensor was never considered</w:t>
            </w:r>
            <w:r>
              <w:rPr>
                <w:b w:val="false"/>
                <w:bCs w:val="false"/>
                <w:sz w:val="20"/>
                <w:szCs w:val="20"/>
              </w:rPr>
              <w:t xml:space="preserve"> in either revision, despite being the only source that is both real-time and independent of any network.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Direct Bluetooth via G7SensorKit (LoopKit, MIT) is now the primary source. Latency drops from minutes to seconds and the app works with no internet at all.</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 §3.1.1, §4.1,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G7 exposes only </w:t>
            </w:r>
            <w:r>
              <w:rPr>
                <w:b/>
                <w:bCs/>
                <w:sz w:val="20"/>
                <w:szCs w:val="20"/>
              </w:rPr>
              <w:t xml:space="preserve">three Bluetooth channels</w:t>
            </w:r>
            <w:r>
              <w:rPr>
                <w:b w:val="false"/>
                <w:bCs w:val="false"/>
                <w:sz w:val="20"/>
                <w:szCs w:val="20"/>
              </w:rPr>
              <w:t xml:space="preserve"> (phone, watch, receiver/AID), and the phone channel is held by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Explicit channel budget documented. GlucoNoir occupies the receiver/AID channel; this user runs Direct to Watch and owns no receiver, so all three are allocated with none spare.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Whether a third BLE client degrades the official app's connection </w:t>
            </w:r>
            <w:r>
              <w:rPr>
                <w:b/>
                <w:bCs/>
                <w:sz w:val="20"/>
                <w:szCs w:val="20"/>
              </w:rPr>
              <w:t xml:space="preserve">cannot be determined by reasoning</w:t>
            </w:r>
            <w:r>
              <w:rPr>
                <w:b w:val="false"/>
                <w:bCs w:val="false"/>
                <w:sz w:val="20"/>
                <w:szCs w:val="20"/>
              </w:rPr>
              <w:t xml:space="preserve"> — and that app is the safety-critical alarm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Phase 1 is now a minimal 48-hour BLE spike whose exit criterion includes no degradation of the official app. It blocks all downstream work.</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 §9</w:t>
            </w:r>
          </w:p>
        </w:tc>
      </w:tr>
      <w:tr>
        <w:tc>
          <w:tcPr>
            <w:tcW w:type="dxa" w:w="3500"/>
            <w:tcMar>
              <w:top w:type="dxa" w:w="60"/>
              <w:left w:type="dxa" w:w="100"/>
              <w:bottom w:type="dxa" w:w="60"/>
              <w:right w:type="dxa" w:w="100"/>
            </w:tcMar>
          </w:tcPr>
          <w:p>
            <w:pPr>
              <w:spacing w:after="0" w:line="250"/>
            </w:pPr>
            <w:r>
              <w:rPr>
                <w:b/>
                <w:bCs/>
                <w:sz w:val="20"/>
                <w:szCs w:val="20"/>
              </w:rPr>
              <w:t xml:space="preserve">Share authenticates with the account holder's own credentials</w:t>
            </w:r>
            <w:r>
              <w:rPr>
                <w:b w:val="false"/>
                <w:bCs w:val="false"/>
                <w:sz w:val="20"/>
                <w:szCs w:val="20"/>
              </w:rPr>
              <w:t xml:space="preserve">, not a follower's. Both prior revisions instructed the opposite.</w:t>
            </w:r>
          </w:p>
        </w:tc>
        <w:tc>
          <w:tcPr>
            <w:tcW w:type="dxa" w:w="4100"/>
            <w:tcMar>
              <w:top w:type="dxa" w:w="60"/>
              <w:left w:type="dxa" w:w="100"/>
              <w:bottom w:type="dxa" w:w="60"/>
              <w:right w:type="dxa" w:w="100"/>
            </w:tcMar>
          </w:tcPr>
          <w:p>
            <w:pPr>
              <w:spacing w:after="0" w:line="250"/>
            </w:pPr>
            <w:r>
              <w:rPr>
                <w:b w:val="false"/>
                <w:bCs w:val="false"/>
                <w:sz w:val="20"/>
                <w:szCs w:val="20"/>
              </w:rPr>
              <w:t xml:space="preserve">Corrected. A follower must merely exist for Share to be enabled; you never log in as one.</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v1.2's six invented sensor-lifecycle states were guesswork.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the sensor's own </w:t>
            </w:r>
            <w:r>
              <w:rPr>
                <w:rFonts w:ascii="Consolas" w:cs="Consolas" w:eastAsia="Consolas" w:hAnsi="Consolas"/>
                <w:b w:val="false"/>
                <w:bCs w:val="false"/>
                <w:sz w:val="19"/>
                <w:szCs w:val="19"/>
              </w:rPr>
              <w:t xml:space="preserve">algorithmState</w:t>
            </w:r>
            <w:r>
              <w:rPr>
                <w:b w:val="false"/>
                <w:bCs w:val="false"/>
                <w:sz w:val="20"/>
                <w:szCs w:val="20"/>
              </w:rPr>
              <w:t xml:space="preserve"> — 26 states including distinct failure modes — grouped into seven display states.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Share endpoints, applicationId constants, and the integer-to-string </w:t>
            </w:r>
            <w:r>
              <w:rPr>
                <w:rFonts w:ascii="Consolas" w:cs="Consolas" w:eastAsia="Consolas" w:hAnsi="Consolas"/>
                <w:b w:val="false"/>
                <w:bCs w:val="false"/>
                <w:sz w:val="19"/>
                <w:szCs w:val="19"/>
              </w:rPr>
              <w:t xml:space="preserve">Trend</w:t>
            </w:r>
            <w:r>
              <w:rPr>
                <w:b w:val="false"/>
                <w:bCs w:val="false"/>
                <w:sz w:val="20"/>
                <w:szCs w:val="20"/>
              </w:rPr>
              <w:t xml:space="preserve"> change were specified from memory.</w:t>
            </w:r>
          </w:p>
        </w:tc>
        <w:tc>
          <w:tcPr>
            <w:tcW w:type="dxa" w:w="4100"/>
            <w:tcMar>
              <w:top w:type="dxa" w:w="60"/>
              <w:left w:type="dxa" w:w="100"/>
              <w:bottom w:type="dxa" w:w="60"/>
              <w:right w:type="dxa" w:w="100"/>
            </w:tcMar>
          </w:tcPr>
          <w:p>
            <w:pPr>
              <w:spacing w:after="0" w:line="250"/>
            </w:pPr>
            <w:r>
              <w:rPr>
                <w:b w:val="false"/>
                <w:bCs w:val="false"/>
                <w:sz w:val="20"/>
                <w:szCs w:val="20"/>
              </w:rPr>
              <w:t xml:space="preserve">Verified against pydexcom source. Two-step auth flow, per-region applicationId values, and string trend decoding all confirmed and documented.</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background wake mechanism was wrong in both revisions — BGAppRefreshTask is a heuristic, HealthKit delivery is punctual but stale.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CoreBluetooth state preservation and restoration. The sensor's own 5-minute transmission drives the cadence.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Signing tier was never treated as a scope constraint.</w:t>
            </w:r>
          </w:p>
        </w:tc>
        <w:tc>
          <w:tcPr>
            <w:tcW w:type="dxa" w:w="4100"/>
            <w:tcMar>
              <w:top w:type="dxa" w:w="60"/>
              <w:left w:type="dxa" w:w="100"/>
              <w:bottom w:type="dxa" w:w="60"/>
              <w:right w:type="dxa" w:w="100"/>
            </w:tcMar>
          </w:tcPr>
          <w:p>
            <w:pPr>
              <w:spacing w:after="0" w:line="250"/>
            </w:pPr>
            <w:r>
              <w:rPr>
                <w:b w:val="false"/>
                <w:bCs w:val="false"/>
                <w:sz w:val="20"/>
                <w:szCs w:val="20"/>
              </w:rPr>
              <w:t xml:space="preserve">New §6.1. Free personal team covers Phases 0–8 including all of v1; only glanceable surfaces need the paid membership, deferred to Phase 9.</w:t>
            </w:r>
          </w:p>
        </w:tc>
        <w:tc>
          <w:tcPr>
            <w:tcW w:type="dxa" w:w="1760"/>
            <w:tcMar>
              <w:top w:type="dxa" w:w="60"/>
              <w:left w:type="dxa" w:w="100"/>
              <w:bottom w:type="dxa" w:w="60"/>
              <w:right w:type="dxa" w:w="100"/>
            </w:tcMar>
          </w:tcPr>
          <w:p>
            <w:pPr>
              <w:spacing w:after="0" w:line="250"/>
            </w:pPr>
            <w:r>
              <w:rPr>
                <w:b w:val="false"/>
                <w:bCs w:val="false"/>
                <w:sz w:val="20"/>
                <w:szCs w:val="20"/>
              </w:rPr>
              <w:t xml:space="preserve">§6.1,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Staleness thresholds (12/30 min) were sized for cloud latency that no longer exists.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Tightened to 7/20 minutes, since a BLE gap is a real gap rather than pipeline delay.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broadcasts its own forward </w:t>
            </w:r>
            <w:r>
              <w:rPr>
                <w:rFonts w:ascii="Consolas" w:cs="Consolas" w:eastAsia="Consolas" w:hAnsi="Consolas"/>
                <w:b w:val="false"/>
                <w:bCs w:val="false"/>
                <w:sz w:val="19"/>
                <w:szCs w:val="19"/>
              </w:rPr>
              <w:t xml:space="preserve">predicted</w:t>
            </w:r>
            <w:r>
              <w:rPr>
                <w:b w:val="false"/>
                <w:bCs w:val="false"/>
                <w:sz w:val="20"/>
                <w:szCs w:val="20"/>
              </w:rPr>
              <w:t xml:space="preserve"> value — a free benchmark that went unnoticed.</w:t>
            </w:r>
          </w:p>
        </w:tc>
        <w:tc>
          <w:tcPr>
            <w:tcW w:type="dxa" w:w="4100"/>
            <w:tcMar>
              <w:top w:type="dxa" w:w="60"/>
              <w:left w:type="dxa" w:w="100"/>
              <w:bottom w:type="dxa" w:w="60"/>
              <w:right w:type="dxa" w:w="100"/>
            </w:tcMar>
          </w:tcPr>
          <w:p>
            <w:pPr>
              <w:spacing w:after="0" w:line="250"/>
            </w:pPr>
            <w:r>
              <w:rPr>
                <w:b w:val="false"/>
                <w:bCs w:val="false"/>
                <w:sz w:val="20"/>
                <w:szCs w:val="20"/>
              </w:rPr>
              <w:t xml:space="preserve">Captured and stored from v1, used in Phase 8 to test whether the homegrown forecaster earns its place.</w:t>
            </w:r>
          </w:p>
        </w:tc>
        <w:tc>
          <w:tcPr>
            <w:tcW w:type="dxa" w:w="1760"/>
            <w:tcMar>
              <w:top w:type="dxa" w:w="60"/>
              <w:left w:type="dxa" w:w="100"/>
              <w:bottom w:type="dxa" w:w="60"/>
              <w:right w:type="dxa" w:w="100"/>
            </w:tcMar>
          </w:tcPr>
          <w:p>
            <w:pPr>
              <w:spacing w:after="0" w:line="250"/>
            </w:pPr>
            <w:r>
              <w:rPr>
                <w:b w:val="false"/>
                <w:bCs w:val="false"/>
                <w:sz w:val="20"/>
                <w:szCs w:val="20"/>
              </w:rPr>
              <w:t xml:space="preserve">§4.2.2, §4.4, §9</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Confirmed unchanged:</w:t>
            </w:r>
            <w:r>
              <w:rPr>
                <w:b w:val="false"/>
                <w:bCs w:val="false"/>
                <w:sz w:val="20"/>
                <w:szCs w:val="20"/>
              </w:rPr>
              <w:t xml:space="preserve"> the trend rate thresholds (±1/±2/±3 mg/dL/min) and the 40–400 mg/dL sentinel bounds specified in v1.2.</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Both independently verified against G7SensorKit. No change required.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§4.2.7</w:t>
            </w:r>
          </w:p>
        </w:tc>
      </w:tr>
    </w:tbl>
    <w:p>
      <w:pPr>
        <w:pStyle w:val="Heading2"/>
        <w:spacing w:after="140" w:before="280"/>
      </w:pPr>
      <w:r>
        <w:rPr>
          <w:b w:val="false"/>
          <w:bCs w:val="false"/>
        </w:rPr>
        <w:t xml:space="preserve">B.8 v1.4 Findings — Phase 1 Build Results</w:t>
      </w:r>
    </w:p>
    <w:p>
      <w:pPr>
        <w:spacing w:after="120" w:line="276"/>
      </w:pPr>
      <w:r>
        <w:rPr>
          <w:b w:val="false"/>
          <w:bCs w:val="false"/>
        </w:rPr>
        <w:t xml:space="preserve">Findings from building and running the app on real hardware. Unlike B.1–B.7, which came from review, these were produced by the device answering questions no amount of reading could settle.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Direct BLE does not work.</w:t>
            </w:r>
            <w:r>
              <w:rPr>
                <w:b w:val="false"/>
                <w:bCs w:val="false"/>
                <w:sz w:val="20"/>
                <w:szCs w:val="20"/>
              </w:rPr>
              <w:t xml:space="preserve"> The client connected reliably, enumerated the CGM service, and subscribed to all four notifiable characteristics with every subscription confirmed by CoreBluetooth — then received zero bytes across repeated 10.2-second windows. Signal (−87 dBm), channel availability, subscription success, and characteristic routing were each excluded as causes.</w:t>
            </w:r>
          </w:p>
        </w:tc>
        <w:tc>
          <w:tcPr>
            <w:tcW w:type="dxa" w:w="4100"/>
            <w:tcMar>
              <w:top w:type="dxa" w:w="60"/>
              <w:left w:type="dxa" w:w="100"/>
              <w:bottom w:type="dxa" w:w="60"/>
              <w:right w:type="dxa" w:w="100"/>
            </w:tcMar>
          </w:tcPr>
          <w:p>
            <w:pPr>
              <w:spacing w:after="0" w:line="250"/>
            </w:pPr>
            <w:r>
              <w:rPr>
                <w:b w:val="false"/>
                <w:bCs w:val="false"/>
                <w:sz w:val="20"/>
                <w:szCs w:val="20"/>
              </w:rPr>
              <w:t xml:space="preserve">Share promoted to sole live source. BLE documented as tested-and-rejected, with the evidence and the conditions that would justify revisiting it.</w:t>
            </w:r>
          </w:p>
        </w:tc>
        <w:tc>
          <w:tcPr>
            <w:tcW w:type="dxa" w:w="1760"/>
            <w:tcMar>
              <w:top w:type="dxa" w:w="60"/>
              <w:left w:type="dxa" w:w="100"/>
              <w:bottom w:type="dxa" w:w="60"/>
              <w:right w:type="dxa" w:w="100"/>
            </w:tcMar>
          </w:tcPr>
          <w:p>
            <w:pPr>
              <w:spacing w:after="0" w:line="250"/>
            </w:pPr>
            <w:r>
              <w:rPr>
                <w:b w:val="false"/>
                <w:bCs w:val="false"/>
                <w:sz w:val="20"/>
                <w:szCs w:val="20"/>
              </w:rPr>
              <w:t xml:space="preserve">§1, §3.1.1, §4.1, §4.2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G7 permits one collecting application per sensor, and that must remain the official Dexcom app — it owns pairing and the FDA-cleared alarms.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Recorded as a hard constraint rather than a limitation to engineer around.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exposed an undocumented characteristic (</w:t>
            </w:r>
            <w:r>
              <w:rPr>
                <w:rFonts w:ascii="Consolas" w:cs="Consolas" w:eastAsia="Consolas" w:hAnsi="Consolas"/>
                <w:b w:val="false"/>
                <w:bCs w:val="false"/>
                <w:sz w:val="19"/>
                <w:szCs w:val="19"/>
              </w:rPr>
              <w:t xml:space="preserve">F8083538</w:t>
            </w:r>
            <w:r>
              <w:rPr>
                <w:b w:val="false"/>
                <w:bCs w:val="false"/>
                <w:sz w:val="20"/>
                <w:szCs w:val="20"/>
              </w:rPr>
              <w:t xml:space="preserve">) and lacked one G7SensorKit expects (</w:t>
            </w:r>
            <w:r>
              <w:rPr>
                <w:rFonts w:ascii="Consolas" w:cs="Consolas" w:eastAsia="Consolas" w:hAnsi="Consolas"/>
                <w:b w:val="false"/>
                <w:bCs w:val="false"/>
                <w:sz w:val="19"/>
                <w:szCs w:val="19"/>
              </w:rPr>
              <w:t xml:space="preserve">F8083533</w:t>
            </w:r>
            <w:r>
              <w:rPr>
                <w:b w:val="false"/>
                <w:bCs w:val="false"/>
                <w:sz w:val="20"/>
                <w:szCs w:val="20"/>
              </w:rPr>
              <w:t xml:space="preserve">), suggesting firmware beyond what the community implementation targets.</w:t>
            </w:r>
          </w:p>
        </w:tc>
        <w:tc>
          <w:tcPr>
            <w:tcW w:type="dxa" w:w="4100"/>
            <w:tcMar>
              <w:top w:type="dxa" w:w="60"/>
              <w:left w:type="dxa" w:w="100"/>
              <w:bottom w:type="dxa" w:w="60"/>
              <w:right w:type="dxa" w:w="100"/>
            </w:tcMar>
          </w:tcPr>
          <w:p>
            <w:pPr>
              <w:spacing w:after="0" w:line="250"/>
            </w:pPr>
            <w:r>
              <w:rPr>
                <w:b w:val="false"/>
                <w:bCs w:val="false"/>
                <w:sz w:val="20"/>
                <w:szCs w:val="20"/>
              </w:rPr>
              <w:t xml:space="preserve">Noted as the specific evidence that would need to change before revisiting BLE.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No reliable background wake mechanism now exists.</w:t>
            </w:r>
            <w:r>
              <w:rPr>
                <w:b w:val="false"/>
                <w:bCs w:val="false"/>
                <w:sz w:val="20"/>
                <w:szCs w:val="20"/>
              </w:rPr>
              <w:t xml:space="preserve"> All three candidate designs across v1.1–v1.3 are dead.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Stated plainly rather than engineered around: freshness is a foreground property. Reinforces why alarms stay with the official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bCs/>
                <w:sz w:val="20"/>
                <w:szCs w:val="20"/>
              </w:rPr>
              <w:t xml:space="preserve">mmol/L conversion disagreed with the official app.</w:t>
            </w:r>
            <w:r>
              <w:rPr>
                <w:b w:val="false"/>
                <w:bCs w:val="false"/>
                <w:sz w:val="20"/>
                <w:szCs w:val="20"/>
              </w:rPr>
              <w:t xml:space="preserve"> 100 mg/dL displayed as 5.6 against Dexcom's 5.5, because the precise molar mass (18.01559) differs from Dexcom's divisor (18.0182) at boundary values.</w:t>
            </w:r>
          </w:p>
        </w:tc>
        <w:tc>
          <w:tcPr>
            <w:tcW w:type="dxa" w:w="4100"/>
            <w:tcMar>
              <w:top w:type="dxa" w:w="60"/>
              <w:left w:type="dxa" w:w="100"/>
              <w:bottom w:type="dxa" w:w="60"/>
              <w:right w:type="dxa" w:w="100"/>
            </w:tcMar>
          </w:tcPr>
          <w:p>
            <w:pPr>
              <w:spacing w:after="0" w:line="250"/>
            </w:pPr>
            <w:r>
              <w:rPr>
                <w:b w:val="false"/>
                <w:bCs w:val="false"/>
                <w:sz w:val="20"/>
                <w:szCs w:val="20"/>
              </w:rPr>
              <w:t xml:space="preserve">Matched Dexcom's constant. Seven boundary values pinned by test.</w:t>
            </w:r>
          </w:p>
        </w:tc>
        <w:tc>
          <w:tcPr>
            <w:tcW w:type="dxa" w:w="1760"/>
            <w:tcMar>
              <w:top w:type="dxa" w:w="60"/>
              <w:left w:type="dxa" w:w="100"/>
              <w:bottom w:type="dxa" w:w="60"/>
              <w:right w:type="dxa" w:w="100"/>
            </w:tcMar>
          </w:tcPr>
          <w:p>
            <w:pPr>
              <w:spacing w:after="0" w:line="250"/>
            </w:pPr>
            <w:r>
              <w:rPr>
                <w:b w:val="false"/>
                <w:bCs w:val="false"/>
                <w:sz w:val="20"/>
                <w:szCs w:val="20"/>
              </w:rPr>
              <w:t xml:space="preserve">§3.1.6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Units were hardcoded to mg/dL, unusable for an mmol/L user.</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GlucoseUnit type, region-derived default, toggle on the reading screen, canonical mg/dL storage with display-time conversion only.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§3.1.6</w:t>
            </w:r>
          </w:p>
        </w:tc>
      </w:tr>
      <w:tr>
        <w:tc>
          <w:tcPr>
            <w:tcW w:type="dxa" w:w="3500"/>
            <w:tcMar>
              <w:top w:type="dxa" w:w="60"/>
              <w:left w:type="dxa" w:w="100"/>
              <w:bottom w:type="dxa" w:w="60"/>
              <w:right w:type="dxa" w:w="100"/>
            </w:tcMar>
          </w:tcPr>
          <w:p>
            <w:pPr>
              <w:spacing w:after="0" w:line="250"/>
            </w:pPr>
            <w:r>
              <w:rPr>
                <w:b/>
                <w:bCs/>
                <w:sz w:val="20"/>
                <w:szCs w:val="20"/>
              </w:rPr>
              <w:t xml:space="preserve">An expired signing certificate presents as “Unable to Verify App”</w:t>
            </w:r>
            <w:r>
              <w:rPr>
                <w:b w:val="false"/>
                <w:bCs w:val="false"/>
                <w:sz w:val="20"/>
                <w:szCs w:val="20"/>
              </w:rPr>
              <w:t xml:space="preserve"> — indistinguishable from a network failure, and unfixable by trusting or reinstalling. </w:t>
            </w:r>
            <w:r>
              <w:rPr>
                <w:rFonts w:ascii="Consolas" w:cs="Consolas" w:eastAsia="Consolas" w:hAnsi="Consolas"/>
                <w:b w:val="false"/>
                <w:bCs w:val="false"/>
                <w:sz w:val="19"/>
                <w:szCs w:val="19"/>
              </w:rPr>
              <w:t xml:space="preserve">security find-identity</w:t>
            </w:r>
            <w:r>
              <w:rPr>
                <w:b w:val="false"/>
                <w:bCs w:val="false"/>
                <w:sz w:val="20"/>
                <w:szCs w:val="20"/>
              </w:rPr>
              <w:t xml:space="preserve"> reports expired certificates as valid and </w:t>
            </w:r>
            <w:r>
              <w:rPr>
                <w:rFonts w:ascii="Consolas" w:cs="Consolas" w:eastAsia="Consolas" w:hAnsi="Consolas"/>
                <w:b w:val="false"/>
                <w:bCs w:val="false"/>
                <w:sz w:val="19"/>
                <w:szCs w:val="19"/>
              </w:rPr>
              <w:t xml:space="preserve">codesign</w:t>
            </w:r>
            <w:r>
              <w:rPr>
                <w:b w:val="false"/>
                <w:bCs w:val="false"/>
                <w:sz w:val="20"/>
                <w:szCs w:val="20"/>
              </w:rPr>
              <w:t xml:space="preserve"> signs with them.</w:t>
            </w:r>
          </w:p>
        </w:tc>
        <w:tc>
          <w:tcPr>
            <w:tcW w:type="dxa" w:w="4100"/>
            <w:tcMar>
              <w:top w:type="dxa" w:w="60"/>
              <w:left w:type="dxa" w:w="100"/>
              <w:bottom w:type="dxa" w:w="60"/>
              <w:right w:type="dxa" w:w="100"/>
            </w:tcMar>
          </w:tcPr>
          <w:p>
            <w:pPr>
              <w:spacing w:after="0" w:line="250"/>
            </w:pPr>
            <w:r>
              <w:rPr>
                <w:b w:val="false"/>
                <w:bCs w:val="false"/>
                <w:sz w:val="20"/>
                <w:szCs w:val="20"/>
              </w:rPr>
              <w:t xml:space="preserve">Diagnostic recorded in §6.1: check </w:t>
            </w:r>
            <w:r>
              <w:rPr>
                <w:rFonts w:ascii="Consolas" w:cs="Consolas" w:eastAsia="Consolas" w:hAnsi="Consolas"/>
                <w:b w:val="false"/>
                <w:bCs w:val="false"/>
                <w:sz w:val="19"/>
                <w:szCs w:val="19"/>
              </w:rPr>
              <w:t xml:space="preserve">notAfter</w:t>
            </w:r>
            <w:r>
              <w:rPr>
                <w:b w:val="false"/>
                <w:bCs w:val="false"/>
                <w:sz w:val="20"/>
                <w:szCs w:val="20"/>
              </w:rPr>
              <w:t xml:space="preserve"> directly. Also: a replacement certificate sharing a Common Name collides with the device's stale trust record.</w:t>
            </w:r>
          </w:p>
        </w:tc>
        <w:tc>
          <w:tcPr>
            <w:tcW w:type="dxa" w:w="1760"/>
            <w:tcMar>
              <w:top w:type="dxa" w:w="60"/>
              <w:left w:type="dxa" w:w="100"/>
              <w:bottom w:type="dxa" w:w="60"/>
              <w:right w:type="dxa" w:w="100"/>
            </w:tcMar>
          </w:tcPr>
          <w:p>
            <w:pPr>
              <w:spacing w:after="0" w:line="250"/>
            </w:pPr>
            <w:r>
              <w:rPr>
                <w:b w:val="false"/>
                <w:bCs w:val="false"/>
                <w:sz w:val="20"/>
                <w:szCs w:val="20"/>
              </w:rPr>
              <w:t xml:space="preserve">§6.1</w:t>
            </w:r>
          </w:p>
        </w:tc>
      </w:tr>
      <w:tr>
        <w:tc>
          <w:tcPr>
            <w:tcW w:type="dxa" w:w="3500"/>
            <w:shd w:fill="F5F8FC" w:color="auto" w:val="clear"/>
            <w:tcMar>
              <w:top w:type="dxa" w:w="60"/>
              <w:left w:type="dxa" w:w="100"/>
              <w:bottom w:type="dxa" w:w="60"/>
              <w:right w:type="dxa" w:w="100"/>
            </w:tcMar>
          </w:tcPr>
          <w:p>
            <w:pPr>
              <w:spacing w:after="0" w:line="250"/>
            </w:pPr>
            <w:r>
              <w:rPr>
                <w:rFonts w:ascii="Consolas" w:cs="Consolas" w:eastAsia="Consolas" w:hAnsi="Consolas"/>
                <w:b w:val="false"/>
                <w:bCs w:val="false"/>
                <w:sz w:val="19"/>
                <w:szCs w:val="19"/>
              </w:rPr>
              <w:t xml:space="preserve">INFOPLIST_KEY_UIBackgroundModes</w:t>
            </w:r>
            <w:r>
              <w:rPr>
                <w:b w:val="false"/>
                <w:bCs w:val="false"/>
                <w:sz w:val="20"/>
                <w:szCs w:val="20"/>
              </w:rPr>
              <w:t xml:space="preserve"> silently does nothing — array-valued Info.plist keys cannot be set that way, so background modes were absent from the built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 real partial Info.plist, verified by inspecting the built bundle rather than trusting the build setting.</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Xcode 26 defaults new projects to MainActor isolation, which pure value types must opt out of to be usable from framework callbacks.</w:t>
            </w:r>
          </w:p>
        </w:tc>
        <w:tc>
          <w:tcPr>
            <w:tcW w:type="dxa" w:w="4100"/>
            <w:tcMar>
              <w:top w:type="dxa" w:w="60"/>
              <w:left w:type="dxa" w:w="100"/>
              <w:bottom w:type="dxa" w:w="60"/>
              <w:right w:type="dxa" w:w="100"/>
            </w:tcMar>
          </w:tcPr>
          <w:p>
            <w:pPr>
              <w:spacing w:after="0" w:line="250"/>
            </w:pPr>
            <w:r>
              <w:rPr>
                <w:b w:val="false"/>
                <w:bCs w:val="false"/>
                <w:sz w:val="20"/>
                <w:szCs w:val="20"/>
              </w:rPr>
              <w:t xml:space="preserve">Protocol and model types marked </w:t>
            </w:r>
            <w:r>
              <w:rPr>
                <w:rFonts w:ascii="Consolas" w:cs="Consolas" w:eastAsia="Consolas" w:hAnsi="Consolas"/>
                <w:b w:val="false"/>
                <w:bCs w:val="false"/>
                <w:sz w:val="19"/>
                <w:szCs w:val="19"/>
              </w:rPr>
              <w:t xml:space="preserve">nonisolated</w:t>
            </w:r>
            <w:r>
              <w:rPr>
                <w:b w:val="false"/>
                <w:bCs w:val="false"/>
                <w:sz w:val="20"/>
                <w:szCs w:val="20"/>
              </w:rPr>
              <w:t xml:space="preserve">.</w:t>
            </w:r>
          </w:p>
        </w:tc>
        <w:tc>
          <w:tcPr>
            <w:tcW w:type="dxa" w:w="1760"/>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staleness model depended on </w:t>
            </w:r>
            <w:r>
              <w:rPr>
                <w:rFonts w:ascii="Consolas" w:cs="Consolas" w:eastAsia="Consolas" w:hAnsi="Consolas"/>
                <w:b w:val="false"/>
                <w:bCs w:val="false"/>
                <w:sz w:val="19"/>
                <w:szCs w:val="19"/>
              </w:rPr>
              <w:t xml:space="preserve">algorithmState</w:t>
            </w:r>
            <w:r>
              <w:rPr>
                <w:b w:val="false"/>
                <w:bCs w:val="false"/>
                <w:sz w:val="20"/>
                <w:szCs w:val="20"/>
              </w:rPr>
              <w:t xml:space="preserve">, which Share does not provide.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§3.1.3 rewritten around data timing, with the loss of fidelity stated explicitly rather than papered over.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bCs/>
                <w:sz w:val="20"/>
                <w:szCs w:val="20"/>
              </w:rPr>
              <w:t xml:space="preserve">Confirmed correct from earlier revisions:</w:t>
            </w:r>
            <w:r>
              <w:rPr>
                <w:b w:val="false"/>
                <w:bCs w:val="false"/>
                <w:sz w:val="20"/>
                <w:szCs w:val="20"/>
              </w:rPr>
              <w:t xml:space="preserve"> the trend rate thresholds, the 40–400 rail sentinels, the Share two-step auth flow, the per-region applicationId constants, the string-vs-integer Trend change, and the Microsoft date format.</w:t>
            </w:r>
          </w:p>
        </w:tc>
        <w:tc>
          <w:tcPr>
            <w:tcW w:type="dxa" w:w="4100"/>
            <w:tcMar>
              <w:top w:type="dxa" w:w="60"/>
              <w:left w:type="dxa" w:w="100"/>
              <w:bottom w:type="dxa" w:w="60"/>
              <w:right w:type="dxa" w:w="100"/>
            </w:tcMar>
          </w:tcPr>
          <w:p>
            <w:pPr>
              <w:spacing w:after="0" w:line="250"/>
            </w:pPr>
            <w:r>
              <w:rPr>
                <w:b w:val="false"/>
                <w:bCs w:val="false"/>
                <w:sz w:val="20"/>
                <w:szCs w:val="20"/>
              </w:rPr>
              <w:t xml:space="preserve">All verified against live responses or G7SensorKit source. No change required.</w:t>
            </w:r>
          </w:p>
        </w:tc>
        <w:tc>
          <w:tcPr>
            <w:tcW w:type="dxa" w:w="1760"/>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B.9 v1.5 Findings — Persistence, Charting, Theming, Statistics</w:t>
      </w:r>
    </w:p>
    <w:p>
      <w:pPr>
        <w:spacing w:after="120" w:line="276"/>
      </w:pPr>
      <w:r>
        <w:rPr>
          <w:b w:val="false"/>
          <w:bCs w:val="false"/>
        </w:rPr>
        <w:t xml:space="preserve">Decisions and defects from the build. Several are cases where the obvious implementation compiles, looks correct, and is silently wrong — the category most worth recording, because nothing prompts you to investigate.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rFonts w:ascii="Consolas" w:cs="Consolas" w:eastAsia="Consolas" w:hAnsi="Consolas"/>
                <w:b/>
                <w:bCs/>
                <w:sz w:val="19"/>
                <w:szCs w:val="19"/>
              </w:rPr>
              <w:t xml:space="preserve">Date</w:t>
            </w:r>
            <w:r>
              <w:rPr>
                <w:b/>
                <w:bCs/>
                <w:sz w:val="20"/>
                <w:szCs w:val="20"/>
              </w:rPr>
              <w:t xml:space="preserve"> is the wrong deduplication key.</w:t>
            </w:r>
            <w:r>
              <w:rPr>
                <w:b w:val="false"/>
                <w:bCs w:val="false"/>
                <w:sz w:val="20"/>
                <w:szCs w:val="20"/>
              </w:rPr>
              <w:t xml:space="preserve"> Date equality is floating point and Share reports millisecond precision, so the same sample re-delivered with sub-second jitter compares unequal and inserts a second row. Every average, time-in-range figure, and chart would be quietly wrong with nothing visibly broken.</w:t>
            </w:r>
          </w:p>
        </w:tc>
        <w:tc>
          <w:tcPr>
            <w:tcW w:type="dxa" w:w="4100"/>
            <w:tcMar>
              <w:top w:type="dxa" w:w="60"/>
              <w:left w:type="dxa" w:w="100"/>
              <w:bottom w:type="dxa" w:w="60"/>
              <w:right w:type="dxa" w:w="100"/>
            </w:tcMar>
          </w:tcPr>
          <w:p>
            <w:pPr>
              <w:spacing w:after="0" w:line="250"/>
            </w:pPr>
            <w:r>
              <w:rPr>
                <w:b w:val="false"/>
                <w:bCs w:val="false"/>
                <w:sz w:val="20"/>
                <w:szCs w:val="20"/>
              </w:rPr>
              <w:t xml:space="preserve">Deduplicate on a whole-second </w:t>
            </w:r>
            <w:r>
              <w:rPr>
                <w:rFonts w:ascii="Consolas" w:cs="Consolas" w:eastAsia="Consolas" w:hAnsi="Consolas"/>
                <w:b w:val="false"/>
                <w:bCs w:val="false"/>
                <w:sz w:val="19"/>
                <w:szCs w:val="19"/>
              </w:rPr>
              <w:t xml:space="preserve">Int</w:t>
            </w:r>
            <w:r>
              <w:rPr>
                <w:b w:val="false"/>
                <w:bCs w:val="false"/>
                <w:sz w:val="20"/>
                <w:szCs w:val="20"/>
              </w:rPr>
              <w:t xml:space="preserve"> key. Covered by a test asserting sub-second jitter yields one row, not two.</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Downsampling by bucket mean hides hypos.</w:t>
            </w:r>
            <w:r>
              <w:rPr>
                <w:b w:val="false"/>
                <w:bCs w:val="false"/>
                <w:sz w:val="20"/>
                <w:szCs w:val="20"/>
              </w:rPr>
              <w:t xml:space="preserve"> A twenty-minute excursion inside a two-hour bucket disappears into the average, so the chart renders a calm line across the one event that matters.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Each bucket contributes its minimum and maximum in time order. Excursions survive at every zoom level.</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bCs/>
                <w:sz w:val="20"/>
                <w:szCs w:val="20"/>
              </w:rPr>
              <w:t xml:space="preserve">A midnight-crossing schedule fails a naive range check.</w:t>
            </w:r>
            <w:r>
              <w:rPr>
                <w:b w:val="false"/>
                <w:bCs w:val="false"/>
                <w:sz w:val="20"/>
                <w:szCs w:val="20"/>
              </w:rPr>
              <w:t xml:space="preserve"> </w:t>
            </w:r>
            <w:r>
              <w:rPr>
                <w:rFonts w:ascii="Consolas" w:cs="Consolas" w:eastAsia="Consolas" w:hAnsi="Consolas"/>
                <w:b w:val="false"/>
                <w:bCs w:val="false"/>
                <w:sz w:val="19"/>
                <w:szCs w:val="19"/>
              </w:rPr>
              <w:t xml:space="preserve">now &gt;= start &amp;&amp; now &lt; end</w:t>
            </w:r>
            <w:r>
              <w:rPr>
                <w:b w:val="false"/>
                <w:bCs w:val="false"/>
                <w:sz w:val="20"/>
                <w:szCs w:val="20"/>
              </w:rPr>
              <w:t xml:space="preserve"> is false for every minute of a 22:00–07:00 window: Bedside Mode would never have activated, during exactly the hours it exists for.</w:t>
            </w:r>
          </w:p>
        </w:tc>
        <w:tc>
          <w:tcPr>
            <w:tcW w:type="dxa" w:w="4100"/>
            <w:tcMar>
              <w:top w:type="dxa" w:w="60"/>
              <w:left w:type="dxa" w:w="100"/>
              <w:bottom w:type="dxa" w:w="60"/>
              <w:right w:type="dxa" w:w="100"/>
            </w:tcMar>
          </w:tcPr>
          <w:p>
            <w:pPr>
              <w:spacing w:after="0" w:line="250"/>
            </w:pPr>
            <w:r>
              <w:rPr>
                <w:b w:val="false"/>
                <w:bCs w:val="false"/>
                <w:sz w:val="20"/>
                <w:szCs w:val="20"/>
              </w:rPr>
              <w:t xml:space="preserve">Explicit wrap-around handling, with six tests including a same-day window to confirm that case does not wrap.</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Glycemic band classification was written inside a SwiftUI colour extension</w:t>
            </w:r>
            <w:r>
              <w:rPr>
                <w:b w:val="false"/>
                <w:bCs w:val="false"/>
                <w:sz w:val="20"/>
                <w:szCs w:val="20"/>
              </w:rPr>
              <w:t xml:space="preserve"> — domain logic entangled with presentation, untestable without importing SwiftUI, and duplicated between chart colouring and statistics.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Extracted to a framework-free </w:t>
            </w:r>
            <w:r>
              <w:rPr>
                <w:rFonts w:ascii="Consolas" w:cs="Consolas" w:eastAsia="Consolas" w:hAnsi="Consolas"/>
                <w:b w:val="false"/>
                <w:bCs w:val="false"/>
                <w:sz w:val="19"/>
                <w:szCs w:val="19"/>
              </w:rPr>
              <w:t xml:space="preserve">GlycemicBand</w:t>
            </w:r>
            <w:r>
              <w:rPr>
                <w:b w:val="false"/>
                <w:bCs w:val="false"/>
                <w:sz w:val="20"/>
                <w:szCs w:val="20"/>
              </w:rPr>
              <w:t xml:space="preserve"> type. One rule, boundary-tested at 53/54, 69/70, 180/181, 250/251.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bCs/>
                <w:sz w:val="20"/>
                <w:szCs w:val="20"/>
              </w:rPr>
              <w:t xml:space="preserve">A fixed 180-minute fetch window leaves holes in history.</w:t>
            </w:r>
            <w:r>
              <w:rPr>
                <w:b w:val="false"/>
                <w:bCs w:val="false"/>
                <w:sz w:val="20"/>
                <w:szCs w:val="20"/>
              </w:rPr>
              <w:t xml:space="preserve"> Reopening after six hours away would fetch only the last three and skip the rest permanently — Share does not offer them again after 24 hours.</w:t>
            </w:r>
          </w:p>
        </w:tc>
        <w:tc>
          <w:tcPr>
            <w:tcW w:type="dxa" w:w="4100"/>
            <w:tcMar>
              <w:top w:type="dxa" w:w="60"/>
              <w:left w:type="dxa" w:w="100"/>
              <w:bottom w:type="dxa" w:w="60"/>
              <w:right w:type="dxa" w:w="100"/>
            </w:tcMar>
          </w:tcPr>
          <w:p>
            <w:pPr>
              <w:spacing w:after="0" w:line="250"/>
            </w:pPr>
            <w:r>
              <w:rPr>
                <w:b w:val="false"/>
                <w:bCs w:val="false"/>
                <w:sz w:val="20"/>
                <w:szCs w:val="20"/>
              </w:rPr>
              <w:t xml:space="preserve">The window sizes itself to the gap since the newest stored reading, capped at Share's 24-hour maximum.</w:t>
            </w:r>
          </w:p>
        </w:tc>
        <w:tc>
          <w:tcPr>
            <w:tcW w:type="dxa" w:w="1760"/>
            <w:tcMar>
              <w:top w:type="dxa" w:w="60"/>
              <w:left w:type="dxa" w:w="100"/>
              <w:bottom w:type="dxa" w:w="60"/>
              <w:right w:type="dxa" w:w="100"/>
            </w:tcMar>
          </w:tcPr>
          <w:p>
            <w:pPr>
              <w:spacing w:after="0" w:line="250"/>
            </w:pPr>
            <w:r>
              <w:rPr>
                <w:b w:val="false"/>
                <w:bCs w:val="false"/>
                <w:sz w:val="20"/>
                <w:szCs w:val="20"/>
              </w:rPr>
              <w:t xml:space="preserve">§4.2.2, §4.3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A fixed gap threshold is wrong at long windows.</w:t>
            </w:r>
            <w:r>
              <w:rPr>
                <w:b w:val="false"/>
                <w:bCs w:val="false"/>
                <w:sz w:val="20"/>
                <w:szCs w:val="20"/>
              </w:rPr>
              <w:t xml:space="preserve"> An 11-minute break is a real gap over 3 hours and sub-pixel noise over 30 days; applying the short-window value would shatter a month-long chart into thousands of one-point segments.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Threshold scales with window duration.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bCs/>
                <w:sz w:val="20"/>
                <w:szCs w:val="20"/>
              </w:rPr>
              <w:t xml:space="preserve">The migration test passed alone and failed in the full suite</w:t>
            </w:r>
            <w:r>
              <w:rPr>
                <w:b w:val="false"/>
                <w:bCs w:val="false"/>
                <w:sz w:val="20"/>
                <w:szCs w:val="20"/>
              </w:rPr>
              <w:t xml:space="preserve"> — an intermittent failure that looks like flakiness and would be rerun rather than investigated. Swift Testing parallelises by default and SwiftData does not deterministically close a store file when its container leaves scope, so a reopen raced a draining WAL. It presented as data loss.</w:t>
            </w:r>
          </w:p>
        </w:tc>
        <w:tc>
          <w:tcPr>
            <w:tcW w:type="dxa" w:w="4100"/>
            <w:tcMar>
              <w:top w:type="dxa" w:w="60"/>
              <w:left w:type="dxa" w:w="100"/>
              <w:bottom w:type="dxa" w:w="60"/>
              <w:right w:type="dxa" w:w="100"/>
            </w:tcMar>
          </w:tcPr>
          <w:p>
            <w:pPr>
              <w:spacing w:after="0" w:line="250"/>
            </w:pPr>
            <w:r>
              <w:rPr>
                <w:b w:val="false"/>
                <w:bCs w:val="false"/>
                <w:sz w:val="20"/>
                <w:szCs w:val="20"/>
              </w:rPr>
              <w:t xml:space="preserve">File-backed suites marked </w:t>
            </w:r>
            <w:r>
              <w:rPr>
                <w:rFonts w:ascii="Consolas" w:cs="Consolas" w:eastAsia="Consolas" w:hAnsi="Consolas"/>
                <w:b w:val="false"/>
                <w:bCs w:val="false"/>
                <w:sz w:val="19"/>
                <w:szCs w:val="19"/>
              </w:rPr>
              <w:t xml:space="preserve">.serialized</w:t>
            </w:r>
            <w:r>
              <w:rPr>
                <w:b w:val="false"/>
                <w:bCs w:val="false"/>
                <w:sz w:val="20"/>
                <w:szCs w:val="20"/>
              </w:rPr>
              <w:t xml:space="preserve">; container release forced through function boundaries. Verified across three consecutive clean full-suite runs.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Rounding would display a genuine sub-1% time-below-range as “0%”.</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Non-zero fractions below 1% render as “&lt;1%”. Rounding away a real hypo is the wrong failure for this application.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GMI over a short or sparse window is noise presented as an A1C estimate.</w:t>
            </w:r>
          </w:p>
        </w:tc>
        <w:tc>
          <w:tcPr>
            <w:tcW w:type="dxa" w:w="4100"/>
            <w:tcMar>
              <w:top w:type="dxa" w:w="60"/>
              <w:left w:type="dxa" w:w="100"/>
              <w:bottom w:type="dxa" w:w="60"/>
              <w:right w:type="dxa" w:w="100"/>
            </w:tcMar>
          </w:tcPr>
          <w:p>
            <w:pPr>
              <w:spacing w:after="0" w:line="250"/>
            </w:pPr>
            <w:r>
              <w:rPr>
                <w:b w:val="false"/>
                <w:bCs w:val="false"/>
                <w:sz w:val="20"/>
                <w:szCs w:val="20"/>
              </w:rPr>
              <w:t xml:space="preserve">Hidden below 14 days or 70% coverage, with the reason stated. A number plus a caveat gets read as a number.</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Statistics from a sparse window look as confident as statistics from a complete one.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Coverage surfaced alongside every figure; the panel is marked indicative below 70%.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 window-boundary test asserted the wrong count — the test was wrong, not the code.</w:t>
            </w:r>
          </w:p>
        </w:tc>
        <w:tc>
          <w:tcPr>
            <w:tcW w:type="dxa" w:w="4100"/>
            <w:tcMar>
              <w:top w:type="dxa" w:w="60"/>
              <w:left w:type="dxa" w:w="100"/>
              <w:bottom w:type="dxa" w:w="60"/>
              <w:right w:type="dxa" w:w="100"/>
            </w:tcMar>
          </w:tcPr>
          <w:p>
            <w:pPr>
              <w:spacing w:after="0" w:line="250"/>
            </w:pPr>
            <w:r>
              <w:rPr>
                <w:b w:val="false"/>
                <w:bCs w:val="false"/>
                <w:sz w:val="20"/>
                <w:szCs w:val="20"/>
              </w:rPr>
              <w:t xml:space="preserve">Boundary confirmed inclusive and pinned by an explicit test at ±1 second.</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Bedside Mode with a blue accent would defeat its own purpose.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blue anywhere in the palette, asserted by a test comparing red and blue channels on every colour.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Whether the app collects data continuously was unclear from the document.</w:t>
            </w:r>
          </w:p>
        </w:tc>
        <w:tc>
          <w:tcPr>
            <w:tcW w:type="dxa" w:w="4100"/>
            <w:tcMar>
              <w:top w:type="dxa" w:w="60"/>
              <w:left w:type="dxa" w:w="100"/>
              <w:bottom w:type="dxa" w:w="60"/>
              <w:right w:type="dxa" w:w="100"/>
            </w:tcMar>
          </w:tcPr>
          <w:p>
            <w:pPr>
              <w:spacing w:after="0" w:line="250"/>
            </w:pPr>
            <w:r>
              <w:rPr>
                <w:b w:val="false"/>
                <w:bCs w:val="false"/>
                <w:sz w:val="20"/>
                <w:szCs w:val="20"/>
              </w:rPr>
              <w:t xml:space="preserve">§4.2.1 now states the user-facing consequence, not only the technical cause: a value seen on opening is trustworthy, background presence guarantees nothing, and history still self-heals.</w:t>
            </w:r>
          </w:p>
        </w:tc>
        <w:tc>
          <w:tcPr>
            <w:tcW w:type="dxa" w:w="1760"/>
            <w:tcMar>
              <w:top w:type="dxa" w:w="60"/>
              <w:left w:type="dxa" w:w="100"/>
              <w:bottom w:type="dxa" w:w="60"/>
              <w:right w:type="dxa" w:w="100"/>
            </w:tcMar>
          </w:tcPr>
          <w:p>
            <w:pPr>
              <w:spacing w:after="0" w:line="250"/>
            </w:pPr>
            <w:r>
              <w:rPr>
                <w:b w:val="false"/>
                <w:bCs w:val="false"/>
                <w:sz w:val="20"/>
                <w:szCs w:val="20"/>
              </w:rPr>
              <w:t xml:space="preserve">§4.2.1</w:t>
            </w:r>
          </w:p>
        </w:tc>
      </w:tr>
    </w:tbl>
    <w:p>
      <w:pPr>
        <w:pStyle w:val="Heading2"/>
        <w:spacing w:after="140" w:before="280"/>
      </w:pPr>
      <w:r>
        <w:rPr>
          <w:b w:val="false"/>
          <w:bCs w:val="false"/>
        </w:rPr>
        <w:t xml:space="preserve">B.10 v1.6 Findings — Backfill, Export, and Real Volume</w:t>
      </w:r>
    </w:p>
    <w:p>
      <w:pPr>
        <w:spacing w:after="120" w:line="276"/>
      </w:pPr>
      <w:r>
        <w:rPr>
          <w:b w:val="false"/>
          <w:bCs w:val="false"/>
        </w:rPr>
        <w:t xml:space="preserve">The last build pass before v1. Two of these are defects that were invisible at development scale and appeared the moment the app held real data — the category that survives review and unit tests alike.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Statistics and chart segments were computed in SwiftUI view bodies</w:t>
            </w:r>
            <w:r>
              <w:rPr>
                <w:b w:val="false"/>
                <w:bCs w:val="false"/>
                <w:sz w:val="20"/>
                <w:szCs w:val="20"/>
              </w:rPr>
              <w:t xml:space="preserve">, which a one-second timer re-evaluates. Every tick ran a full statistics pass — including a median sorting the whole window — and rebuilt the chart's segments, which downsample and sort again. Undetectable at 39 readings; thousands of times more work than needed at 8,600.</w:t>
            </w:r>
          </w:p>
        </w:tc>
        <w:tc>
          <w:tcPr>
            <w:tcW w:type="dxa" w:w="4100"/>
            <w:tcMar>
              <w:top w:type="dxa" w:w="60"/>
              <w:left w:type="dxa" w:w="100"/>
              <w:bottom w:type="dxa" w:w="60"/>
              <w:right w:type="dxa" w:w="100"/>
            </w:tcMar>
          </w:tcPr>
          <w:p>
            <w:pPr>
              <w:spacing w:after="0" w:line="250"/>
            </w:pPr>
            <w:r>
              <w:rPr>
                <w:b w:val="false"/>
                <w:bCs w:val="false"/>
                <w:sz w:val="20"/>
                <w:szCs w:val="20"/>
              </w:rPr>
              <w:t xml:space="preserve">Both compute once when their inputs change. A performance suite now runs against 90 days of realistic data with asserted bounds, so a regression fails rather than merely feeling slow.</w:t>
            </w:r>
          </w:p>
        </w:tc>
        <w:tc>
          <w:tcPr>
            <w:tcW w:type="dxa" w:w="1760"/>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Export filenames collided at minute resolution.</w:t>
            </w:r>
            <w:r>
              <w:rPr>
                <w:b w:val="false"/>
                <w:bCs w:val="false"/>
                <w:sz w:val="20"/>
                <w:szCs w:val="20"/>
              </w:rPr>
              <w:t xml:space="preserve"> Two exports in the same minute silently overwrote each other, including a CSV clobbering a JSON backup the user had not yet shared. Presented as intermittent test failures.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Each export is written into its own directory, keeping the filename readable while making the path unique.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 backup that restored without provenance would promote imported Health rows into live ones, letting three-hour-stale data be shown as a current reading.</w:t>
            </w:r>
          </w:p>
        </w:tc>
        <w:tc>
          <w:tcPr>
            <w:tcW w:type="dxa" w:w="4100"/>
            <w:tcMar>
              <w:top w:type="dxa" w:w="60"/>
              <w:left w:type="dxa" w:w="100"/>
              <w:bottom w:type="dxa" w:w="60"/>
              <w:right w:type="dxa" w:w="100"/>
            </w:tcMar>
          </w:tcPr>
          <w:p>
            <w:pPr>
              <w:spacing w:after="0" w:line="250"/>
            </w:pPr>
            <w:r>
              <w:rPr>
                <w:b w:val="false"/>
                <w:bCs w:val="false"/>
                <w:sz w:val="20"/>
                <w:szCs w:val="20"/>
              </w:rPr>
              <w:t xml:space="preserve">The backfilled flag survives export and restore, asserted by a test where an imported reading at a newer timestamp than a live one must still not be displayed.</w:t>
            </w:r>
          </w:p>
        </w:tc>
        <w:tc>
          <w:tcPr>
            <w:tcW w:type="dxa" w:w="1760"/>
            <w:tcMar>
              <w:top w:type="dxa" w:w="60"/>
              <w:left w:type="dxa" w:w="100"/>
              <w:bottom w:type="dxa" w:w="60"/>
              <w:right w:type="dxa" w:w="100"/>
            </w:tcMar>
          </w:tcPr>
          <w:p>
            <w:pPr>
              <w:spacing w:after="0" w:line="250"/>
            </w:pPr>
            <w:r>
              <w:rPr>
                <w:b w:val="false"/>
                <w:bCs w:val="false"/>
                <w:sz w:val="20"/>
                <w:szCs w:val="20"/>
              </w:rPr>
              <w:t xml:space="preserve">§3.1.7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Restore could plausibly have replaced history rather than merging it, discarding readings collected since the backup was taken.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Restore is additive and never deletes; restoring the same file twice inserts nothing the second time.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§3.1.7</w:t>
            </w:r>
          </w:p>
        </w:tc>
      </w:tr>
      <w:tr>
        <w:tc>
          <w:tcPr>
            <w:tcW w:type="dxa" w:w="3500"/>
            <w:tcMar>
              <w:top w:type="dxa" w:w="60"/>
              <w:left w:type="dxa" w:w="100"/>
              <w:bottom w:type="dxa" w:w="60"/>
              <w:right w:type="dxa" w:w="100"/>
            </w:tcMar>
          </w:tcPr>
          <w:p>
            <w:pPr>
              <w:spacing w:after="0" w:line="250"/>
            </w:pPr>
            <w:r>
              <w:rPr>
                <w:b/>
                <w:bCs/>
                <w:sz w:val="20"/>
                <w:szCs w:val="20"/>
              </w:rPr>
              <w:t xml:space="preserve">HealthKit does not report read-permission denial</w:t>
            </w:r>
            <w:r>
              <w:rPr>
                <w:b w:val="false"/>
                <w:bCs w:val="false"/>
                <w:sz w:val="20"/>
                <w:szCs w:val="20"/>
              </w:rPr>
              <w:t xml:space="preserve"> — by design, so an app cannot infer a condition from a refusal. An empty import therefore has two indistinguishable causes.</w:t>
            </w:r>
          </w:p>
        </w:tc>
        <w:tc>
          <w:tcPr>
            <w:tcW w:type="dxa" w:w="4100"/>
            <w:tcMar>
              <w:top w:type="dxa" w:w="60"/>
              <w:left w:type="dxa" w:w="100"/>
              <w:bottom w:type="dxa" w:w="60"/>
              <w:right w:type="dxa" w:w="100"/>
            </w:tcMar>
          </w:tcPr>
          <w:p>
            <w:pPr>
              <w:spacing w:after="0" w:line="250"/>
            </w:pPr>
            <w:r>
              <w:rPr>
                <w:b w:val="false"/>
                <w:bCs w:val="false"/>
                <w:sz w:val="20"/>
                <w:szCs w:val="20"/>
              </w:rPr>
              <w:t xml:space="preserve">Both possibilities are reported rather than one being guessed, since a confident wrong diagnosis sends the user to fix the wrong thing.</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Persisting the HealthKit anchor before the store write succeeded would have permanently skipped those samples on failure — a silent, unrecoverable gap.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The anchor is saved only after the data is written.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Importing every Health glucose sample would have admitted manual fingerstick entries and other apps' estimates into a CGM data set.</w:t>
            </w:r>
          </w:p>
        </w:tc>
        <w:tc>
          <w:tcPr>
            <w:tcW w:type="dxa" w:w="4100"/>
            <w:tcMar>
              <w:top w:type="dxa" w:w="60"/>
              <w:left w:type="dxa" w:w="100"/>
              <w:bottom w:type="dxa" w:w="60"/>
              <w:right w:type="dxa" w:w="100"/>
            </w:tcMar>
          </w:tcPr>
          <w:p>
            <w:pPr>
              <w:spacing w:after="0" w:line="250"/>
            </w:pPr>
            <w:r>
              <w:rPr>
                <w:b w:val="false"/>
                <w:bCs w:val="false"/>
                <w:sz w:val="20"/>
                <w:szCs w:val="20"/>
              </w:rPr>
              <w:t xml:space="preserve">Filtered to Dexcom's source bundle identifier, with encountered source names logged so the filter is verifiable rather than assumed.</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unit test constructed mol/mL instead of mmol/L and failed — the test was wrong, not the conversion.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Corrected, and retained as a guard in case Health ever delivers millimoles.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Downsampling's extreme-preserving behaviour was asserted only on synthetic short series.</w:t>
            </w:r>
          </w:p>
        </w:tc>
        <w:tc>
          <w:tcPr>
            <w:tcW w:type="dxa" w:w="4100"/>
            <w:tcMar>
              <w:top w:type="dxa" w:w="60"/>
              <w:left w:type="dxa" w:w="100"/>
              <w:bottom w:type="dxa" w:w="60"/>
              <w:right w:type="dxa" w:w="100"/>
            </w:tcMar>
          </w:tcPr>
          <w:p>
            <w:pPr>
              <w:spacing w:after="0" w:line="250"/>
            </w:pPr>
            <w:r>
              <w:rPr>
                <w:b w:val="false"/>
                <w:bCs w:val="false"/>
                <w:sz w:val="20"/>
                <w:szCs w:val="20"/>
              </w:rPr>
              <w:t xml:space="preserve">A volume test now inserts a 20-minute hypo into 30 days of data and asserts it survives downsampling — the guarantee that keeping bucket minima and maxima rather than means was worth the cost.</w:t>
            </w:r>
          </w:p>
        </w:tc>
        <w:tc>
          <w:tcPr>
            <w:tcW w:type="dxa" w:w="1760"/>
            <w:tcMar>
              <w:top w:type="dxa" w:w="60"/>
              <w:left w:type="dxa" w:w="100"/>
              <w:bottom w:type="dxa" w:w="60"/>
              <w:right w:type="dxa" w:w="100"/>
            </w:tcMar>
          </w:tcPr>
          <w:p>
            <w:pPr>
              <w:spacing w:after="0" w:line="250"/>
            </w:pPr>
            <w:r>
              <w:rPr>
                <w:b w:val="false"/>
                <w:bCs w:val="false"/>
                <w:sz w:val="20"/>
                <w:szCs w:val="20"/>
              </w:rPr>
              <w:t xml:space="preserve">§4.5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color w:val="595959"/>
        <w:sz w:val="18"/>
        <w:szCs w:val="18"/>
      </w:rPr>
      <w:t xml:space="preserve">GlucoNoir PRD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74B5"/>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20" w:before="220"/>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GlucoNoir PRD v1.6</dc:title>
  <dc:creator>GlucoNoir Project</dc:creator>
  <dc:description>Product Requirements Document for GlucoNoir, a dark-mode Dexcom G7 companion app for iOS.</dc:description>
  <cp:lastModifiedBy>Un-named</cp:lastModifiedBy>
  <cp:revision>1</cp:revision>
  <dcterms:created xsi:type="dcterms:W3CDTF">2026-09-09T01:29:48.365Z</dcterms:created>
  <dcterms:modified xsi:type="dcterms:W3CDTF">2026-09-09T01:29:48.370Z</dcterms:modified>
</cp:coreProperties>
</file>

<file path=docProps/custom.xml><?xml version="1.0" encoding="utf-8"?>
<Properties xmlns="http://schemas.openxmlformats.org/officeDocument/2006/custom-properties" xmlns:vt="http://schemas.openxmlformats.org/officeDocument/2006/docPropsVTypes"/>
</file>