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Представление работы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2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Для начала дадим определение эпитаксии: эпитаксия - это закономерное </w:t>
      </w:r>
      <w:r w:rsidR="003A52BE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арастание одного кристаллического материала на другой, то есть ориентированный рост одного кристалла на поверхности другого. В данной работе изучается процесс выращивания тонких монокристаллических полупроводниковых слоев на монокристаллических подложках. Процесс называют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гомоэпитаксиальным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если материалы осаждаемого слоя и подложки идентичны, 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гетероэпитаксиальным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если материалы осаждаемого слоя и подложки различаются. </w:t>
      </w:r>
    </w:p>
    <w:p w:rsidR="005E1A3C" w:rsidRPr="005E1A3C" w:rsidRDefault="005E1A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3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Развитие понимания физических процессов эпитаксиального роста и технологической базы привели к широкому использованию различных методов эпитаксиального роста в современной микро- 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наноэлектроники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Преимущества слоев, синтезированных по эпитаксиальной технологии приведены на слайде, а именно: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Широкая область изменения уровня и профиля легирования. Возможность изменения типа проводимости выращиваемых эпитаксиальных слоев. Физические свойства эпитаксиального слоя отличаются от свойств материала подложки в лучшую сторону, например, в них меньше концентрация кислорода и углерода, меньше число дефектов возможность проведения процесса эпитаксиального роста при температурах меньших, чем температура роста слитка монокристалла возможность нанесения эпитаксиального слоя как на большие площади, так и локально рост соединений со сложным, хорошо контролируемым составом</w:t>
      </w:r>
    </w:p>
    <w:p w:rsidR="005E1A3C" w:rsidRPr="005E1A3C" w:rsidRDefault="005E1A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4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Существует три основных метода эпитаксиального роста: жидкофазная,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газофазная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молекулярно-пучковая эпита</w:t>
      </w:r>
      <w:r w:rsidR="003A52BE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ксия. При жидкофазной эпитаксии м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онокристаллические слои получают из контактирующих с подложкой пресыщенных жидких растворов. С повышением температуры избыточное количество растворенного материала осаждается из раствора на подложку, что связано с уменьшением растворимости материала.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В методе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газофазной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эпитаксии вещество, необходимое для роста слоя, поступает к подложке в составе химического соединения, находящегося в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газофой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фазе. Вблизи подложки происходит разложение этого соединения (чаще всего пиролитическое), с выделением в качестве одного из продуктов разложения вещества, необходимого для роста эпитаксиальной пленки. Достоинствами этого метода являются высокая скорость роста слоев, высокая производительность и относительная дешевизна технологического оборудования. К недостаткам можно отнести токсичность большинства используемых материалов и зависимость скорости роста слоев от температуры подложки, которая выражается в значительном уменьшении скорости роста при у</w:t>
      </w:r>
      <w:r w:rsidR="003A52BE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меньшении температуры подложки.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В методе молекулярно-пучковой эпитаксии химические элементы, из которых состоит растущая пленка, поступают на подложку в виде атомарных или молекулярных пучков этих элементов. При этом для роста пленок высокого кристаллического качества необходимо проведения процесса роста в условиях сверхвысокого вакуума. Сущность метода состоит в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соиспарении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материалов, составляющих эпитаксиальный слой и легирующих примесей, их переносе на разогретую подложку и кристаллизация на ее поверхности. При этом отсутствуют промежуточные химические реакции в газовой фазе и значительные диффузные эффекты. Это позволяет быстро и управляемо менять состав растущего слоя. Достоинствами этого метода являются возможность роста пленок при пониженных температурах роста и хороший контроль над составом и толщиной осаждаемого слоя. Недостатки этого метода - дороговизна оборудования и низкую производительность. Именно метод молекулярно-пучковой эпитаксии рассматривается в данной работе.</w:t>
      </w:r>
    </w:p>
    <w:p w:rsidR="005E1A3C" w:rsidRPr="005E1A3C" w:rsidRDefault="005E1A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5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В случае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гетероэпитаксиального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роста возможны различные механизмы роста в зависимости от параметров материалов подложки и осаждаемого слоя. В случае, когда параметры кристаллической решетки и подложки и осаждаемого материала совпадают и в растущей пленке не возникает механических напряжений, то механизм эпитаксиального роста зависит от поверхностных энергий подложки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гамма 1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осаждаемого материала 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гамма 2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энергии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гетерограницы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гамма 12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6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Если выполняется соотношение (указать на слайд) выполняется механизм Франка-Ван-дер-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Мерве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Двумерный рост пленки приводит к уменьшению суммарной энергии системы за счет уменьшения поверхностной энергии. При этом говорят, что осаждаемый материал смачивает подложку. Если выполняется обратное соотношение (*), то реализуется рост по механизму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Вольмера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-Вебера. В этом случае смачивание не происходит.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7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Рост по механизму Странского-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Крастанова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рассмот</w:t>
      </w:r>
      <w:r w:rsidR="00C2446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ри более подробно,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="00C2446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т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ак как рост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GeSi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кристаллов происходит именно по этому механизму. Этот механизм реализуется при различных постоянных кристаллических решеток. На начальном этапе роста осаждаемый материал образует однородный слой, что приводит к уменьшению суммарной энергии системы. Однако при дальнейшем росте происходит возрастание энергетического слагаемого связанного с упругими напряжениями, вызванными рассогласованием кристаллических решеток пленки и подложки. С определенной толщины рост двумерной бездефектной пленки становится энергетически невыгоден, так как необходимо уменьшение этого слагаемого за счет релаксации упругих напряжений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8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Существует два механизма релаксации упругих напряжений: Классический и Когерентный.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классическом механизме релаксации </w:t>
      </w:r>
      <w:r w:rsidR="00754AFC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достижении критической толщины, при которой накопленной упругой энергии достаточно,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происходит образование дислокаций несоответствия. В месте образования дислокаций происходит уменьшение химического потенциала, что приводит к диффузии осаждаемого материала в эту область и к образованию трехмерного островка. Второй</w:t>
      </w:r>
      <w:r w:rsidR="00E12558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«когерентный»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="00E12558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механизм релаксации, связан с тем, что </w:t>
      </w:r>
      <w:r w:rsidR="0034618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при толщине, меньшей, чем необходимо для дислокации несоответствия, релаксация уп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ругих напряжений</w:t>
      </w:r>
      <w:r w:rsidR="005B483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происходит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путем роста 3х-мерных островков. При этом увеличивается поверхностная энергия, однако суммарная энергия системы, связанная с упругой энергией и энергией поверхности,</w:t>
      </w:r>
      <w:r w:rsidR="008066AB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уменьшается 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(ткни в формулу на слайде)</w:t>
      </w:r>
      <w:r w:rsidR="005B483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в связи с релаксацией упругих напряжений на поверхности островка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9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Известно, что на поверхности монокристаллической подложки имеются со свободными атомными связями. Для того, чтобы уме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ньшить число свободных связей и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как следствие, понизить суммарную энергию образуется кристаллическая перестройка, называемая реконструкцией поверхности. При реконструкции поверхности соседние атомы кремния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образуют так называемого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Диманы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в пределах одной атомной плоскости выстраиваются в цепочки. Из-за того, что кремний имеет кристаллографическую структуру алмаза, направление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в каждом последующем слое меняется на </w:t>
      </w:r>
      <w:r w:rsidR="00BA35A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Пи/2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D231D0" w:rsidRPr="005E1A3C" w:rsidRDefault="00D231D0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10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lastRenderedPageBreak/>
        <w:t>В результате рассогласования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ab/>
        <w:t xml:space="preserve">параметром кристаллических решеток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Si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пленка при осаждении на поверхность испытывает упругие напряжения сжатия. Эти напряжения приводят к тому, что в цепочках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образуются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дивакансии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(отсутствие в цепочке одного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). Вышеописанные эффекты приводят к образованию упорядоченной структуры.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увеличении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рост упругой энергии вызывает появление реконстр</w:t>
      </w:r>
      <w:r w:rsidR="00941A06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укции поверхности, в которой к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упорядоченным рядам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добавляются перпендикулярные им линии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представляющие собой отсутствие одного ряда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Дальнейшая релаксация упругих напряжений в растущей пленке происходит за счет появления ямок, образованных скоплением вакансий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в месте пересечения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упорядоченных линий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рядов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</w:p>
    <w:p w:rsidR="00545A0B" w:rsidRPr="005E1A3C" w:rsidRDefault="00545A0B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</w:t>
      </w:r>
      <w:r w:rsidR="00545A0B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а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йд 11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Дальнейшим энергетически выгодным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шагом является образование островков на месте углублений, образованных пересечениями отсутствующих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 Толщина пленки при которой начинается формирование островков называется критической толщиной двумерного роста. Эта величина зависит от состава пленки, температуры роста и скорости осаждения. При температуре больше $500^{\</w:t>
      </w:r>
      <w:proofErr w:type="spellStart"/>
      <w:proofErr w:type="gram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circ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}$</w:t>
      </w:r>
      <w:proofErr w:type="gram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критическая толщина пленки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3-5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монослоев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12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Первым этапо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роста островком является образование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предпирамид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имеющих плоскую форму с малым углом между боковыми гранями и плоскостью подложки. При этом основную роль играет дополнительная поверхностная энергия боковых граней островков.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По мере увеличения количества осаждаемого материала всё большую роль начинает играть слагаемое, связанное со степенью релаксации упругих напряжений. Степень релаксации упругих напряжений растет с ростом угла между боковыми гранями и подложкой. Поэтому по мере увеличения количества осаждаемого материала появляются островки с всё большим отношением высоты островка к его латеральному размеру. Несмотря на то, что такие островки имеют</w:t>
      </w:r>
      <w:r w:rsidR="00247FC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большую поверхностную энергию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по сравнению с плоскими.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Следовательно,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предпирамиды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при достижении некоторого критического объема трансформируются в усеченные пирамиды, которые затем приобретают пирамидальную форму.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высоких температурах проведения эксперимента вместо пирамид образуются HUT-структуры. Если продолжать увеличивать количество осажденного материала при соответственных (высоких) температурах неоднородности меняют свой тип на куполообразный. </w:t>
      </w:r>
    </w:p>
    <w:p w:rsidR="00941A06" w:rsidRPr="005E1A3C" w:rsidRDefault="00941A06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247FC3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13</w:t>
      </w:r>
    </w:p>
    <w:p w:rsidR="00247FC3" w:rsidRPr="005E1A3C" w:rsidRDefault="00CF7E77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О</w:t>
      </w:r>
      <w:r w:rsidR="00247FC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становимся на используемом методе молекулярно-пучковой эпитаксии.</w:t>
      </w:r>
      <w:r w:rsidR="005D51A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Он основан на процессе взаимодействия нескольких</w:t>
      </w:r>
      <w:r w:rsidR="00F0072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молекулярных пучков с монокристаллической подложкой. Формирование пучков происходит в процессе управляемого испарения вещества из одного или из нескольких источников, создающих </w:t>
      </w:r>
      <w:r w:rsidR="009C68B6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молекулярные пучки, в условиях сверхвысокого вакуума. Р</w:t>
      </w:r>
      <w:r w:rsidR="00D5718B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ост слоев происходит на нагретой</w:t>
      </w:r>
      <w:r w:rsidR="009C68B6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подложке</w:t>
      </w:r>
      <w:r w:rsidR="00D5718B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Температура нагрева может </w:t>
      </w:r>
      <w:r w:rsidR="000627E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достигать </w:t>
      </w:r>
      <w:r w:rsidR="00D5718B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1100 граду</w:t>
      </w:r>
      <w:r w:rsidR="000627E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сов по </w:t>
      </w:r>
      <w:proofErr w:type="spellStart"/>
      <w:r w:rsidR="000627E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цельсию</w:t>
      </w:r>
      <w:proofErr w:type="spellEnd"/>
      <w:r w:rsidR="000627E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контроль и управление нагревом подложки осуществляется с помощью термопары.</w:t>
      </w:r>
    </w:p>
    <w:p w:rsidR="00247FC3" w:rsidRPr="005E1A3C" w:rsidRDefault="00247FC3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C072E4" w:rsidRPr="005E1A3C" w:rsidRDefault="00C072E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14</w:t>
      </w:r>
    </w:p>
    <w:p w:rsidR="00711BF4" w:rsidRPr="005E1A3C" w:rsidRDefault="0059568E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lastRenderedPageBreak/>
        <w:t xml:space="preserve">Перейдем к описанию </w:t>
      </w:r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установки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Как отмечалось </w:t>
      </w:r>
      <w:r w:rsidR="007069C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ранее</w:t>
      </w:r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для получения высококачественных пленок в методе МПЭ необходимо проведение роста в условиях сверхвысокого вакуума. Для его достижения установка </w:t>
      </w:r>
      <w:proofErr w:type="spellStart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Riber</w:t>
      </w:r>
      <w:proofErr w:type="spellEnd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proofErr w:type="spellStart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Siva</w:t>
      </w:r>
      <w:proofErr w:type="spellEnd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21 состоит из трёх камер: загрузки, подготовки и роста с индивидуальными системами откачки и транспортом подложек между камерами. Камеры отделены друг от друга высоковакуумными затворами (шиберами). С помощью сложных системы насосов достигается глубокий вакуум </w:t>
      </w:r>
      <w:r w:rsidR="007069C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до </w:t>
      </w:r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10</w:t>
      </w:r>
      <w:proofErr w:type="gramStart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^{</w:t>
      </w:r>
      <w:proofErr w:type="gramEnd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-11} </w:t>
      </w:r>
      <w:proofErr w:type="spellStart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Торр</w:t>
      </w:r>
      <w:proofErr w:type="spellEnd"/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  <w:r w:rsidR="0079605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Конструкция всех элементов также направлена на создание в камере роста </w:t>
      </w:r>
      <w:r w:rsidR="001C5A81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высоковакуумных условий. Н</w:t>
      </w:r>
      <w:r w:rsidR="00711BF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агрев подложки осуществляется за счёт радиационного излучения от печи. </w:t>
      </w:r>
      <w:r w:rsidR="004C326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Для испарения </w:t>
      </w:r>
      <w:r w:rsidR="00B55611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Si</w:t>
      </w:r>
      <w:r w:rsidR="00B55611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</w:t>
      </w:r>
      <w:r w:rsidR="00B55611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Ge</w:t>
      </w:r>
      <w:r w:rsidR="00B55611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камера роста оборудована двумя электронно-лучевыми испарителями,</w:t>
      </w:r>
      <w:r w:rsidR="003928AC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контроль испаряемых потоков </w:t>
      </w:r>
      <w:r w:rsidR="003928AC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Ge</w:t>
      </w:r>
      <w:r w:rsidR="003928AC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</w:t>
      </w:r>
      <w:r w:rsidR="003928AC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Si</w:t>
      </w:r>
      <w:r w:rsidR="003928AC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а также анализ остаточных газов осуществляется при помощи масс-спектрометра.</w:t>
      </w:r>
    </w:p>
    <w:p w:rsidR="001B79FB" w:rsidRPr="005E1A3C" w:rsidRDefault="001B79FB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1B79FB" w:rsidRPr="005E1A3C" w:rsidRDefault="001B79FB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15</w:t>
      </w:r>
    </w:p>
    <w:p w:rsidR="0029173C" w:rsidRPr="005E1A3C" w:rsidRDefault="007B7D69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Рассмотри, как зависит рост </w:t>
      </w:r>
      <w:r w:rsidR="00FD6F9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слоев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от температуры и ко</w:t>
      </w:r>
      <w:r w:rsidR="0029173C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личества осаждаемого материала.</w:t>
      </w:r>
    </w:p>
    <w:p w:rsidR="00A34975" w:rsidRPr="005E1A3C" w:rsidRDefault="002917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При увеличении количества осаждаемого мат</w:t>
      </w:r>
      <w:r w:rsidR="00A34975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ериала, островки скачкообразно меняют свою структуру переходя из пирамид в </w:t>
      </w:r>
      <w:r w:rsidR="00A34975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dome</w:t>
      </w:r>
      <w:r w:rsidR="00A34975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-островки.</w:t>
      </w:r>
    </w:p>
    <w:p w:rsidR="00E707CB" w:rsidRPr="005E1A3C" w:rsidRDefault="00154BD8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На слайде приведены снимки поверхности наращиваемого слоя для разных температур подложки</w:t>
      </w:r>
      <w:r w:rsidR="00052821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одинаковом количестве о</w:t>
      </w:r>
      <w:bookmarkStart w:id="0" w:name="_GoBack"/>
      <w:bookmarkEnd w:id="0"/>
      <w:r w:rsidR="00052821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саждения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  <w:r w:rsidR="00C72FB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Как видно, при малой температуре наблюдается высокая плотность островков, преимущественно являющимися пирамидами и </w:t>
      </w:r>
      <w:r w:rsidR="00C72FB9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hut</w:t>
      </w:r>
      <w:r w:rsidR="00C72FB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-кластерами. По мере увеличения температуры подложки, оставляя количество осаждаемого материала таким же, наблюдается менее плотный рост более крупных структур. Сначала 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появляются пирамиды и 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hut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-кластеры большего размера, а затем они преобразуются в 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dome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-островки (</w:t>
      </w:r>
      <w:proofErr w:type="spellStart"/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потыкай</w:t>
      </w:r>
      <w:proofErr w:type="spellEnd"/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в слайд).</w:t>
      </w:r>
    </w:p>
    <w:sectPr w:rsidR="00E707CB" w:rsidRPr="005E1A3C" w:rsidSect="005E1A3C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9A"/>
    <w:rsid w:val="00026654"/>
    <w:rsid w:val="00052821"/>
    <w:rsid w:val="000627E9"/>
    <w:rsid w:val="00093BFF"/>
    <w:rsid w:val="00154BD8"/>
    <w:rsid w:val="001B79FB"/>
    <w:rsid w:val="001C5A81"/>
    <w:rsid w:val="00247FC3"/>
    <w:rsid w:val="0025779A"/>
    <w:rsid w:val="0029173C"/>
    <w:rsid w:val="00346189"/>
    <w:rsid w:val="003928AC"/>
    <w:rsid w:val="003A52BE"/>
    <w:rsid w:val="004C3260"/>
    <w:rsid w:val="004C5999"/>
    <w:rsid w:val="00545A0B"/>
    <w:rsid w:val="00581CDA"/>
    <w:rsid w:val="0059568E"/>
    <w:rsid w:val="005B4834"/>
    <w:rsid w:val="005D51A3"/>
    <w:rsid w:val="005E1A3C"/>
    <w:rsid w:val="005E1CDC"/>
    <w:rsid w:val="005E68F5"/>
    <w:rsid w:val="00686DAA"/>
    <w:rsid w:val="006F1FB7"/>
    <w:rsid w:val="007069C2"/>
    <w:rsid w:val="00711BF4"/>
    <w:rsid w:val="00754AFC"/>
    <w:rsid w:val="00796050"/>
    <w:rsid w:val="007B7D69"/>
    <w:rsid w:val="008066AB"/>
    <w:rsid w:val="00941A06"/>
    <w:rsid w:val="009C68B6"/>
    <w:rsid w:val="00A34975"/>
    <w:rsid w:val="00AA2427"/>
    <w:rsid w:val="00B55611"/>
    <w:rsid w:val="00BA35A0"/>
    <w:rsid w:val="00C072E4"/>
    <w:rsid w:val="00C24463"/>
    <w:rsid w:val="00C67E99"/>
    <w:rsid w:val="00C72FB9"/>
    <w:rsid w:val="00CF7E77"/>
    <w:rsid w:val="00D231D0"/>
    <w:rsid w:val="00D36CC9"/>
    <w:rsid w:val="00D40CFA"/>
    <w:rsid w:val="00D5718B"/>
    <w:rsid w:val="00E12558"/>
    <w:rsid w:val="00E707CB"/>
    <w:rsid w:val="00F00723"/>
    <w:rsid w:val="00F017B2"/>
    <w:rsid w:val="00F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389D"/>
  <w15:chartTrackingRefBased/>
  <w15:docId w15:val="{640DF57B-F63A-4FD4-B15A-59AEF31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9</cp:revision>
  <dcterms:created xsi:type="dcterms:W3CDTF">2018-12-22T14:40:00Z</dcterms:created>
  <dcterms:modified xsi:type="dcterms:W3CDTF">2018-12-24T22:29:00Z</dcterms:modified>
</cp:coreProperties>
</file>