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1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Представление работы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2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Для начала дадим определение эпитаксии: эпитаксия - это закономерное нарастание одного кристаллического материала на другой, то есть ориентированный рост одного кристалла на поверхности другого. В данной работе изучается процесс выращивания тонких монокристаллических полупроводниковых слоев на монокристаллических подложках. Процесс называют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гомоэпитаксиальным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идентичны, 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гетероэпитаксиальным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, если материалы осаждаемого слоя и подложки различаются.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3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Развитие понимания физических процессов эпитаксиального роста и технологической базы привели к широкому использованию различных методов эпитаксиального роста в современной микро- 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наноэлектроники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Преимущества слоев, синтезированных по эпитаксиальной технологии приведены на слайде, а именно: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Широкая область изменения уровня и профиля легирования. Возможность изменения типа проводимости выращиваемых эпитаксиальных слоев. Физические свойства эпитаксиального слоя отличаются от свойств материала подложки в лучшую сторону, например, в них меньше концентрация кислорода и углерода, меньше число дефектов возможность проведения процесса эпитаксиального роста при температурах меньших, чем температура роста слитка монокристалла возможность нанесения эпитаксиального слоя как на большие площади, так и локально рост соединений со сложным, хорошо контролируемым составом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4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Существует три основных метода эпитаксиального роста: жидкофазная,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газофазная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и молекулярно-пучковая эпитаксия. При жидкофазной эпитаксии монокристаллические слои получают из контактирующих с подложкой пресыщенных жидких растворов. С повышением температуры избыточное количество растворенного материала осаждается из раствора на подложку, что связано с уменьшением растворимости материала.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В методе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газофазной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эпитаксии вещество, необходимое для роста слоя, поступает к подложке в составе химического соединения, находящегося в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газофой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фазе. Вблизи подложки происходит разложение этого соединения (чаще всего пиролитическое), с выделением в качестве одного из продуктов разложения вещества, необходимого для роста эпитаксиальной пленки. Достоинствами этого метода являются высокая скорость роста слоев, высокая производительность и относительная дешевизна технологического оборудования. К недостаткам можно отнести токсичность большинства используемых материалов и зависимость скорости роста слоев от температуры подложки, которая выражается в значительном уменьшении скорости роста при уменьшении температуры подложки.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 xml:space="preserve">В методе молекулярно-пучковой эпитаксии химические элементы, из которых состоит растущая пленка, поступают на подложку в виде атомарных или молекулярных пучков этих элементов. При этом для роста пленок высокого кристаллического качества необходимо проведения процесса роста в условиях сверхвысокого вакуума. Сущность метода состоит в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соиспарении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материалов, составляющих эпитаксиальный слой и легирующих примесей, их переносе на разогретую подложку и кристаллизация на ее поверхности. При этом отсутствуют промежуточные химические реакции в газовой фазе и значительные диффузные эффекты. Это позволяет быстро и управляемо менять состав растущего слоя. Достоинствами этого метода являются возможность роста пленок при пониженных температурах роста и хороший контроль над составом и толщиной осаждаемого слоя. Недостатки этого метода - дороговизна оборудования и низкую производительность. Именно метод молекулярно-пучковой эпитаксии рассматривается в данной работе.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5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В случае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гетероэпитаксиального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роста возможны различные механизмы роста в зависимости от параметров материалов подложки и осаждаемого слоя. В случае, когда параметры кристаллической решетки и подложки и осаждаемого материала совпадают и в растущей пленке не возникает механических напряжений, то механизм эпитаксиального роста зависит от поверхностных энергий подложки ($\gamma_1</w:t>
      </w:r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$ )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, осаждаемого материала ($\gamma_2$) и энергии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гетерограницы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($\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gamma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_{12}$).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6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Если выполняется соотношение (указать на слайд) выполняется механизм Франка-Ван-дер-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Мерве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Двумерный рост пленки приводит к уменьшению суммарной энергии системы за счет уменьшения поверхностной энергии. При этом говорят, что осаждаемый материал смачивает подложку. Если выполняется обратное соотношение (*), то реализуется рост по механизму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Вольмера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-Вебера. В этом случае смачивание не происходит.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7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Рост по механизму Странского-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Крастанова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рассмот</w:t>
      </w:r>
      <w:r w:rsidR="00C2446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ри более подробно,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  <w:r w:rsidR="00C2446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ак как рост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GeSi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кристаллов происходит именно по этому механизму. Этот механизм реализуется при различных постоянных кристаллических решеток. На начальном этапе роста осаждаемый материал образует однородный слой, что приводит к уменьшению суммарной энергии системы. Однако при дальнейшем росте происходит возрастание энергетического слагаемого связанного с упругими напряжениями, вызванными рассогласованием кристаллических решеток пленки и подложки. С определенной толщины рост двумерной бездефектной пленки становится энергетически невыгоден, так как необходимо уменьшение этого слагаемого за счет релаксации упругих напряжений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8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Существует два механизма релаксации упругих напряжений: Классический и Когерентный.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 xml:space="preserve">При классическом механизме релаксации </w:t>
      </w:r>
      <w:r w:rsidR="00754AFC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при достижении критической толщины, при которой накопленной упругой энергии достаточно, 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происходит образование дислокаций несоответствия. В месте образования дислокаций происходит уменьшение химического потенциала, что приводит к диффузии осаждаемого материала в эту область и к образованию трехмерного островка. Второй</w:t>
      </w:r>
      <w:r w:rsidR="00E125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 «когерентный»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  <w:r w:rsidR="00E12558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механизм релаксации, связан с тем, что </w:t>
      </w:r>
      <w:r w:rsidR="00346189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при толщине, меньшей, чем необходимо для дислокации несоответствия, релаксация уп</w:t>
      </w:r>
      <w:r w:rsidR="00AA242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ругих напряжений</w:t>
      </w:r>
      <w:r w:rsidR="005B483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происходит</w:t>
      </w:r>
      <w:r w:rsidR="00AA242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путем роста 3х-мерных островков. При этом увеличивается поверхностная энергия, однако суммарная энергия системы, связанная с упругой энергией и энергией поверхности,</w:t>
      </w:r>
      <w:r w:rsidR="008066A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уменьшается </w:t>
      </w:r>
      <w:r w:rsidR="00AA242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(ткни в формулу на слайде)</w:t>
      </w:r>
      <w:r w:rsidR="005B483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 в связи с релаксацией упругих напряжений на поверхности островка</w:t>
      </w:r>
      <w:r w:rsidR="00AA2427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5B483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9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Известно, что на поверхности монокристаллической подложки имеются со свободными атомными связями. Для того, чтобы уменьшить число свободных связей </w:t>
      </w:r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и ,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как следствие, понизить суммарную энергию образуется кристаллическая перестройка, называемая реконструкцией поверхности. При реконструкции поверхности соседние атомы кремния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образуют так называемого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Диманы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в пределах одной атомной плоскости выстраиваются в цепочки. Из-за того, что кремний имеет кристаллографическую структуру алмаза, направление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в каждом последующем слое меняется на $\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frac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{\</w:t>
      </w:r>
      <w:proofErr w:type="spellStart"/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pi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}{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2}$.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10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В результате рассогласования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ab/>
        <w:t xml:space="preserve">параметром кристаллических решеток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Si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пленка при осаждении на поверхность испытывает упругие напряжения сжатия. Эти напряжения приводят к тому, что в цепочках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образуются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дивакансии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(отсутствие в цепочке одного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Димана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). Вышеописанные эффекты приводят к образованию упорядоченной структуры.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При увеличении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рост упругой энергии вызывает появление реконструкции поверхности, в которой </w:t>
      </w:r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к  упорядоченным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рядам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добавляются перпендикулярные им линии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, представляющие собой отсутствие одного ряда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Дальнейшая релаксация упругих напряжений в растущей пленке происходит за счет появления ямок, образованных скоплением вакансий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 в месте пересечения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упорядоченных линий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и рядов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дивакансий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545A0B" w:rsidRDefault="00545A0B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</w:t>
      </w:r>
      <w:r w:rsidR="00545A0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а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йд 11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Дальнейшим энергетически выгодным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шагом является образование островков на месте углублений, образованных пересечениями отсутствующих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Диманов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Толщина пленки при которой начинается 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lastRenderedPageBreak/>
        <w:t>формирование островков называется критической толщиной двумерного роста. Эта величина зависит от состава пленки, температуры роста и скорости осаждения. При температуре больше $500^{\</w:t>
      </w:r>
      <w:proofErr w:type="spellStart"/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circ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}$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критическая толщина пленки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Ge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3-5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монослоев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12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Первым этапов роста островком является образование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предпирамид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, имеющих плоскую форму с малым углом между боковыми гранями и плоскостью подложки. При этом основную роль играет дополнительная поверхностная энергия боковых граней островков.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 мере увеличения количества осаждаемого материала всё большую роль начинает играть слагаемое, связанное со степенью релаксации упругих напряжений. Степень релаксации упругих напряжений растет с ростом угла между боковыми гранями и подложкой. Поэтому по мере увеличения количества осаждаемого материала появляются островки с всё большим отношением высоты островка к его латеральному размеру. Несмотря на то, что такие островки имеют</w:t>
      </w:r>
      <w:r w:rsidR="00247FC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большую поверхностную энергию 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по сравнению с плоскими.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Следовательно,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предпирамиды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при достижении некоторого критического объема трансформируются в усеченные пирамиды, которые затем приобретают пирамидальную форму. 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При высоких температурах проведения эксперимента вместо пирамид образуются HUT-структуры. Если продолжать увеличивать количество осажденного материала при соответственных (высоких) температурах неоднородности меняют свой тип на куполообразный. </w:t>
      </w:r>
    </w:p>
    <w:p w:rsidR="00711BF4" w:rsidRDefault="00247FC3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Слайд 13</w:t>
      </w:r>
    </w:p>
    <w:p w:rsidR="00247FC3" w:rsidRPr="00D5718B" w:rsidRDefault="00247FC3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Далее подробнее остановимся на используемом методе молекулярно-пучковой эпитаксии.</w:t>
      </w:r>
      <w:r w:rsidR="005D51A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Он основан на процессе взаимодействия нескольких</w:t>
      </w:r>
      <w:r w:rsidR="00F0072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  <w:proofErr w:type="gramStart"/>
      <w:r w:rsidR="00F0072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молекулярных  пучков</w:t>
      </w:r>
      <w:proofErr w:type="gramEnd"/>
      <w:r w:rsidR="00F0072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с монокристаллической подложкой. Формирование пучков</w:t>
      </w:r>
      <w:bookmarkStart w:id="0" w:name="_GoBack"/>
      <w:bookmarkEnd w:id="0"/>
      <w:r w:rsidR="00F0072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происходит в процессе управляемого испарения вещества из одного или из нескольких источников, создающих </w:t>
      </w:r>
      <w:r w:rsidR="009C68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молекулярные пучки, в условиях сверхвысокого вакуума. Р</w:t>
      </w:r>
      <w:r w:rsidR="00D571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ост слоев происходит на нагретой</w:t>
      </w:r>
      <w:r w:rsidR="009C68B6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подложке</w:t>
      </w:r>
      <w:r w:rsidR="00D571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. Температура нагрева может варьироваться до 1100 градусов по </w:t>
      </w:r>
      <w:proofErr w:type="spellStart"/>
      <w:r w:rsidR="00D571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цельсию</w:t>
      </w:r>
      <w:proofErr w:type="spellEnd"/>
      <w:r w:rsidR="00D5718B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.</w:t>
      </w:r>
    </w:p>
    <w:p w:rsidR="00247FC3" w:rsidRPr="00247FC3" w:rsidRDefault="00247FC3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</w:p>
    <w:p w:rsidR="00545A0B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Описание</w:t>
      </w:r>
      <w:r w:rsidRPr="005D51A3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установки</w:t>
      </w:r>
    </w:p>
    <w:p w:rsidR="00711BF4" w:rsidRPr="00711BF4" w:rsidRDefault="00711BF4" w:rsidP="00711BF4">
      <w:pPr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</w:pPr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Как отмечалось выше, для получения высококачественных пленок в методе МПЭ необходимо проведение роста в условиях сверхвысокого вакуума. Для его достижения установка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Riber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Siva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 21 состоит из трёх камер: загрузки, подготовки и роста с индивидуальными системами откачки и транспортом подложек между камерами. Камеры отделены друг от друга высоковакуумными затворами (шиберами). С помощью сложных системы насосов достигается глубокий вакуум $10</w:t>
      </w:r>
      <w:proofErr w:type="gram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^{</w:t>
      </w:r>
      <w:proofErr w:type="gram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-11}$ 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Торр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. Нагрев подложки осуществляется за счёт радиационного излучения от печи. Максимальная температура нагрева составляет $1100^{\</w:t>
      </w:r>
      <w:proofErr w:type="spellStart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>circ</w:t>
      </w:r>
      <w:proofErr w:type="spellEnd"/>
      <w:r w:rsidRPr="00711BF4">
        <w:rPr>
          <w:rFonts w:ascii="Consolas" w:eastAsia="Times New Roman" w:hAnsi="Consolas" w:cs="Times New Roman"/>
          <w:color w:val="0D0D0D" w:themeColor="text1" w:themeTint="F2"/>
          <w:sz w:val="21"/>
          <w:szCs w:val="21"/>
          <w:lang w:eastAsia="ru-RU"/>
        </w:rPr>
        <w:t xml:space="preserve">} $С. Контроль управления температуры подложки осуществляется с помощью термопары.  </w:t>
      </w:r>
    </w:p>
    <w:sectPr w:rsidR="00711BF4" w:rsidRPr="00711BF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79A"/>
    <w:rsid w:val="00026654"/>
    <w:rsid w:val="00247FC3"/>
    <w:rsid w:val="0025779A"/>
    <w:rsid w:val="00346189"/>
    <w:rsid w:val="004C5999"/>
    <w:rsid w:val="00545A0B"/>
    <w:rsid w:val="005B4834"/>
    <w:rsid w:val="005D51A3"/>
    <w:rsid w:val="005E1CDC"/>
    <w:rsid w:val="005E68F5"/>
    <w:rsid w:val="00686DAA"/>
    <w:rsid w:val="006F1FB7"/>
    <w:rsid w:val="00711BF4"/>
    <w:rsid w:val="00754AFC"/>
    <w:rsid w:val="008066AB"/>
    <w:rsid w:val="009C68B6"/>
    <w:rsid w:val="00AA2427"/>
    <w:rsid w:val="00C24463"/>
    <w:rsid w:val="00C67E99"/>
    <w:rsid w:val="00D36CC9"/>
    <w:rsid w:val="00D5718B"/>
    <w:rsid w:val="00E12558"/>
    <w:rsid w:val="00F0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7A94"/>
  <w15:chartTrackingRefBased/>
  <w15:docId w15:val="{640DF57B-F63A-4FD4-B15A-59AEF31C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4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1505</Words>
  <Characters>8581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Шиков</dc:creator>
  <cp:keywords/>
  <dc:description/>
  <cp:lastModifiedBy>Александр Шиков</cp:lastModifiedBy>
  <cp:revision>6</cp:revision>
  <dcterms:created xsi:type="dcterms:W3CDTF">2018-12-22T14:40:00Z</dcterms:created>
  <dcterms:modified xsi:type="dcterms:W3CDTF">2018-12-22T18:18:00Z</dcterms:modified>
</cp:coreProperties>
</file>