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BD2" w:rsidRDefault="00B638A4" w:rsidP="00200BD2">
      <w:pPr>
        <w:spacing w:after="0" w:line="240" w:lineRule="auto"/>
        <w:rPr>
          <w:b/>
        </w:rPr>
      </w:pPr>
      <w:r>
        <w:rPr>
          <w:b/>
        </w:rPr>
        <w:t>High –Yield Spread Dislocation Model</w:t>
      </w:r>
    </w:p>
    <w:p w:rsidR="00B638A4" w:rsidRPr="00200BD2" w:rsidRDefault="00B638A4">
      <w:pPr>
        <w:rPr>
          <w:b/>
        </w:rPr>
      </w:pPr>
      <w:r>
        <w:t>June 2011</w:t>
      </w:r>
    </w:p>
    <w:p w:rsidR="00B50A05" w:rsidRDefault="004D742B" w:rsidP="00AE2B34">
      <w:pPr>
        <w:jc w:val="both"/>
      </w:pPr>
      <w:r>
        <w:t xml:space="preserve">We hypothesize </w:t>
      </w:r>
      <w:r w:rsidR="00B638A4">
        <w:t>the existence of</w:t>
      </w:r>
      <w:r w:rsidR="00FF64AC">
        <w:t xml:space="preserve"> a </w:t>
      </w:r>
      <w:r>
        <w:t>fair-value</w:t>
      </w:r>
      <w:r w:rsidR="00FF64AC">
        <w:t xml:space="preserve"> premium over anticipated loss</w:t>
      </w:r>
      <w:r>
        <w:t xml:space="preserve"> given defaults </w:t>
      </w:r>
      <w:r w:rsidR="00FF64AC">
        <w:t xml:space="preserve">at which the Barclays High-Yield Index should trade, and define </w:t>
      </w:r>
      <w:r w:rsidR="00FF64AC">
        <w:rPr>
          <w:i/>
        </w:rPr>
        <w:t>spread dislocation</w:t>
      </w:r>
      <w:r w:rsidR="00FF64AC">
        <w:t xml:space="preserve"> as the difference between  the option-adjusted spread of the High-Yield Index and the sum of [</w:t>
      </w:r>
      <w:r w:rsidR="000209E5">
        <w:t xml:space="preserve">the </w:t>
      </w:r>
      <w:r w:rsidR="00FF64AC">
        <w:t>fair-value premium + loss given default].    A positive spread dislocation greater than 25 basis points</w:t>
      </w:r>
      <w:r w:rsidR="00B638A4">
        <w:t xml:space="preserve"> </w:t>
      </w:r>
      <w:r w:rsidR="00FF64AC">
        <w:t xml:space="preserve">is a buy signal; a negative spread dislocation larger than -25 basis points, implying High-Yield is overbought, is a sell signal.  </w:t>
      </w:r>
    </w:p>
    <w:p w:rsidR="009C2BF2" w:rsidRDefault="00B638A4" w:rsidP="002E64F6">
      <w:pPr>
        <w:jc w:val="both"/>
      </w:pPr>
      <w:r>
        <w:t>Anticipated loss given default is the product of an anticip</w:t>
      </w:r>
      <w:r w:rsidR="009C2BF2">
        <w:t xml:space="preserve">ated default rate </w:t>
      </w:r>
      <w:r w:rsidR="00B4059C">
        <w:t>and</w:t>
      </w:r>
      <w:r w:rsidR="009C2BF2">
        <w:t xml:space="preserve"> an anticipated loss severity.      </w:t>
      </w:r>
    </w:p>
    <w:p w:rsidR="009C2BF2" w:rsidRDefault="009C2BF2" w:rsidP="009C2BF2">
      <w:pPr>
        <w:pStyle w:val="ListParagraph"/>
        <w:numPr>
          <w:ilvl w:val="0"/>
          <w:numId w:val="1"/>
        </w:numPr>
      </w:pPr>
      <w:r>
        <w:t xml:space="preserve">For the anticipated default rate, we use Moody’s </w:t>
      </w:r>
      <w:r w:rsidRPr="009C2BF2">
        <w:rPr>
          <w:i/>
        </w:rPr>
        <w:t>pessimistic</w:t>
      </w:r>
      <w:r>
        <w:t xml:space="preserve"> estimate</w:t>
      </w:r>
      <w:r w:rsidR="000906ED">
        <w:t xml:space="preserve"> </w:t>
      </w:r>
      <w:r>
        <w:t xml:space="preserve">for the US high-yield default rate, twelve months forward.  For example, in our </w:t>
      </w:r>
      <w:r w:rsidR="001838D6">
        <w:t>May update, the</w:t>
      </w:r>
      <w:r>
        <w:t xml:space="preserve"> default rate assumption of </w:t>
      </w:r>
      <w:r w:rsidR="001838D6">
        <w:t>5.6</w:t>
      </w:r>
      <w:r w:rsidR="002E64F6">
        <w:t xml:space="preserve">%.  This is </w:t>
      </w:r>
      <w:r>
        <w:t xml:space="preserve">Moody’s prediction for the rate at which U.S. high-yield credits will default in </w:t>
      </w:r>
      <w:r w:rsidR="001838D6">
        <w:t>May</w:t>
      </w:r>
      <w:r>
        <w:t xml:space="preserve"> 2012.      </w:t>
      </w:r>
    </w:p>
    <w:p w:rsidR="009C2BF2" w:rsidRDefault="009C2BF2" w:rsidP="009C2BF2">
      <w:pPr>
        <w:pStyle w:val="ListParagraph"/>
      </w:pPr>
    </w:p>
    <w:p w:rsidR="007F06C6" w:rsidRDefault="002E64F6" w:rsidP="009C2BF2">
      <w:pPr>
        <w:pStyle w:val="ListParagraph"/>
        <w:numPr>
          <w:ilvl w:val="0"/>
          <w:numId w:val="1"/>
        </w:numPr>
      </w:pPr>
      <w:r>
        <w:t xml:space="preserve">To estimate </w:t>
      </w:r>
      <w:r w:rsidR="009C2BF2">
        <w:t xml:space="preserve">loss severity, we </w:t>
      </w:r>
      <w:r>
        <w:t xml:space="preserve">first </w:t>
      </w:r>
      <w:r w:rsidR="009C2BF2">
        <w:t>recast</w:t>
      </w:r>
      <w:r w:rsidR="001838D6">
        <w:t xml:space="preserve"> loss severity in terms of a recovery rate:</w:t>
      </w:r>
    </w:p>
    <w:p w:rsidR="007F06C6" w:rsidRDefault="007F06C6" w:rsidP="007F06C6">
      <w:pPr>
        <w:pStyle w:val="ListParagraph"/>
      </w:pPr>
    </w:p>
    <w:p w:rsidR="007F06C6" w:rsidRDefault="00200BD2" w:rsidP="007F06C6">
      <w:pPr>
        <w:pStyle w:val="ListParagraph"/>
        <w:ind w:left="1440" w:firstLine="720"/>
      </w:pPr>
      <w:r>
        <w:t>100 – anticipated recovery rate</w:t>
      </w:r>
      <w:r>
        <w:tab/>
      </w:r>
      <w:r>
        <w:tab/>
      </w:r>
      <w:r>
        <w:tab/>
      </w:r>
      <w:r>
        <w:tab/>
      </w:r>
      <w:r>
        <w:tab/>
        <w:t>(1)</w:t>
      </w:r>
    </w:p>
    <w:p w:rsidR="009C2BF2" w:rsidRDefault="009C2BF2" w:rsidP="007F06C6">
      <w:pPr>
        <w:ind w:left="720"/>
      </w:pPr>
      <w:r>
        <w:t xml:space="preserve">Using </w:t>
      </w:r>
      <w:r w:rsidR="001838D6">
        <w:t>historical monthly series of</w:t>
      </w:r>
      <w:r>
        <w:t xml:space="preserve"> observed default rates and observed recovery rates, we fit an exponential regression of the form:</w:t>
      </w:r>
    </w:p>
    <w:p w:rsidR="009C2BF2" w:rsidRPr="00200BD2" w:rsidRDefault="009C2BF2">
      <w:r>
        <w:tab/>
      </w:r>
      <w:r>
        <w:tab/>
      </w:r>
      <w:r>
        <w:tab/>
        <w:t xml:space="preserve">recovery rate =  </w:t>
      </w:r>
      <w:r w:rsidRPr="009C2BF2">
        <w:rPr>
          <w:rFonts w:ascii="Symbol" w:hAnsi="Symbol"/>
        </w:rPr>
        <w:t></w:t>
      </w:r>
      <w:r>
        <w:t xml:space="preserve"> *  </w:t>
      </w:r>
      <w:r w:rsidRPr="009C2BF2">
        <w:rPr>
          <w:rFonts w:ascii="Symbol" w:hAnsi="Symbol"/>
        </w:rPr>
        <w:t></w:t>
      </w:r>
      <w:r>
        <w:t xml:space="preserve"> </w:t>
      </w:r>
      <w:r w:rsidRPr="009C2BF2">
        <w:rPr>
          <w:vertAlign w:val="superscript"/>
        </w:rPr>
        <w:t>default rate</w:t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rPr>
          <w:vertAlign w:val="superscript"/>
        </w:rPr>
        <w:tab/>
      </w:r>
      <w:r w:rsidR="00200BD2">
        <w:t>(2)</w:t>
      </w:r>
    </w:p>
    <w:p w:rsidR="00FF64AC" w:rsidRDefault="009C2BF2" w:rsidP="00D02C82">
      <w:pPr>
        <w:ind w:left="720"/>
      </w:pPr>
      <w:r>
        <w:t xml:space="preserve">then use the regression to estimate the anticipated recovery rate when default rates are in the neighborhood of the default-rate assumption (as defined by Moody’s pessimistic model).     </w:t>
      </w:r>
    </w:p>
    <w:p w:rsidR="001838D6" w:rsidRDefault="001838D6" w:rsidP="00D02C82">
      <w:pPr>
        <w:ind w:left="720"/>
      </w:pPr>
    </w:p>
    <w:p w:rsidR="00CB3206" w:rsidRDefault="00CB3206">
      <w:r>
        <w:t>The fair-value risk premium is estimated by linear regression:</w:t>
      </w:r>
    </w:p>
    <w:p w:rsidR="00CB3206" w:rsidRDefault="00CB3206">
      <w:r>
        <w:tab/>
      </w:r>
      <w:r>
        <w:tab/>
        <w:t xml:space="preserve">Risk premium = </w:t>
      </w:r>
      <w:r w:rsidRPr="00CB3206">
        <w:rPr>
          <w:rFonts w:ascii="Symbol" w:hAnsi="Symbol"/>
        </w:rPr>
        <w:t></w:t>
      </w:r>
      <w:r w:rsidRPr="00CB3206">
        <w:rPr>
          <w:rFonts w:ascii="Symbol" w:hAnsi="Symbol"/>
        </w:rPr>
        <w:t></w:t>
      </w:r>
      <w:r>
        <w:t xml:space="preserve">+ </w:t>
      </w:r>
      <w:r w:rsidRPr="00CB3206">
        <w:rPr>
          <w:rFonts w:ascii="Symbol" w:hAnsi="Symbol"/>
        </w:rPr>
        <w:t></w:t>
      </w:r>
      <w:r>
        <w:t xml:space="preserve"> * [outlook indicator]</w:t>
      </w:r>
      <w:r w:rsidR="00200BD2">
        <w:tab/>
      </w:r>
      <w:r w:rsidR="00200BD2">
        <w:tab/>
      </w:r>
      <w:r w:rsidR="00200BD2">
        <w:tab/>
      </w:r>
      <w:r w:rsidR="00200BD2">
        <w:tab/>
        <w:t>(3)</w:t>
      </w:r>
    </w:p>
    <w:p w:rsidR="00CB3206" w:rsidRDefault="00CB3206" w:rsidP="00AE2B34">
      <w:pPr>
        <w:jc w:val="both"/>
      </w:pPr>
      <w:r>
        <w:t xml:space="preserve">Here, we hypothesize that the high-yield risk premium (i.e., the compensation required by investors </w:t>
      </w:r>
      <w:r w:rsidR="001838D6">
        <w:t>beyond loss given default) declines</w:t>
      </w:r>
      <w:r>
        <w:t xml:space="preserve"> as investor outlook turns sanguine and prospects for growth </w:t>
      </w:r>
      <w:r w:rsidR="001838D6">
        <w:t>improve</w:t>
      </w:r>
      <w:r>
        <w:t xml:space="preserve">, and rises as investor sentiment turns gray.      Accordingly, we </w:t>
      </w:r>
      <w:r w:rsidR="001838D6">
        <w:t>seek</w:t>
      </w:r>
      <w:r>
        <w:t xml:space="preserve"> an “outlook” indicator for which declining values imply strengthening risk appetites, and rising values imply </w:t>
      </w:r>
      <w:r w:rsidR="001838D6">
        <w:t>tighter</w:t>
      </w:r>
      <w:r>
        <w:t xml:space="preserve"> risk tolerance.      For our outlook indicator, we </w:t>
      </w:r>
      <w:r w:rsidR="001838D6">
        <w:t>adopt</w:t>
      </w:r>
      <w:r>
        <w:t xml:space="preserve"> the ratio of an exponentially-weighted past stock market level to the current stock market level, w</w:t>
      </w:r>
      <w:r w:rsidR="001838D6">
        <w:t>here the “stock market” is proxi</w:t>
      </w:r>
      <w:r>
        <w:t>ed by the S&amp;P 500.   More specifically,</w:t>
      </w:r>
      <w:r w:rsidR="00AE2B34">
        <w:t xml:space="preserve"> we define:</w:t>
      </w:r>
    </w:p>
    <w:p w:rsidR="00CB3206" w:rsidRDefault="00CB3206" w:rsidP="00CB3206">
      <w:pPr>
        <w:ind w:firstLine="720"/>
      </w:pPr>
      <w:r>
        <w:t>* L</w:t>
      </w:r>
      <w:r w:rsidRPr="00CB3206">
        <w:rPr>
          <w:vertAlign w:val="subscript"/>
        </w:rPr>
        <w:t>t</w:t>
      </w:r>
      <w:r>
        <w:t xml:space="preserve"> as the level of the S&amp;P 500 at the end of the current month</w:t>
      </w:r>
    </w:p>
    <w:p w:rsidR="00CB3206" w:rsidRDefault="00CB3206" w:rsidP="00CB3206">
      <w:pPr>
        <w:ind w:firstLine="720"/>
        <w:rPr>
          <w:rFonts w:eastAsiaTheme="minorEastAsia"/>
        </w:rPr>
      </w:pPr>
      <w:r>
        <w:t xml:space="preserve">*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287CD5">
        <w:rPr>
          <w:rFonts w:eastAsiaTheme="minorEastAsia"/>
        </w:rPr>
        <w:t xml:space="preserve"> as the exponentially-weighted stock-market level at the end of the current month</w:t>
      </w:r>
    </w:p>
    <w:p w:rsidR="00287CD5" w:rsidRDefault="00287CD5" w:rsidP="00287CD5">
      <w:r>
        <w:rPr>
          <w:rFonts w:eastAsiaTheme="minorEastAsia"/>
        </w:rPr>
        <w:lastRenderedPageBreak/>
        <w:t>Then</w:t>
      </w:r>
    </w:p>
    <w:p w:rsidR="00CB3206" w:rsidRDefault="00CB3206">
      <w:pPr>
        <w:rPr>
          <w:rFonts w:eastAsiaTheme="minorEastAsia"/>
          <w:sz w:val="28"/>
          <w:szCs w:val="28"/>
        </w:rPr>
      </w:pPr>
      <w:r>
        <w:tab/>
        <w:t xml:space="preserve">Outlook indicator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0.1* 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+ 0.9 *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t-2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den>
        </m:f>
      </m:oMath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200BD2">
        <w:rPr>
          <w:rFonts w:eastAsiaTheme="minorEastAsia"/>
          <w:sz w:val="28"/>
          <w:szCs w:val="28"/>
        </w:rPr>
        <w:tab/>
      </w:r>
      <w:r w:rsidR="001838D6">
        <w:rPr>
          <w:rFonts w:eastAsiaTheme="minorEastAsia"/>
          <w:sz w:val="28"/>
          <w:szCs w:val="28"/>
        </w:rPr>
        <w:tab/>
      </w:r>
      <w:r w:rsidR="00200BD2" w:rsidRPr="00200BD2">
        <w:rPr>
          <w:rFonts w:eastAsiaTheme="minorEastAsia"/>
        </w:rPr>
        <w:t>(4)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 xml:space="preserve">Each month, the “risk premium” component of the option-adjusted spread </w:t>
      </w:r>
      <w:r w:rsidR="00DF189D">
        <w:rPr>
          <w:rFonts w:eastAsiaTheme="minorEastAsia"/>
        </w:rPr>
        <w:t xml:space="preserve">is determined </w:t>
      </w:r>
      <w:r>
        <w:rPr>
          <w:rFonts w:eastAsiaTheme="minorEastAsia"/>
        </w:rPr>
        <w:t>by backing out the anticipated loss given default: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ab/>
        <w:t>Risk premium =</w:t>
      </w:r>
      <w:r w:rsidR="001838D6">
        <w:rPr>
          <w:rFonts w:eastAsiaTheme="minorEastAsia"/>
        </w:rPr>
        <w:t xml:space="preserve"> High-Yield</w:t>
      </w:r>
      <w:r>
        <w:rPr>
          <w:rFonts w:eastAsiaTheme="minorEastAsia"/>
        </w:rPr>
        <w:t xml:space="preserve"> OAS – anticipated loss given default</w:t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</w:r>
      <w:r w:rsidR="00200BD2">
        <w:rPr>
          <w:rFonts w:eastAsiaTheme="minorEastAsia"/>
        </w:rPr>
        <w:tab/>
        <w:t>(5)</w:t>
      </w:r>
    </w:p>
    <w:p w:rsidR="00770705" w:rsidRDefault="00770705">
      <w:pPr>
        <w:rPr>
          <w:rFonts w:eastAsiaTheme="minorEastAsia"/>
        </w:rPr>
      </w:pPr>
      <w:r>
        <w:rPr>
          <w:rFonts w:eastAsiaTheme="minorEastAsia"/>
        </w:rPr>
        <w:t>where</w:t>
      </w:r>
    </w:p>
    <w:p w:rsidR="00770705" w:rsidRPr="00200BD2" w:rsidRDefault="00770705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ab/>
      </w:r>
      <w:r w:rsidRPr="00200BD2">
        <w:rPr>
          <w:rFonts w:eastAsiaTheme="minorEastAsia"/>
          <w:sz w:val="20"/>
          <w:szCs w:val="20"/>
        </w:rPr>
        <w:t>anticipated loss given default = anticipated default rate * (100 – anticipated recovery value)</w:t>
      </w:r>
      <w:r w:rsidR="00200BD2">
        <w:rPr>
          <w:rFonts w:eastAsiaTheme="minorEastAsia"/>
          <w:sz w:val="20"/>
          <w:szCs w:val="20"/>
        </w:rPr>
        <w:t xml:space="preserve">    </w:t>
      </w:r>
      <w:r w:rsidR="00200BD2">
        <w:rPr>
          <w:rFonts w:eastAsiaTheme="minorEastAsia"/>
          <w:sz w:val="20"/>
          <w:szCs w:val="20"/>
        </w:rPr>
        <w:tab/>
        <w:t>(6)</w:t>
      </w:r>
    </w:p>
    <w:p w:rsidR="00770705" w:rsidRDefault="00770705" w:rsidP="00AE2B34">
      <w:pPr>
        <w:jc w:val="both"/>
        <w:rPr>
          <w:rFonts w:eastAsiaTheme="minorEastAsia"/>
        </w:rPr>
      </w:pPr>
      <w:r>
        <w:rPr>
          <w:rFonts w:eastAsiaTheme="minorEastAsia"/>
        </w:rPr>
        <w:t>This gives us a monthly series of risk premia that form the monthly observation set for the dependent variable of the regression.    The monthly observations for the independent variable (i.e., the outlook indicat</w:t>
      </w:r>
      <w:r w:rsidR="00200BD2">
        <w:rPr>
          <w:rFonts w:eastAsiaTheme="minorEastAsia"/>
        </w:rPr>
        <w:t>or) are readily calculated by recursion from month-end S&amp;P levels</w:t>
      </w:r>
      <w:r w:rsidR="00B4059C">
        <w:rPr>
          <w:rFonts w:eastAsiaTheme="minorEastAsia"/>
        </w:rPr>
        <w:t xml:space="preserve"> [see equation (4), above]</w:t>
      </w:r>
      <w:r w:rsidR="00200BD2">
        <w:rPr>
          <w:rFonts w:eastAsiaTheme="minorEastAsia"/>
        </w:rPr>
        <w:t xml:space="preserve">.     </w:t>
      </w:r>
      <w:r w:rsidR="00B4059C">
        <w:rPr>
          <w:rFonts w:eastAsiaTheme="minorEastAsia"/>
        </w:rPr>
        <w:t xml:space="preserve">After </w:t>
      </w:r>
      <w:r w:rsidR="002E64F6">
        <w:rPr>
          <w:rFonts w:eastAsiaTheme="minorEastAsia"/>
        </w:rPr>
        <w:t>re-calibrating the coefficients</w:t>
      </w:r>
      <w:r w:rsidR="00200BD2">
        <w:rPr>
          <w:rFonts w:eastAsiaTheme="minorEastAsia"/>
        </w:rPr>
        <w:t>, we estimate the</w:t>
      </w:r>
      <w:r w:rsidR="00B4059C">
        <w:rPr>
          <w:rFonts w:eastAsiaTheme="minorEastAsia"/>
        </w:rPr>
        <w:t xml:space="preserve"> current</w:t>
      </w:r>
      <w:r w:rsidR="00200BD2">
        <w:rPr>
          <w:rFonts w:eastAsiaTheme="minorEastAsia"/>
        </w:rPr>
        <w:t xml:space="preserve"> </w:t>
      </w:r>
      <w:r w:rsidR="00AE2B34">
        <w:rPr>
          <w:rFonts w:eastAsiaTheme="minorEastAsia"/>
        </w:rPr>
        <w:t xml:space="preserve">fair-value </w:t>
      </w:r>
      <w:r w:rsidR="00200BD2">
        <w:rPr>
          <w:rFonts w:eastAsiaTheme="minorEastAsia"/>
        </w:rPr>
        <w:t>risk premium by substituting the current val</w:t>
      </w:r>
      <w:r w:rsidR="001838D6">
        <w:rPr>
          <w:rFonts w:eastAsiaTheme="minorEastAsia"/>
        </w:rPr>
        <w:t>ue of the outlook indicator in</w:t>
      </w:r>
      <w:r w:rsidR="00200BD2">
        <w:rPr>
          <w:rFonts w:eastAsiaTheme="minorEastAsia"/>
        </w:rPr>
        <w:t xml:space="preserve"> the regression model [equation (3), above].</w:t>
      </w:r>
    </w:p>
    <w:p w:rsidR="00200BD2" w:rsidRDefault="00200BD2">
      <w:pPr>
        <w:rPr>
          <w:rFonts w:eastAsiaTheme="minorEastAsia"/>
        </w:rPr>
      </w:pPr>
      <w:r>
        <w:rPr>
          <w:rFonts w:eastAsiaTheme="minorEastAsia"/>
        </w:rPr>
        <w:t>The fair-value option-adjusted spread</w:t>
      </w:r>
      <w:r w:rsidR="00B4059C">
        <w:rPr>
          <w:rFonts w:eastAsiaTheme="minorEastAsia"/>
        </w:rPr>
        <w:t xml:space="preserve"> of the Barclays High-Yield Index</w:t>
      </w:r>
      <w:r>
        <w:rPr>
          <w:rFonts w:eastAsiaTheme="minorEastAsia"/>
        </w:rPr>
        <w:t xml:space="preserve"> is the sum of </w:t>
      </w:r>
    </w:p>
    <w:p w:rsidR="00200BD2" w:rsidRDefault="00200BD2" w:rsidP="00200B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fair-value premium derived from equation (3)</w:t>
      </w:r>
      <w:r w:rsidR="001838D6">
        <w:rPr>
          <w:rFonts w:eastAsiaTheme="minorEastAsia"/>
        </w:rPr>
        <w:t>, and</w:t>
      </w:r>
    </w:p>
    <w:p w:rsidR="00200BD2" w:rsidRPr="00AE2B34" w:rsidRDefault="00200BD2" w:rsidP="00200B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anticipated loss given default derived from equation (6) using Moody’s 12-month forward pessimistic estimate for default rate</w:t>
      </w:r>
      <w:r w:rsidR="00AE2B34">
        <w:rPr>
          <w:rFonts w:eastAsiaTheme="minorEastAsia"/>
        </w:rPr>
        <w:t>,</w:t>
      </w:r>
      <w:r>
        <w:rPr>
          <w:rFonts w:eastAsiaTheme="minorEastAsia"/>
        </w:rPr>
        <w:t xml:space="preserve"> and a recovery rate that c</w:t>
      </w:r>
      <w:r w:rsidR="00AE2B34">
        <w:rPr>
          <w:rFonts w:eastAsiaTheme="minorEastAsia"/>
        </w:rPr>
        <w:t>orresponds to the default rate [</w:t>
      </w:r>
      <w:r>
        <w:rPr>
          <w:rFonts w:eastAsiaTheme="minorEastAsia"/>
        </w:rPr>
        <w:t>as derived from the exponential regression in equation (2)</w:t>
      </w:r>
      <w:r w:rsidR="00AE2B34">
        <w:rPr>
          <w:rFonts w:eastAsiaTheme="minorEastAsia"/>
        </w:rPr>
        <w:t>].</w:t>
      </w:r>
    </w:p>
    <w:p w:rsidR="00DF189D" w:rsidRDefault="00200BD2" w:rsidP="00AE2B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At April month-end, the model turned cautious on High-Yield, </w:t>
      </w:r>
      <w:r w:rsidR="00B4059C">
        <w:rPr>
          <w:rFonts w:eastAsiaTheme="minorEastAsia"/>
        </w:rPr>
        <w:t>and claimed</w:t>
      </w:r>
      <w:r>
        <w:rPr>
          <w:rFonts w:eastAsiaTheme="minorEastAsia"/>
        </w:rPr>
        <w:t xml:space="preserve"> the </w:t>
      </w:r>
      <w:r w:rsidR="001838D6">
        <w:rPr>
          <w:rFonts w:eastAsiaTheme="minorEastAsia"/>
        </w:rPr>
        <w:t xml:space="preserve">month-end OAS of the Barclays High-Yield Index </w:t>
      </w:r>
      <w:r>
        <w:rPr>
          <w:rFonts w:eastAsiaTheme="minorEastAsia"/>
        </w:rPr>
        <w:t xml:space="preserve">was 88 basis points </w:t>
      </w:r>
      <w:r w:rsidR="001838D6">
        <w:rPr>
          <w:rFonts w:eastAsiaTheme="minorEastAsia"/>
        </w:rPr>
        <w:t>rich to fair value</w:t>
      </w:r>
      <w:r>
        <w:rPr>
          <w:rFonts w:eastAsiaTheme="minorEastAsia"/>
        </w:rPr>
        <w:t xml:space="preserve">.  The model profited from its Underweight call in May.     For June, </w:t>
      </w:r>
      <w:r w:rsidR="001838D6">
        <w:rPr>
          <w:rFonts w:eastAsiaTheme="minorEastAsia"/>
        </w:rPr>
        <w:t xml:space="preserve">the model </w:t>
      </w:r>
      <w:r w:rsidR="00467B7C">
        <w:rPr>
          <w:rFonts w:eastAsiaTheme="minorEastAsia"/>
        </w:rPr>
        <w:t xml:space="preserve">takes a U-turn and becomes </w:t>
      </w:r>
      <w:r w:rsidR="002E64F6">
        <w:rPr>
          <w:rFonts w:eastAsiaTheme="minorEastAsia"/>
        </w:rPr>
        <w:t>constructive on the sector:  t</w:t>
      </w:r>
      <w:r w:rsidR="001838D6">
        <w:rPr>
          <w:rFonts w:eastAsiaTheme="minorEastAsia"/>
        </w:rPr>
        <w:t xml:space="preserve">he underweight is lifted and an overweight is </w:t>
      </w:r>
      <w:r w:rsidR="00DF189D">
        <w:rPr>
          <w:rFonts w:eastAsiaTheme="minorEastAsia"/>
        </w:rPr>
        <w:t xml:space="preserve">initiated.   While the 30 basis point backup in spreads during May </w:t>
      </w:r>
      <w:r w:rsidR="00B4059C">
        <w:rPr>
          <w:rFonts w:eastAsiaTheme="minorEastAsia"/>
        </w:rPr>
        <w:t>moderated</w:t>
      </w:r>
      <w:r w:rsidR="00DF189D">
        <w:rPr>
          <w:rFonts w:eastAsiaTheme="minorEastAsia"/>
        </w:rPr>
        <w:t xml:space="preserve"> the overbought condition, the primary instigator of the model’s shift in sentiment is the 120 basis point decline in Moody’s pessimistic 12-month forward default-rate estimate (from 6.8% to 5.6%).    The </w:t>
      </w:r>
      <w:r w:rsidR="002E64F6">
        <w:rPr>
          <w:rFonts w:eastAsiaTheme="minorEastAsia"/>
        </w:rPr>
        <w:t>1.2% decline</w:t>
      </w:r>
      <w:r w:rsidR="00DF189D">
        <w:rPr>
          <w:rFonts w:eastAsiaTheme="minorEastAsia"/>
        </w:rPr>
        <w:t xml:space="preserve"> in the default-rate reverses last month’s similarly-sized increase which, at the time, felt quirky</w:t>
      </w:r>
      <w:r w:rsidR="00B4059C">
        <w:rPr>
          <w:rFonts w:eastAsiaTheme="minorEastAsia"/>
        </w:rPr>
        <w:t xml:space="preserve"> owing to a lack of corroborative data</w:t>
      </w:r>
      <w:r w:rsidR="00DF189D">
        <w:rPr>
          <w:rFonts w:eastAsiaTheme="minorEastAsia"/>
        </w:rPr>
        <w:t>.</w:t>
      </w:r>
    </w:p>
    <w:p w:rsidR="00200BD2" w:rsidRDefault="00DF189D" w:rsidP="00AE2B3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noted, </w:t>
      </w:r>
      <w:r w:rsidR="00200BD2">
        <w:rPr>
          <w:rFonts w:eastAsiaTheme="minorEastAsia"/>
        </w:rPr>
        <w:t xml:space="preserve">Moody’s pessimistic estimate for the </w:t>
      </w:r>
      <w:r w:rsidR="00DB00CE">
        <w:rPr>
          <w:rFonts w:eastAsiaTheme="minorEastAsia"/>
        </w:rPr>
        <w:t xml:space="preserve">US high-yield default rate, twelve months forward, is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 (i.e., Moody’s predicts U.S. high-yield credits will default in May 2012 at a rate of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%).      From our regression studies, we find that recovery rates average </w:t>
      </w:r>
      <w:r>
        <w:rPr>
          <w:rFonts w:eastAsiaTheme="minorEastAsia"/>
        </w:rPr>
        <w:t>40.2</w:t>
      </w:r>
      <w:r w:rsidR="00DB00CE">
        <w:rPr>
          <w:rFonts w:eastAsiaTheme="minorEastAsia"/>
        </w:rPr>
        <w:t xml:space="preserve">% when default rates are at levels near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%.   Hence, loss given default is expected to be </w:t>
      </w:r>
      <w:r>
        <w:rPr>
          <w:rFonts w:eastAsiaTheme="minorEastAsia"/>
        </w:rPr>
        <w:t>335</w:t>
      </w:r>
      <w:r w:rsidR="00DB00CE">
        <w:rPr>
          <w:rFonts w:eastAsiaTheme="minorEastAsia"/>
        </w:rPr>
        <w:t xml:space="preserve"> basis points [i.e., </w:t>
      </w:r>
      <w:r>
        <w:rPr>
          <w:rFonts w:eastAsiaTheme="minorEastAsia"/>
        </w:rPr>
        <w:t>335</w:t>
      </w:r>
      <w:r w:rsidR="00DB00C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≈</m:t>
        </m:r>
      </m:oMath>
      <w:r w:rsidR="00DB00CE">
        <w:rPr>
          <w:rFonts w:eastAsiaTheme="minorEastAsia"/>
        </w:rPr>
        <w:t xml:space="preserve"> </w:t>
      </w:r>
      <w:r>
        <w:rPr>
          <w:rFonts w:eastAsiaTheme="minorEastAsia"/>
        </w:rPr>
        <w:t>5.6</w:t>
      </w:r>
      <w:r w:rsidR="00DB00CE">
        <w:rPr>
          <w:rFonts w:eastAsiaTheme="minorEastAsia"/>
        </w:rPr>
        <w:t xml:space="preserve">% * (1 – </w:t>
      </w:r>
      <w:r>
        <w:rPr>
          <w:rFonts w:eastAsiaTheme="minorEastAsia"/>
        </w:rPr>
        <w:t>40.2</w:t>
      </w:r>
      <w:r w:rsidR="00DB00CE">
        <w:rPr>
          <w:rFonts w:eastAsiaTheme="minorEastAsia"/>
        </w:rPr>
        <w:t xml:space="preserve">%)].   According to the model, High Yield credit should be trading with an average spread premium of </w:t>
      </w:r>
      <w:r>
        <w:rPr>
          <w:rFonts w:eastAsiaTheme="minorEastAsia"/>
        </w:rPr>
        <w:t>125</w:t>
      </w:r>
      <w:r w:rsidR="00DB00CE">
        <w:rPr>
          <w:rFonts w:eastAsiaTheme="minorEastAsia"/>
        </w:rPr>
        <w:t xml:space="preserve"> basis points (i.e., the compensation above the anticipated loss given default).   In turn, the fair-value option-adjusted spread for the High-Yield index</w:t>
      </w:r>
      <w:r w:rsidR="00D02C82">
        <w:rPr>
          <w:rFonts w:eastAsiaTheme="minorEastAsia"/>
        </w:rPr>
        <w:t xml:space="preserve"> is </w:t>
      </w:r>
      <w:r>
        <w:rPr>
          <w:rFonts w:eastAsiaTheme="minorEastAsia"/>
        </w:rPr>
        <w:t>335</w:t>
      </w:r>
      <w:r w:rsidR="00D02C82">
        <w:rPr>
          <w:rFonts w:eastAsiaTheme="minorEastAsia"/>
        </w:rPr>
        <w:t xml:space="preserve"> + </w:t>
      </w:r>
      <w:r>
        <w:rPr>
          <w:rFonts w:eastAsiaTheme="minorEastAsia"/>
        </w:rPr>
        <w:t>125</w:t>
      </w:r>
      <w:r w:rsidR="00D02C82">
        <w:rPr>
          <w:rFonts w:eastAsiaTheme="minorEastAsia"/>
        </w:rPr>
        <w:t xml:space="preserve"> = </w:t>
      </w:r>
      <w:r>
        <w:rPr>
          <w:rFonts w:eastAsiaTheme="minorEastAsia"/>
        </w:rPr>
        <w:t>460</w:t>
      </w:r>
      <w:r w:rsidR="00D02C82">
        <w:rPr>
          <w:rFonts w:eastAsiaTheme="minorEastAsia"/>
        </w:rPr>
        <w:t xml:space="preserve"> basis points, </w:t>
      </w:r>
      <w:r>
        <w:rPr>
          <w:rFonts w:eastAsiaTheme="minorEastAsia"/>
        </w:rPr>
        <w:t>32</w:t>
      </w:r>
      <w:r w:rsidR="00D02C82">
        <w:rPr>
          <w:rFonts w:eastAsiaTheme="minorEastAsia"/>
        </w:rPr>
        <w:t xml:space="preserve"> basis points </w:t>
      </w:r>
      <w:r>
        <w:rPr>
          <w:rFonts w:eastAsiaTheme="minorEastAsia"/>
        </w:rPr>
        <w:t>tighter</w:t>
      </w:r>
      <w:r w:rsidR="00D02C82">
        <w:rPr>
          <w:rFonts w:eastAsiaTheme="minorEastAsia"/>
        </w:rPr>
        <w:t xml:space="preserve"> </w:t>
      </w:r>
      <w:r w:rsidR="00D02C82">
        <w:rPr>
          <w:rFonts w:eastAsiaTheme="minorEastAsia"/>
        </w:rPr>
        <w:lastRenderedPageBreak/>
        <w:t>than the index’s month-end OAS of 492 basis points</w:t>
      </w:r>
      <w:r w:rsidR="000906ED">
        <w:rPr>
          <w:rStyle w:val="FootnoteReference"/>
          <w:rFonts w:eastAsiaTheme="minorEastAsia"/>
        </w:rPr>
        <w:footnoteReference w:id="1"/>
      </w:r>
      <w:r w:rsidR="00D02C82">
        <w:rPr>
          <w:rFonts w:eastAsiaTheme="minorEastAsia"/>
        </w:rPr>
        <w:t xml:space="preserve">.  </w:t>
      </w:r>
      <w:r w:rsidR="00E705EC">
        <w:rPr>
          <w:rFonts w:eastAsiaTheme="minorEastAsia"/>
        </w:rPr>
        <w:t xml:space="preserve">   Since 32 basis poin</w:t>
      </w:r>
      <w:r w:rsidR="00467B7C">
        <w:rPr>
          <w:rFonts w:eastAsiaTheme="minorEastAsia"/>
        </w:rPr>
        <w:t xml:space="preserve">ts </w:t>
      </w:r>
      <w:proofErr w:type="gramStart"/>
      <w:r w:rsidR="00467B7C">
        <w:rPr>
          <w:rFonts w:eastAsiaTheme="minorEastAsia"/>
        </w:rPr>
        <w:t>is</w:t>
      </w:r>
      <w:proofErr w:type="gramEnd"/>
      <w:r w:rsidR="00467B7C">
        <w:rPr>
          <w:rFonts w:eastAsiaTheme="minorEastAsia"/>
        </w:rPr>
        <w:t xml:space="preserve"> greater than the 25 basis-</w:t>
      </w:r>
      <w:bookmarkStart w:id="0" w:name="_GoBack"/>
      <w:bookmarkEnd w:id="0"/>
      <w:r w:rsidR="00E705EC">
        <w:rPr>
          <w:rFonts w:eastAsiaTheme="minorEastAsia"/>
        </w:rPr>
        <w:t>point threshold for an actionable signal, the model initiates an Overweight.</w:t>
      </w:r>
    </w:p>
    <w:p w:rsidR="00D02C82" w:rsidRDefault="0002339E" w:rsidP="0002339E">
      <w:pPr>
        <w:jc w:val="both"/>
        <w:rPr>
          <w:rFonts w:eastAsiaTheme="minorEastAsia"/>
        </w:rPr>
      </w:pPr>
      <w:r>
        <w:rPr>
          <w:rFonts w:eastAsiaTheme="minorEastAsia"/>
        </w:rPr>
        <w:t>The two figures in the next attachment</w:t>
      </w:r>
      <w:r w:rsidR="00D02C82">
        <w:rPr>
          <w:rFonts w:eastAsiaTheme="minorEastAsia"/>
        </w:rPr>
        <w:t xml:space="preserve"> review the model’s performance since January 2002.  The first chart overlays the model’s signals (both actionable and neutral) on the</w:t>
      </w:r>
      <w:r w:rsidR="002E64F6">
        <w:rPr>
          <w:rFonts w:eastAsiaTheme="minorEastAsia"/>
        </w:rPr>
        <w:t xml:space="preserve"> trajectory of High-Yield OAS, </w:t>
      </w:r>
      <w:r w:rsidR="00D02C82">
        <w:rPr>
          <w:rFonts w:eastAsiaTheme="minorEastAsia"/>
        </w:rPr>
        <w:t xml:space="preserve">and </w:t>
      </w:r>
      <w:r w:rsidR="002E64F6">
        <w:rPr>
          <w:rFonts w:eastAsiaTheme="minorEastAsia"/>
        </w:rPr>
        <w:t>highlights</w:t>
      </w:r>
      <w:r w:rsidR="00D02C82">
        <w:rPr>
          <w:rFonts w:eastAsiaTheme="minorEastAsia"/>
        </w:rPr>
        <w:t xml:space="preserve"> the current </w:t>
      </w:r>
      <w:r>
        <w:rPr>
          <w:rFonts w:eastAsiaTheme="minorEastAsia"/>
        </w:rPr>
        <w:t>long</w:t>
      </w:r>
      <w:r w:rsidR="00D02C82">
        <w:rPr>
          <w:rFonts w:eastAsiaTheme="minorEastAsia"/>
        </w:rPr>
        <w:t xml:space="preserve"> signal as a </w:t>
      </w:r>
      <w:r>
        <w:rPr>
          <w:rFonts w:eastAsiaTheme="minorEastAsia"/>
        </w:rPr>
        <w:t>green</w:t>
      </w:r>
      <w:r w:rsidR="00D02C82">
        <w:rPr>
          <w:rFonts w:eastAsiaTheme="minorEastAsia"/>
        </w:rPr>
        <w:t xml:space="preserve"> square.   The second chart </w:t>
      </w:r>
      <w:r w:rsidR="002E64F6">
        <w:rPr>
          <w:rFonts w:eastAsiaTheme="minorEastAsia"/>
        </w:rPr>
        <w:t>tracks</w:t>
      </w:r>
      <w:r w:rsidR="00D02C82">
        <w:rPr>
          <w:rFonts w:eastAsiaTheme="minorEastAsia"/>
        </w:rPr>
        <w:t xml:space="preserve"> the model’s monthly and cumulative P/L for the study period from January 2002 to May 2011 – the simulated portfolio assumes a long or short exposure of 0.5 dur$ in the Barclays High-Yield Index whenever an actionable signal has been generated.   The cumulative profit</w:t>
      </w:r>
      <w:r>
        <w:rPr>
          <w:rFonts w:eastAsiaTheme="minorEastAsia"/>
        </w:rPr>
        <w:t xml:space="preserve"> over the simulated period is 14.9</w:t>
      </w:r>
      <w:r w:rsidR="00D02C82">
        <w:rPr>
          <w:rFonts w:eastAsiaTheme="minorEastAsia"/>
        </w:rPr>
        <w:t xml:space="preserve">% (or, </w:t>
      </w:r>
      <w:r>
        <w:rPr>
          <w:rFonts w:eastAsiaTheme="minorEastAsia"/>
        </w:rPr>
        <w:t>148</w:t>
      </w:r>
      <w:r w:rsidR="00D02C82">
        <w:rPr>
          <w:rFonts w:eastAsiaTheme="minorEastAsia"/>
        </w:rPr>
        <w:t xml:space="preserve"> basis points annualized).</w:t>
      </w: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Default="00200BD2" w:rsidP="00200BD2">
      <w:pPr>
        <w:rPr>
          <w:rFonts w:eastAsiaTheme="minorEastAsia"/>
        </w:rPr>
      </w:pPr>
    </w:p>
    <w:p w:rsidR="00200BD2" w:rsidRPr="00200BD2" w:rsidRDefault="00200BD2" w:rsidP="00200BD2">
      <w:pPr>
        <w:rPr>
          <w:rFonts w:eastAsiaTheme="minorEastAsia"/>
        </w:rPr>
      </w:pPr>
    </w:p>
    <w:p w:rsidR="00200BD2" w:rsidRPr="00770705" w:rsidRDefault="00200BD2">
      <w:pPr>
        <w:rPr>
          <w:rFonts w:eastAsiaTheme="minorEastAsia"/>
        </w:rPr>
      </w:pPr>
    </w:p>
    <w:sectPr w:rsidR="00200BD2" w:rsidRPr="0077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AF9" w:rsidRDefault="00CA4AF9" w:rsidP="00D02C82">
      <w:pPr>
        <w:spacing w:after="0" w:line="240" w:lineRule="auto"/>
      </w:pPr>
      <w:r>
        <w:separator/>
      </w:r>
    </w:p>
  </w:endnote>
  <w:endnote w:type="continuationSeparator" w:id="0">
    <w:p w:rsidR="00CA4AF9" w:rsidRDefault="00CA4AF9" w:rsidP="00D0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AF9" w:rsidRDefault="00CA4AF9" w:rsidP="00D02C82">
      <w:pPr>
        <w:spacing w:after="0" w:line="240" w:lineRule="auto"/>
      </w:pPr>
      <w:r>
        <w:separator/>
      </w:r>
    </w:p>
  </w:footnote>
  <w:footnote w:type="continuationSeparator" w:id="0">
    <w:p w:rsidR="00CA4AF9" w:rsidRDefault="00CA4AF9" w:rsidP="00D02C82">
      <w:pPr>
        <w:spacing w:after="0" w:line="240" w:lineRule="auto"/>
      </w:pPr>
      <w:r>
        <w:continuationSeparator/>
      </w:r>
    </w:p>
  </w:footnote>
  <w:footnote w:id="1">
    <w:p w:rsidR="000906ED" w:rsidRPr="000906ED" w:rsidRDefault="000906ED">
      <w:pPr>
        <w:pStyle w:val="FootnoteText"/>
      </w:pPr>
      <w:r>
        <w:rPr>
          <w:rStyle w:val="FootnoteReference"/>
        </w:rPr>
        <w:footnoteRef/>
      </w:r>
      <w:r>
        <w:t xml:space="preserve"> Moody’s also issues a monthly </w:t>
      </w:r>
      <w:r>
        <w:rPr>
          <w:i/>
        </w:rPr>
        <w:t>baseline</w:t>
      </w:r>
      <w:r>
        <w:t xml:space="preserve"> forecast for default rates:  the baseline estimate for the US high-yield default rate, twelve months forward, is </w:t>
      </w:r>
      <w:r w:rsidR="00DF189D">
        <w:t>1.8</w:t>
      </w:r>
      <w:r>
        <w:t xml:space="preserve">%, </w:t>
      </w:r>
      <w:r w:rsidR="00DF189D">
        <w:t>0.1</w:t>
      </w:r>
      <w:r>
        <w:t xml:space="preserve">% </w:t>
      </w:r>
      <w:r w:rsidR="00DF189D">
        <w:t>lower</w:t>
      </w:r>
      <w:r>
        <w:t xml:space="preserve"> than last month’s estimate.   The version of the model using baseline forecasts remains constructive on High Yield in June 2011.   We have found that the </w:t>
      </w:r>
      <w:r>
        <w:rPr>
          <w:i/>
        </w:rPr>
        <w:t>pessimistic</w:t>
      </w:r>
      <w:r>
        <w:t xml:space="preserve"> model has better predictive power than the </w:t>
      </w:r>
      <w:r>
        <w:rPr>
          <w:i/>
        </w:rPr>
        <w:t xml:space="preserve">baseline </w:t>
      </w:r>
      <w:r>
        <w:t>model.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E4469"/>
    <w:multiLevelType w:val="hybridMultilevel"/>
    <w:tmpl w:val="711CD0E8"/>
    <w:lvl w:ilvl="0" w:tplc="C1F0C9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2B"/>
    <w:rsid w:val="000209E5"/>
    <w:rsid w:val="0002339E"/>
    <w:rsid w:val="000906ED"/>
    <w:rsid w:val="001838D6"/>
    <w:rsid w:val="00200BD2"/>
    <w:rsid w:val="00287CD5"/>
    <w:rsid w:val="002E64F6"/>
    <w:rsid w:val="0035312D"/>
    <w:rsid w:val="00467B7C"/>
    <w:rsid w:val="004C0C18"/>
    <w:rsid w:val="004D742B"/>
    <w:rsid w:val="0052646E"/>
    <w:rsid w:val="00770705"/>
    <w:rsid w:val="007F06C6"/>
    <w:rsid w:val="009C2BF2"/>
    <w:rsid w:val="00AB5A00"/>
    <w:rsid w:val="00AE2B34"/>
    <w:rsid w:val="00B4059C"/>
    <w:rsid w:val="00B50A05"/>
    <w:rsid w:val="00B638A4"/>
    <w:rsid w:val="00CA4AF9"/>
    <w:rsid w:val="00CB3206"/>
    <w:rsid w:val="00D02C82"/>
    <w:rsid w:val="00DB00CE"/>
    <w:rsid w:val="00DF189D"/>
    <w:rsid w:val="00E705EC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2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0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C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2C8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B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20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206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02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2C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2C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8BD60-F345-4481-8895-2ECCCE11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Rich</dc:creator>
  <cp:lastModifiedBy>Steve Rich</cp:lastModifiedBy>
  <cp:revision>11</cp:revision>
  <cp:lastPrinted>2011-06-07T17:06:00Z</cp:lastPrinted>
  <dcterms:created xsi:type="dcterms:W3CDTF">2011-06-06T11:46:00Z</dcterms:created>
  <dcterms:modified xsi:type="dcterms:W3CDTF">2011-06-07T18:04:00Z</dcterms:modified>
</cp:coreProperties>
</file>