
<file path=[Content_Types].xml><?xml version="1.0" encoding="utf-8"?>
<Types xmlns="http://schemas.openxmlformats.org/package/2006/content-types">
  <Default Extension="bin" ContentType="application/vnd.openxmlformats-officedocument.oleObject"/>
  <Default Extension="xlsm" ContentType="application/vnd.ms-excel.sheet.macroEnabled.12"/>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90957">
      <w:pPr>
        <w:pStyle w:val="Title"/>
      </w:pPr>
      <w:bookmarkStart w:id="0" w:name="_GoBack"/>
      <w:bookmarkEnd w:id="0"/>
    </w:p>
    <w:p w:rsidR="00000000" w:rsidRDefault="00F90957">
      <w:pPr>
        <w:pStyle w:val="Title"/>
      </w:pPr>
    </w:p>
    <w:p w:rsidR="00000000" w:rsidRDefault="00F90957">
      <w:pPr>
        <w:pStyle w:val="Title"/>
      </w:pPr>
      <w:r>
        <w:t>Fixed Income Attribution Analysis</w:t>
      </w:r>
    </w:p>
    <w:p w:rsidR="00000000" w:rsidRDefault="00F90957">
      <w:pPr>
        <w:rPr>
          <w:noProof/>
        </w:rPr>
      </w:pPr>
      <w:r>
        <w:br w:type="page"/>
      </w:r>
      <w:r>
        <w:lastRenderedPageBreak/>
        <w:fldChar w:fldCharType="begin"/>
      </w:r>
      <w:r>
        <w:instrText xml:space="preserve"> TOC \o "1-3" \h \z \u </w:instrText>
      </w:r>
      <w:r>
        <w:fldChar w:fldCharType="separate"/>
      </w:r>
    </w:p>
    <w:p w:rsidR="00000000" w:rsidRDefault="00F90957">
      <w:pPr>
        <w:pStyle w:val="TOC1"/>
        <w:tabs>
          <w:tab w:val="right" w:leader="dot" w:pos="9060"/>
        </w:tabs>
        <w:rPr>
          <w:b w:val="0"/>
          <w:bCs w:val="0"/>
          <w:caps w:val="0"/>
          <w:noProof/>
          <w:lang w:val="en-US"/>
        </w:rPr>
      </w:pPr>
      <w:hyperlink w:anchor="_Toc38162664" w:history="1">
        <w:r>
          <w:rPr>
            <w:rStyle w:val="Hyperlink"/>
            <w:noProof/>
          </w:rPr>
          <w:t>1  Introduction</w:t>
        </w:r>
        <w:r>
          <w:rPr>
            <w:noProof/>
            <w:webHidden/>
          </w:rPr>
          <w:tab/>
        </w:r>
        <w:r>
          <w:rPr>
            <w:noProof/>
            <w:webHidden/>
          </w:rPr>
          <w:fldChar w:fldCharType="begin"/>
        </w:r>
        <w:r>
          <w:rPr>
            <w:noProof/>
            <w:webHidden/>
          </w:rPr>
          <w:instrText xml:space="preserve"> PAGEREF _Toc38162664 \h </w:instrText>
        </w:r>
        <w:r>
          <w:rPr>
            <w:noProof/>
          </w:rPr>
        </w:r>
        <w:r>
          <w:rPr>
            <w:noProof/>
            <w:webHidden/>
          </w:rPr>
          <w:fldChar w:fldCharType="separate"/>
        </w:r>
        <w:r>
          <w:rPr>
            <w:noProof/>
            <w:webHidden/>
          </w:rPr>
          <w:t>3</w:t>
        </w:r>
        <w:r>
          <w:rPr>
            <w:noProof/>
            <w:webHidden/>
          </w:rPr>
          <w:fldChar w:fldCharType="end"/>
        </w:r>
      </w:hyperlink>
    </w:p>
    <w:p w:rsidR="00000000" w:rsidRDefault="00F90957">
      <w:pPr>
        <w:pStyle w:val="TOC1"/>
        <w:tabs>
          <w:tab w:val="right" w:leader="dot" w:pos="9060"/>
        </w:tabs>
        <w:rPr>
          <w:b w:val="0"/>
          <w:bCs w:val="0"/>
          <w:caps w:val="0"/>
          <w:noProof/>
          <w:lang w:val="en-US"/>
        </w:rPr>
      </w:pPr>
      <w:hyperlink w:anchor="_Toc38162665" w:history="1">
        <w:r>
          <w:rPr>
            <w:rStyle w:val="Hyperlink"/>
            <w:noProof/>
          </w:rPr>
          <w:t>2  Some Preliminaries</w:t>
        </w:r>
        <w:r>
          <w:rPr>
            <w:noProof/>
            <w:webHidden/>
          </w:rPr>
          <w:tab/>
        </w:r>
        <w:r>
          <w:rPr>
            <w:noProof/>
            <w:webHidden/>
          </w:rPr>
          <w:fldChar w:fldCharType="begin"/>
        </w:r>
        <w:r>
          <w:rPr>
            <w:noProof/>
            <w:webHidden/>
          </w:rPr>
          <w:instrText xml:space="preserve"> PAGEREF _Toc38162665 \h </w:instrText>
        </w:r>
        <w:r>
          <w:rPr>
            <w:noProof/>
          </w:rPr>
        </w:r>
        <w:r>
          <w:rPr>
            <w:noProof/>
            <w:webHidden/>
          </w:rPr>
          <w:fldChar w:fldCharType="separate"/>
        </w:r>
        <w:r>
          <w:rPr>
            <w:noProof/>
            <w:webHidden/>
          </w:rPr>
          <w:t>5</w:t>
        </w:r>
        <w:r>
          <w:rPr>
            <w:noProof/>
            <w:webHidden/>
          </w:rPr>
          <w:fldChar w:fldCharType="end"/>
        </w:r>
      </w:hyperlink>
    </w:p>
    <w:p w:rsidR="00000000" w:rsidRDefault="00F90957">
      <w:pPr>
        <w:pStyle w:val="TOC2"/>
        <w:tabs>
          <w:tab w:val="right" w:leader="dot" w:pos="9060"/>
        </w:tabs>
        <w:rPr>
          <w:smallCaps w:val="0"/>
          <w:noProof/>
          <w:lang w:val="en-US"/>
        </w:rPr>
      </w:pPr>
      <w:hyperlink w:anchor="_Toc38162666" w:history="1">
        <w:r>
          <w:rPr>
            <w:rStyle w:val="Hyperlink"/>
            <w:noProof/>
          </w:rPr>
          <w:t>2.1 Zero-coupon bonds</w:t>
        </w:r>
        <w:r>
          <w:rPr>
            <w:noProof/>
            <w:webHidden/>
          </w:rPr>
          <w:tab/>
        </w:r>
        <w:r>
          <w:rPr>
            <w:noProof/>
            <w:webHidden/>
          </w:rPr>
          <w:fldChar w:fldCharType="begin"/>
        </w:r>
        <w:r>
          <w:rPr>
            <w:noProof/>
            <w:webHidden/>
          </w:rPr>
          <w:instrText xml:space="preserve"> PAGEREF _Toc38162666 \h </w:instrText>
        </w:r>
        <w:r>
          <w:rPr>
            <w:noProof/>
          </w:rPr>
        </w:r>
        <w:r>
          <w:rPr>
            <w:noProof/>
            <w:webHidden/>
          </w:rPr>
          <w:fldChar w:fldCharType="separate"/>
        </w:r>
        <w:r>
          <w:rPr>
            <w:noProof/>
            <w:webHidden/>
          </w:rPr>
          <w:t>5</w:t>
        </w:r>
        <w:r>
          <w:rPr>
            <w:noProof/>
            <w:webHidden/>
          </w:rPr>
          <w:fldChar w:fldCharType="end"/>
        </w:r>
      </w:hyperlink>
    </w:p>
    <w:p w:rsidR="00000000" w:rsidRDefault="00F90957">
      <w:pPr>
        <w:pStyle w:val="TOC2"/>
        <w:tabs>
          <w:tab w:val="right" w:leader="dot" w:pos="9060"/>
        </w:tabs>
        <w:rPr>
          <w:smallCaps w:val="0"/>
          <w:noProof/>
          <w:lang w:val="en-US"/>
        </w:rPr>
      </w:pPr>
      <w:hyperlink w:anchor="_Toc38162667" w:history="1">
        <w:r>
          <w:rPr>
            <w:rStyle w:val="Hyperlink"/>
            <w:noProof/>
          </w:rPr>
          <w:t>2.2 Coupon bonds</w:t>
        </w:r>
        <w:r>
          <w:rPr>
            <w:noProof/>
            <w:webHidden/>
          </w:rPr>
          <w:tab/>
        </w:r>
        <w:r>
          <w:rPr>
            <w:noProof/>
            <w:webHidden/>
          </w:rPr>
          <w:fldChar w:fldCharType="begin"/>
        </w:r>
        <w:r>
          <w:rPr>
            <w:noProof/>
            <w:webHidden/>
          </w:rPr>
          <w:instrText xml:space="preserve"> PAGEREF _Toc38162667 \h </w:instrText>
        </w:r>
        <w:r>
          <w:rPr>
            <w:noProof/>
          </w:rPr>
        </w:r>
        <w:r>
          <w:rPr>
            <w:noProof/>
            <w:webHidden/>
          </w:rPr>
          <w:fldChar w:fldCharType="separate"/>
        </w:r>
        <w:r>
          <w:rPr>
            <w:noProof/>
            <w:webHidden/>
          </w:rPr>
          <w:t>5</w:t>
        </w:r>
        <w:r>
          <w:rPr>
            <w:noProof/>
            <w:webHidden/>
          </w:rPr>
          <w:fldChar w:fldCharType="end"/>
        </w:r>
      </w:hyperlink>
    </w:p>
    <w:p w:rsidR="00000000" w:rsidRDefault="00F90957">
      <w:pPr>
        <w:pStyle w:val="TOC2"/>
        <w:tabs>
          <w:tab w:val="right" w:leader="dot" w:pos="9060"/>
        </w:tabs>
        <w:rPr>
          <w:smallCaps w:val="0"/>
          <w:noProof/>
          <w:lang w:val="en-US"/>
        </w:rPr>
      </w:pPr>
      <w:hyperlink w:anchor="_Toc38162668" w:history="1">
        <w:r>
          <w:rPr>
            <w:rStyle w:val="Hyperlink"/>
            <w:noProof/>
          </w:rPr>
          <w:t>2.3 The implied zero curve</w:t>
        </w:r>
        <w:r>
          <w:rPr>
            <w:noProof/>
            <w:webHidden/>
          </w:rPr>
          <w:tab/>
        </w:r>
        <w:r>
          <w:rPr>
            <w:noProof/>
            <w:webHidden/>
          </w:rPr>
          <w:fldChar w:fldCharType="begin"/>
        </w:r>
        <w:r>
          <w:rPr>
            <w:noProof/>
            <w:webHidden/>
          </w:rPr>
          <w:instrText xml:space="preserve"> PAGEREF _Toc38162668 \h </w:instrText>
        </w:r>
        <w:r>
          <w:rPr>
            <w:noProof/>
          </w:rPr>
        </w:r>
        <w:r>
          <w:rPr>
            <w:noProof/>
            <w:webHidden/>
          </w:rPr>
          <w:fldChar w:fldCharType="separate"/>
        </w:r>
        <w:r>
          <w:rPr>
            <w:noProof/>
            <w:webHidden/>
          </w:rPr>
          <w:t>6</w:t>
        </w:r>
        <w:r>
          <w:rPr>
            <w:noProof/>
            <w:webHidden/>
          </w:rPr>
          <w:fldChar w:fldCharType="end"/>
        </w:r>
      </w:hyperlink>
    </w:p>
    <w:p w:rsidR="00000000" w:rsidRDefault="00F90957">
      <w:pPr>
        <w:pStyle w:val="TOC2"/>
        <w:tabs>
          <w:tab w:val="right" w:leader="dot" w:pos="9060"/>
        </w:tabs>
        <w:rPr>
          <w:smallCaps w:val="0"/>
          <w:noProof/>
          <w:lang w:val="en-US"/>
        </w:rPr>
      </w:pPr>
      <w:hyperlink w:anchor="_Toc38162669" w:history="1">
        <w:r>
          <w:rPr>
            <w:rStyle w:val="Hyperlink"/>
            <w:noProof/>
          </w:rPr>
          <w:t>2.4 Yield</w:t>
        </w:r>
        <w:r>
          <w:rPr>
            <w:noProof/>
            <w:webHidden/>
          </w:rPr>
          <w:tab/>
        </w:r>
        <w:r>
          <w:rPr>
            <w:noProof/>
            <w:webHidden/>
          </w:rPr>
          <w:fldChar w:fldCharType="begin"/>
        </w:r>
        <w:r>
          <w:rPr>
            <w:noProof/>
            <w:webHidden/>
          </w:rPr>
          <w:instrText xml:space="preserve"> PAGEREF _Toc38162669 \h </w:instrText>
        </w:r>
        <w:r>
          <w:rPr>
            <w:noProof/>
          </w:rPr>
        </w:r>
        <w:r>
          <w:rPr>
            <w:noProof/>
            <w:webHidden/>
          </w:rPr>
          <w:fldChar w:fldCharType="separate"/>
        </w:r>
        <w:r>
          <w:rPr>
            <w:noProof/>
            <w:webHidden/>
          </w:rPr>
          <w:t>6</w:t>
        </w:r>
        <w:r>
          <w:rPr>
            <w:noProof/>
            <w:webHidden/>
          </w:rPr>
          <w:fldChar w:fldCharType="end"/>
        </w:r>
      </w:hyperlink>
    </w:p>
    <w:p w:rsidR="00000000" w:rsidRDefault="00F90957">
      <w:pPr>
        <w:pStyle w:val="TOC2"/>
        <w:tabs>
          <w:tab w:val="right" w:leader="dot" w:pos="9060"/>
        </w:tabs>
        <w:rPr>
          <w:smallCaps w:val="0"/>
          <w:noProof/>
          <w:lang w:val="en-US"/>
        </w:rPr>
      </w:pPr>
      <w:hyperlink w:anchor="_Toc38162670" w:history="1">
        <w:r>
          <w:rPr>
            <w:rStyle w:val="Hyperlink"/>
            <w:noProof/>
          </w:rPr>
          <w:t>2.5 Spread</w:t>
        </w:r>
        <w:r>
          <w:rPr>
            <w:noProof/>
            <w:webHidden/>
          </w:rPr>
          <w:tab/>
        </w:r>
        <w:r>
          <w:rPr>
            <w:noProof/>
            <w:webHidden/>
          </w:rPr>
          <w:fldChar w:fldCharType="begin"/>
        </w:r>
        <w:r>
          <w:rPr>
            <w:noProof/>
            <w:webHidden/>
          </w:rPr>
          <w:instrText xml:space="preserve"> PAGEREF _Toc38162670 \h </w:instrText>
        </w:r>
        <w:r>
          <w:rPr>
            <w:noProof/>
          </w:rPr>
        </w:r>
        <w:r>
          <w:rPr>
            <w:noProof/>
            <w:webHidden/>
          </w:rPr>
          <w:fldChar w:fldCharType="separate"/>
        </w:r>
        <w:r>
          <w:rPr>
            <w:noProof/>
            <w:webHidden/>
          </w:rPr>
          <w:t>6</w:t>
        </w:r>
        <w:r>
          <w:rPr>
            <w:noProof/>
            <w:webHidden/>
          </w:rPr>
          <w:fldChar w:fldCharType="end"/>
        </w:r>
      </w:hyperlink>
    </w:p>
    <w:p w:rsidR="00000000" w:rsidRDefault="00F90957">
      <w:pPr>
        <w:pStyle w:val="TOC2"/>
        <w:tabs>
          <w:tab w:val="right" w:leader="dot" w:pos="9060"/>
        </w:tabs>
        <w:rPr>
          <w:smallCaps w:val="0"/>
          <w:noProof/>
          <w:lang w:val="en-US"/>
        </w:rPr>
      </w:pPr>
      <w:hyperlink w:anchor="_Toc38162671" w:history="1">
        <w:r>
          <w:rPr>
            <w:rStyle w:val="Hyperlink"/>
            <w:noProof/>
          </w:rPr>
          <w:t>2.6</w:t>
        </w:r>
        <w:r>
          <w:rPr>
            <w:rStyle w:val="Hyperlink"/>
            <w:b/>
            <w:noProof/>
          </w:rPr>
          <w:t xml:space="preserve"> </w:t>
        </w:r>
        <w:r>
          <w:rPr>
            <w:rStyle w:val="Hyperlink"/>
            <w:noProof/>
          </w:rPr>
          <w:t>Duration</w:t>
        </w:r>
        <w:r>
          <w:rPr>
            <w:noProof/>
            <w:webHidden/>
          </w:rPr>
          <w:tab/>
        </w:r>
        <w:r>
          <w:rPr>
            <w:noProof/>
            <w:webHidden/>
          </w:rPr>
          <w:fldChar w:fldCharType="begin"/>
        </w:r>
        <w:r>
          <w:rPr>
            <w:noProof/>
            <w:webHidden/>
          </w:rPr>
          <w:instrText xml:space="preserve"> PAGEREF _Toc38162671 \h </w:instrText>
        </w:r>
        <w:r>
          <w:rPr>
            <w:noProof/>
          </w:rPr>
        </w:r>
        <w:r>
          <w:rPr>
            <w:noProof/>
            <w:webHidden/>
          </w:rPr>
          <w:fldChar w:fldCharType="separate"/>
        </w:r>
        <w:r>
          <w:rPr>
            <w:noProof/>
            <w:webHidden/>
          </w:rPr>
          <w:t>7</w:t>
        </w:r>
        <w:r>
          <w:rPr>
            <w:noProof/>
            <w:webHidden/>
          </w:rPr>
          <w:fldChar w:fldCharType="end"/>
        </w:r>
      </w:hyperlink>
    </w:p>
    <w:p w:rsidR="00000000" w:rsidRDefault="00F90957">
      <w:pPr>
        <w:pStyle w:val="TOC1"/>
        <w:tabs>
          <w:tab w:val="right" w:leader="dot" w:pos="9060"/>
        </w:tabs>
        <w:rPr>
          <w:b w:val="0"/>
          <w:bCs w:val="0"/>
          <w:caps w:val="0"/>
          <w:noProof/>
          <w:lang w:val="en-US"/>
        </w:rPr>
      </w:pPr>
      <w:hyperlink w:anchor="_Toc38162672" w:history="1">
        <w:r>
          <w:rPr>
            <w:rStyle w:val="Hyperlink"/>
            <w:noProof/>
          </w:rPr>
          <w:t>3 Performance Attributi</w:t>
        </w:r>
        <w:r>
          <w:rPr>
            <w:rStyle w:val="Hyperlink"/>
            <w:noProof/>
          </w:rPr>
          <w:t>on Analysis</w:t>
        </w:r>
        <w:r>
          <w:rPr>
            <w:noProof/>
            <w:webHidden/>
          </w:rPr>
          <w:tab/>
        </w:r>
        <w:r>
          <w:rPr>
            <w:noProof/>
            <w:webHidden/>
          </w:rPr>
          <w:fldChar w:fldCharType="begin"/>
        </w:r>
        <w:r>
          <w:rPr>
            <w:noProof/>
            <w:webHidden/>
          </w:rPr>
          <w:instrText xml:space="preserve"> PAGEREF _Toc38162672 \h </w:instrText>
        </w:r>
        <w:r>
          <w:rPr>
            <w:noProof/>
          </w:rPr>
        </w:r>
        <w:r>
          <w:rPr>
            <w:noProof/>
            <w:webHidden/>
          </w:rPr>
          <w:fldChar w:fldCharType="separate"/>
        </w:r>
        <w:r>
          <w:rPr>
            <w:noProof/>
            <w:webHidden/>
          </w:rPr>
          <w:t>9</w:t>
        </w:r>
        <w:r>
          <w:rPr>
            <w:noProof/>
            <w:webHidden/>
          </w:rPr>
          <w:fldChar w:fldCharType="end"/>
        </w:r>
      </w:hyperlink>
    </w:p>
    <w:p w:rsidR="00000000" w:rsidRDefault="00F90957">
      <w:pPr>
        <w:pStyle w:val="TOC2"/>
        <w:tabs>
          <w:tab w:val="right" w:leader="dot" w:pos="9060"/>
        </w:tabs>
        <w:rPr>
          <w:smallCaps w:val="0"/>
          <w:noProof/>
          <w:lang w:val="en-US"/>
        </w:rPr>
      </w:pPr>
      <w:hyperlink w:anchor="_Toc38162673" w:history="1">
        <w:r>
          <w:rPr>
            <w:rStyle w:val="Hyperlink"/>
            <w:noProof/>
          </w:rPr>
          <w:t>3.1 Model framework</w:t>
        </w:r>
        <w:r>
          <w:rPr>
            <w:noProof/>
            <w:webHidden/>
          </w:rPr>
          <w:tab/>
        </w:r>
        <w:r>
          <w:rPr>
            <w:noProof/>
            <w:webHidden/>
          </w:rPr>
          <w:fldChar w:fldCharType="begin"/>
        </w:r>
        <w:r>
          <w:rPr>
            <w:noProof/>
            <w:webHidden/>
          </w:rPr>
          <w:instrText xml:space="preserve"> PAGEREF _Toc38162673 \h </w:instrText>
        </w:r>
        <w:r>
          <w:rPr>
            <w:noProof/>
          </w:rPr>
        </w:r>
        <w:r>
          <w:rPr>
            <w:noProof/>
            <w:webHidden/>
          </w:rPr>
          <w:fldChar w:fldCharType="separate"/>
        </w:r>
        <w:r>
          <w:rPr>
            <w:noProof/>
            <w:webHidden/>
          </w:rPr>
          <w:t>9</w:t>
        </w:r>
        <w:r>
          <w:rPr>
            <w:noProof/>
            <w:webHidden/>
          </w:rPr>
          <w:fldChar w:fldCharType="end"/>
        </w:r>
      </w:hyperlink>
    </w:p>
    <w:p w:rsidR="00000000" w:rsidRDefault="00F90957">
      <w:pPr>
        <w:pStyle w:val="TOC3"/>
        <w:tabs>
          <w:tab w:val="right" w:leader="dot" w:pos="9060"/>
        </w:tabs>
        <w:rPr>
          <w:iCs w:val="0"/>
          <w:noProof/>
          <w:lang w:val="en-US"/>
        </w:rPr>
      </w:pPr>
      <w:hyperlink w:anchor="_Toc38162674" w:history="1">
        <w:r>
          <w:rPr>
            <w:rStyle w:val="Hyperlink"/>
            <w:noProof/>
          </w:rPr>
          <w:t>3.1.1 Example</w:t>
        </w:r>
        <w:r>
          <w:rPr>
            <w:noProof/>
            <w:webHidden/>
          </w:rPr>
          <w:tab/>
        </w:r>
        <w:r>
          <w:rPr>
            <w:noProof/>
            <w:webHidden/>
          </w:rPr>
          <w:fldChar w:fldCharType="begin"/>
        </w:r>
        <w:r>
          <w:rPr>
            <w:noProof/>
            <w:webHidden/>
          </w:rPr>
          <w:instrText xml:space="preserve"> PAGEREF _Toc38162674 \h </w:instrText>
        </w:r>
        <w:r>
          <w:rPr>
            <w:noProof/>
          </w:rPr>
        </w:r>
        <w:r>
          <w:rPr>
            <w:noProof/>
            <w:webHidden/>
          </w:rPr>
          <w:fldChar w:fldCharType="separate"/>
        </w:r>
        <w:r>
          <w:rPr>
            <w:noProof/>
            <w:webHidden/>
          </w:rPr>
          <w:t>9</w:t>
        </w:r>
        <w:r>
          <w:rPr>
            <w:noProof/>
            <w:webHidden/>
          </w:rPr>
          <w:fldChar w:fldCharType="end"/>
        </w:r>
      </w:hyperlink>
    </w:p>
    <w:p w:rsidR="00000000" w:rsidRDefault="00F90957">
      <w:pPr>
        <w:pStyle w:val="TOC1"/>
        <w:tabs>
          <w:tab w:val="right" w:leader="dot" w:pos="9060"/>
        </w:tabs>
        <w:rPr>
          <w:b w:val="0"/>
          <w:bCs w:val="0"/>
          <w:caps w:val="0"/>
          <w:noProof/>
          <w:lang w:val="en-US"/>
        </w:rPr>
      </w:pPr>
      <w:hyperlink w:anchor="_Toc38162675" w:history="1">
        <w:r>
          <w:rPr>
            <w:rStyle w:val="Hyperlink"/>
            <w:noProof/>
          </w:rPr>
          <w:t xml:space="preserve">4 Calculating the </w:t>
        </w:r>
        <w:r>
          <w:rPr>
            <w:rStyle w:val="Hyperlink"/>
            <w:noProof/>
          </w:rPr>
          <w:t>return</w:t>
        </w:r>
        <w:r>
          <w:rPr>
            <w:noProof/>
            <w:webHidden/>
          </w:rPr>
          <w:tab/>
        </w:r>
        <w:r>
          <w:rPr>
            <w:noProof/>
            <w:webHidden/>
          </w:rPr>
          <w:fldChar w:fldCharType="begin"/>
        </w:r>
        <w:r>
          <w:rPr>
            <w:noProof/>
            <w:webHidden/>
          </w:rPr>
          <w:instrText xml:space="preserve"> PAGEREF _Toc38162675 \h </w:instrText>
        </w:r>
        <w:r>
          <w:rPr>
            <w:noProof/>
          </w:rPr>
        </w:r>
        <w:r>
          <w:rPr>
            <w:noProof/>
            <w:webHidden/>
          </w:rPr>
          <w:fldChar w:fldCharType="separate"/>
        </w:r>
        <w:r>
          <w:rPr>
            <w:noProof/>
            <w:webHidden/>
          </w:rPr>
          <w:t>13</w:t>
        </w:r>
        <w:r>
          <w:rPr>
            <w:noProof/>
            <w:webHidden/>
          </w:rPr>
          <w:fldChar w:fldCharType="end"/>
        </w:r>
      </w:hyperlink>
    </w:p>
    <w:p w:rsidR="00000000" w:rsidRDefault="00F90957">
      <w:pPr>
        <w:pStyle w:val="TOC2"/>
        <w:tabs>
          <w:tab w:val="right" w:leader="dot" w:pos="9060"/>
        </w:tabs>
        <w:rPr>
          <w:smallCaps w:val="0"/>
          <w:noProof/>
          <w:lang w:val="en-US"/>
        </w:rPr>
      </w:pPr>
      <w:hyperlink w:anchor="_Toc38162676" w:history="1">
        <w:r>
          <w:rPr>
            <w:rStyle w:val="Hyperlink"/>
            <w:noProof/>
          </w:rPr>
          <w:t>4.1 The return of a static portfolio</w:t>
        </w:r>
        <w:r>
          <w:rPr>
            <w:noProof/>
            <w:webHidden/>
          </w:rPr>
          <w:tab/>
        </w:r>
        <w:r>
          <w:rPr>
            <w:noProof/>
            <w:webHidden/>
          </w:rPr>
          <w:fldChar w:fldCharType="begin"/>
        </w:r>
        <w:r>
          <w:rPr>
            <w:noProof/>
            <w:webHidden/>
          </w:rPr>
          <w:instrText xml:space="preserve"> PAGEREF _Toc38162676 \h </w:instrText>
        </w:r>
        <w:r>
          <w:rPr>
            <w:noProof/>
          </w:rPr>
        </w:r>
        <w:r>
          <w:rPr>
            <w:noProof/>
            <w:webHidden/>
          </w:rPr>
          <w:fldChar w:fldCharType="separate"/>
        </w:r>
        <w:r>
          <w:rPr>
            <w:noProof/>
            <w:webHidden/>
          </w:rPr>
          <w:t>13</w:t>
        </w:r>
        <w:r>
          <w:rPr>
            <w:noProof/>
            <w:webHidden/>
          </w:rPr>
          <w:fldChar w:fldCharType="end"/>
        </w:r>
      </w:hyperlink>
    </w:p>
    <w:p w:rsidR="00000000" w:rsidRDefault="00F90957">
      <w:pPr>
        <w:pStyle w:val="TOC3"/>
        <w:tabs>
          <w:tab w:val="right" w:leader="dot" w:pos="9060"/>
        </w:tabs>
        <w:rPr>
          <w:iCs w:val="0"/>
          <w:noProof/>
          <w:lang w:val="en-US"/>
        </w:rPr>
      </w:pPr>
      <w:hyperlink w:anchor="_Toc38162677" w:history="1">
        <w:r>
          <w:rPr>
            <w:rStyle w:val="Hyperlink"/>
            <w:noProof/>
          </w:rPr>
          <w:t>Example</w:t>
        </w:r>
        <w:r>
          <w:rPr>
            <w:noProof/>
            <w:webHidden/>
          </w:rPr>
          <w:tab/>
        </w:r>
        <w:r>
          <w:rPr>
            <w:noProof/>
            <w:webHidden/>
          </w:rPr>
          <w:fldChar w:fldCharType="begin"/>
        </w:r>
        <w:r>
          <w:rPr>
            <w:noProof/>
            <w:webHidden/>
          </w:rPr>
          <w:instrText xml:space="preserve"> PAGEREF _Toc38162677 \h </w:instrText>
        </w:r>
        <w:r>
          <w:rPr>
            <w:noProof/>
          </w:rPr>
        </w:r>
        <w:r>
          <w:rPr>
            <w:noProof/>
            <w:webHidden/>
          </w:rPr>
          <w:fldChar w:fldCharType="separate"/>
        </w:r>
        <w:r>
          <w:rPr>
            <w:noProof/>
            <w:webHidden/>
          </w:rPr>
          <w:t>13</w:t>
        </w:r>
        <w:r>
          <w:rPr>
            <w:noProof/>
            <w:webHidden/>
          </w:rPr>
          <w:fldChar w:fldCharType="end"/>
        </w:r>
      </w:hyperlink>
    </w:p>
    <w:p w:rsidR="00000000" w:rsidRDefault="00F90957">
      <w:pPr>
        <w:pStyle w:val="TOC2"/>
        <w:tabs>
          <w:tab w:val="right" w:leader="dot" w:pos="9060"/>
        </w:tabs>
        <w:rPr>
          <w:smallCaps w:val="0"/>
          <w:noProof/>
          <w:lang w:val="en-US"/>
        </w:rPr>
      </w:pPr>
      <w:hyperlink w:anchor="_Toc38162678" w:history="1">
        <w:r>
          <w:rPr>
            <w:rStyle w:val="Hyperlink"/>
            <w:noProof/>
          </w:rPr>
          <w:t>4.2 Incor</w:t>
        </w:r>
        <w:r>
          <w:rPr>
            <w:rStyle w:val="Hyperlink"/>
            <w:noProof/>
          </w:rPr>
          <w:t>porating cash-flows</w:t>
        </w:r>
        <w:r>
          <w:rPr>
            <w:noProof/>
            <w:webHidden/>
          </w:rPr>
          <w:tab/>
        </w:r>
        <w:r>
          <w:rPr>
            <w:noProof/>
            <w:webHidden/>
          </w:rPr>
          <w:fldChar w:fldCharType="begin"/>
        </w:r>
        <w:r>
          <w:rPr>
            <w:noProof/>
            <w:webHidden/>
          </w:rPr>
          <w:instrText xml:space="preserve"> PAGEREF _Toc38162678 \h </w:instrText>
        </w:r>
        <w:r>
          <w:rPr>
            <w:noProof/>
          </w:rPr>
        </w:r>
        <w:r>
          <w:rPr>
            <w:noProof/>
            <w:webHidden/>
          </w:rPr>
          <w:fldChar w:fldCharType="separate"/>
        </w:r>
        <w:r>
          <w:rPr>
            <w:noProof/>
            <w:webHidden/>
          </w:rPr>
          <w:t>14</w:t>
        </w:r>
        <w:r>
          <w:rPr>
            <w:noProof/>
            <w:webHidden/>
          </w:rPr>
          <w:fldChar w:fldCharType="end"/>
        </w:r>
      </w:hyperlink>
    </w:p>
    <w:p w:rsidR="00000000" w:rsidRDefault="00F90957">
      <w:pPr>
        <w:pStyle w:val="TOC2"/>
        <w:tabs>
          <w:tab w:val="right" w:leader="dot" w:pos="9060"/>
        </w:tabs>
        <w:rPr>
          <w:smallCaps w:val="0"/>
          <w:noProof/>
          <w:lang w:val="en-US"/>
        </w:rPr>
      </w:pPr>
      <w:hyperlink w:anchor="_Toc38162679" w:history="1">
        <w:r>
          <w:rPr>
            <w:rStyle w:val="Hyperlink"/>
            <w:noProof/>
          </w:rPr>
          <w:t>4.3 Calculating the daily return</w:t>
        </w:r>
        <w:r>
          <w:rPr>
            <w:noProof/>
            <w:webHidden/>
          </w:rPr>
          <w:tab/>
        </w:r>
        <w:r>
          <w:rPr>
            <w:noProof/>
            <w:webHidden/>
          </w:rPr>
          <w:fldChar w:fldCharType="begin"/>
        </w:r>
        <w:r>
          <w:rPr>
            <w:noProof/>
            <w:webHidden/>
          </w:rPr>
          <w:instrText xml:space="preserve"> PAGEREF _Toc38162679 \h </w:instrText>
        </w:r>
        <w:r>
          <w:rPr>
            <w:noProof/>
          </w:rPr>
        </w:r>
        <w:r>
          <w:rPr>
            <w:noProof/>
            <w:webHidden/>
          </w:rPr>
          <w:fldChar w:fldCharType="separate"/>
        </w:r>
        <w:r>
          <w:rPr>
            <w:noProof/>
            <w:webHidden/>
          </w:rPr>
          <w:t>15</w:t>
        </w:r>
        <w:r>
          <w:rPr>
            <w:noProof/>
            <w:webHidden/>
          </w:rPr>
          <w:fldChar w:fldCharType="end"/>
        </w:r>
      </w:hyperlink>
    </w:p>
    <w:p w:rsidR="00000000" w:rsidRDefault="00F90957">
      <w:pPr>
        <w:pStyle w:val="TOC3"/>
        <w:tabs>
          <w:tab w:val="right" w:leader="dot" w:pos="9060"/>
        </w:tabs>
        <w:rPr>
          <w:iCs w:val="0"/>
          <w:noProof/>
          <w:lang w:val="en-US"/>
        </w:rPr>
      </w:pPr>
      <w:hyperlink w:anchor="_Toc38162680" w:history="1">
        <w:r>
          <w:rPr>
            <w:rStyle w:val="Hyperlink"/>
            <w:noProof/>
          </w:rPr>
          <w:t>4.3.1 A portfolio consisting of one security</w:t>
        </w:r>
        <w:r>
          <w:rPr>
            <w:noProof/>
            <w:webHidden/>
          </w:rPr>
          <w:tab/>
        </w:r>
        <w:r>
          <w:rPr>
            <w:noProof/>
            <w:webHidden/>
          </w:rPr>
          <w:fldChar w:fldCharType="begin"/>
        </w:r>
        <w:r>
          <w:rPr>
            <w:noProof/>
            <w:webHidden/>
          </w:rPr>
          <w:instrText xml:space="preserve"> PAGEREF _Toc38162680 \h </w:instrText>
        </w:r>
        <w:r>
          <w:rPr>
            <w:noProof/>
          </w:rPr>
        </w:r>
        <w:r>
          <w:rPr>
            <w:noProof/>
            <w:webHidden/>
          </w:rPr>
          <w:fldChar w:fldCharType="separate"/>
        </w:r>
        <w:r>
          <w:rPr>
            <w:noProof/>
            <w:webHidden/>
          </w:rPr>
          <w:t>16</w:t>
        </w:r>
        <w:r>
          <w:rPr>
            <w:noProof/>
            <w:webHidden/>
          </w:rPr>
          <w:fldChar w:fldCharType="end"/>
        </w:r>
      </w:hyperlink>
    </w:p>
    <w:p w:rsidR="00000000" w:rsidRDefault="00F90957">
      <w:pPr>
        <w:pStyle w:val="TOC3"/>
        <w:tabs>
          <w:tab w:val="right" w:leader="dot" w:pos="9060"/>
        </w:tabs>
        <w:rPr>
          <w:iCs w:val="0"/>
          <w:noProof/>
          <w:lang w:val="en-US"/>
        </w:rPr>
      </w:pPr>
      <w:hyperlink w:anchor="_Toc38162681" w:history="1">
        <w:r>
          <w:rPr>
            <w:rStyle w:val="Hyperlink"/>
            <w:noProof/>
          </w:rPr>
          <w:t>4.3.2 A general portfolio</w:t>
        </w:r>
        <w:r>
          <w:rPr>
            <w:noProof/>
            <w:webHidden/>
          </w:rPr>
          <w:tab/>
        </w:r>
        <w:r>
          <w:rPr>
            <w:noProof/>
            <w:webHidden/>
          </w:rPr>
          <w:fldChar w:fldCharType="begin"/>
        </w:r>
        <w:r>
          <w:rPr>
            <w:noProof/>
            <w:webHidden/>
          </w:rPr>
          <w:instrText xml:space="preserve"> PAGEREF _Toc38162681 \h </w:instrText>
        </w:r>
        <w:r>
          <w:rPr>
            <w:noProof/>
          </w:rPr>
        </w:r>
        <w:r>
          <w:rPr>
            <w:noProof/>
            <w:webHidden/>
          </w:rPr>
          <w:fldChar w:fldCharType="separate"/>
        </w:r>
        <w:r>
          <w:rPr>
            <w:noProof/>
            <w:webHidden/>
          </w:rPr>
          <w:t>17</w:t>
        </w:r>
        <w:r>
          <w:rPr>
            <w:noProof/>
            <w:webHidden/>
          </w:rPr>
          <w:fldChar w:fldCharType="end"/>
        </w:r>
      </w:hyperlink>
    </w:p>
    <w:p w:rsidR="00000000" w:rsidRDefault="00F90957">
      <w:pPr>
        <w:pStyle w:val="TOC1"/>
        <w:tabs>
          <w:tab w:val="right" w:leader="dot" w:pos="9060"/>
        </w:tabs>
        <w:rPr>
          <w:b w:val="0"/>
          <w:bCs w:val="0"/>
          <w:caps w:val="0"/>
          <w:noProof/>
          <w:lang w:val="en-US"/>
        </w:rPr>
      </w:pPr>
      <w:hyperlink w:anchor="_Toc38162682" w:history="1">
        <w:r>
          <w:rPr>
            <w:rStyle w:val="Hyperlink"/>
            <w:noProof/>
          </w:rPr>
          <w:t>5 Multi-period attribution analysis</w:t>
        </w:r>
        <w:r>
          <w:rPr>
            <w:noProof/>
            <w:webHidden/>
          </w:rPr>
          <w:tab/>
        </w:r>
        <w:r>
          <w:rPr>
            <w:noProof/>
            <w:webHidden/>
          </w:rPr>
          <w:fldChar w:fldCharType="begin"/>
        </w:r>
        <w:r>
          <w:rPr>
            <w:noProof/>
            <w:webHidden/>
          </w:rPr>
          <w:instrText xml:space="preserve"> PAGEREF _Toc38162682 \h </w:instrText>
        </w:r>
        <w:r>
          <w:rPr>
            <w:noProof/>
          </w:rPr>
        </w:r>
        <w:r>
          <w:rPr>
            <w:noProof/>
            <w:webHidden/>
          </w:rPr>
          <w:fldChar w:fldCharType="separate"/>
        </w:r>
        <w:r>
          <w:rPr>
            <w:noProof/>
            <w:webHidden/>
          </w:rPr>
          <w:t>19</w:t>
        </w:r>
        <w:r>
          <w:rPr>
            <w:noProof/>
            <w:webHidden/>
          </w:rPr>
          <w:fldChar w:fldCharType="end"/>
        </w:r>
      </w:hyperlink>
    </w:p>
    <w:p w:rsidR="00000000" w:rsidRDefault="00F90957">
      <w:pPr>
        <w:pStyle w:val="TOC2"/>
        <w:tabs>
          <w:tab w:val="right" w:leader="dot" w:pos="9060"/>
        </w:tabs>
        <w:rPr>
          <w:smallCaps w:val="0"/>
          <w:noProof/>
          <w:lang w:val="en-US"/>
        </w:rPr>
      </w:pPr>
      <w:hyperlink w:anchor="_Toc38162683" w:history="1">
        <w:r>
          <w:rPr>
            <w:rStyle w:val="Hyperlink"/>
            <w:noProof/>
          </w:rPr>
          <w:t>5.1 Linking attribution res</w:t>
        </w:r>
        <w:r>
          <w:rPr>
            <w:rStyle w:val="Hyperlink"/>
            <w:noProof/>
          </w:rPr>
          <w:t>ults</w:t>
        </w:r>
        <w:r>
          <w:rPr>
            <w:noProof/>
            <w:webHidden/>
          </w:rPr>
          <w:tab/>
        </w:r>
        <w:r>
          <w:rPr>
            <w:noProof/>
            <w:webHidden/>
          </w:rPr>
          <w:fldChar w:fldCharType="begin"/>
        </w:r>
        <w:r>
          <w:rPr>
            <w:noProof/>
            <w:webHidden/>
          </w:rPr>
          <w:instrText xml:space="preserve"> PAGEREF _Toc38162683 \h </w:instrText>
        </w:r>
        <w:r>
          <w:rPr>
            <w:noProof/>
          </w:rPr>
        </w:r>
        <w:r>
          <w:rPr>
            <w:noProof/>
            <w:webHidden/>
          </w:rPr>
          <w:fldChar w:fldCharType="separate"/>
        </w:r>
        <w:r>
          <w:rPr>
            <w:noProof/>
            <w:webHidden/>
          </w:rPr>
          <w:t>20</w:t>
        </w:r>
        <w:r>
          <w:rPr>
            <w:noProof/>
            <w:webHidden/>
          </w:rPr>
          <w:fldChar w:fldCharType="end"/>
        </w:r>
      </w:hyperlink>
    </w:p>
    <w:p w:rsidR="00000000" w:rsidRDefault="00F90957">
      <w:pPr>
        <w:pStyle w:val="TOC1"/>
        <w:tabs>
          <w:tab w:val="right" w:leader="dot" w:pos="9060"/>
        </w:tabs>
        <w:rPr>
          <w:b w:val="0"/>
          <w:bCs w:val="0"/>
          <w:caps w:val="0"/>
          <w:noProof/>
          <w:lang w:val="en-US"/>
        </w:rPr>
      </w:pPr>
      <w:hyperlink w:anchor="_Toc38162684" w:history="1">
        <w:r>
          <w:rPr>
            <w:rStyle w:val="Hyperlink"/>
            <w:noProof/>
          </w:rPr>
          <w:t>6  Return Attribution Analysis</w:t>
        </w:r>
        <w:r>
          <w:rPr>
            <w:noProof/>
            <w:webHidden/>
          </w:rPr>
          <w:tab/>
        </w:r>
        <w:r>
          <w:rPr>
            <w:noProof/>
            <w:webHidden/>
          </w:rPr>
          <w:fldChar w:fldCharType="begin"/>
        </w:r>
        <w:r>
          <w:rPr>
            <w:noProof/>
            <w:webHidden/>
          </w:rPr>
          <w:instrText xml:space="preserve"> PAGEREF _Toc38162684 \h </w:instrText>
        </w:r>
        <w:r>
          <w:rPr>
            <w:noProof/>
          </w:rPr>
        </w:r>
        <w:r>
          <w:rPr>
            <w:noProof/>
            <w:webHidden/>
          </w:rPr>
          <w:fldChar w:fldCharType="separate"/>
        </w:r>
        <w:r>
          <w:rPr>
            <w:noProof/>
            <w:webHidden/>
          </w:rPr>
          <w:t>23</w:t>
        </w:r>
        <w:r>
          <w:rPr>
            <w:noProof/>
            <w:webHidden/>
          </w:rPr>
          <w:fldChar w:fldCharType="end"/>
        </w:r>
      </w:hyperlink>
    </w:p>
    <w:p w:rsidR="00000000" w:rsidRDefault="00F90957">
      <w:pPr>
        <w:pStyle w:val="TOC2"/>
        <w:tabs>
          <w:tab w:val="right" w:leader="dot" w:pos="9060"/>
        </w:tabs>
        <w:rPr>
          <w:smallCaps w:val="0"/>
          <w:noProof/>
          <w:lang w:val="en-US"/>
        </w:rPr>
      </w:pPr>
      <w:hyperlink w:anchor="_Toc38162685" w:history="1">
        <w:r>
          <w:rPr>
            <w:rStyle w:val="Hyperlink"/>
            <w:noProof/>
          </w:rPr>
          <w:t>6.1 Price return</w:t>
        </w:r>
        <w:r>
          <w:rPr>
            <w:noProof/>
            <w:webHidden/>
          </w:rPr>
          <w:tab/>
        </w:r>
        <w:r>
          <w:rPr>
            <w:noProof/>
            <w:webHidden/>
          </w:rPr>
          <w:fldChar w:fldCharType="begin"/>
        </w:r>
        <w:r>
          <w:rPr>
            <w:noProof/>
            <w:webHidden/>
          </w:rPr>
          <w:instrText xml:space="preserve"> PAGEREF _Toc38162685 \h </w:instrText>
        </w:r>
        <w:r>
          <w:rPr>
            <w:noProof/>
          </w:rPr>
        </w:r>
        <w:r>
          <w:rPr>
            <w:noProof/>
            <w:webHidden/>
          </w:rPr>
          <w:fldChar w:fldCharType="separate"/>
        </w:r>
        <w:r>
          <w:rPr>
            <w:noProof/>
            <w:webHidden/>
          </w:rPr>
          <w:t>24</w:t>
        </w:r>
        <w:r>
          <w:rPr>
            <w:noProof/>
            <w:webHidden/>
          </w:rPr>
          <w:fldChar w:fldCharType="end"/>
        </w:r>
      </w:hyperlink>
    </w:p>
    <w:p w:rsidR="00000000" w:rsidRDefault="00F90957">
      <w:pPr>
        <w:pStyle w:val="TOC3"/>
        <w:tabs>
          <w:tab w:val="right" w:leader="dot" w:pos="9060"/>
        </w:tabs>
        <w:rPr>
          <w:iCs w:val="0"/>
          <w:noProof/>
          <w:lang w:val="en-US"/>
        </w:rPr>
      </w:pPr>
      <w:hyperlink w:anchor="_Toc38162686" w:history="1">
        <w:r>
          <w:rPr>
            <w:rStyle w:val="Hyperlink"/>
            <w:noProof/>
          </w:rPr>
          <w:t>6.1.1 Ac</w:t>
        </w:r>
        <w:r>
          <w:rPr>
            <w:rStyle w:val="Hyperlink"/>
            <w:noProof/>
          </w:rPr>
          <w:t>cretion and rolldown return</w:t>
        </w:r>
        <w:r>
          <w:rPr>
            <w:noProof/>
            <w:webHidden/>
          </w:rPr>
          <w:tab/>
        </w:r>
        <w:r>
          <w:rPr>
            <w:noProof/>
            <w:webHidden/>
          </w:rPr>
          <w:fldChar w:fldCharType="begin"/>
        </w:r>
        <w:r>
          <w:rPr>
            <w:noProof/>
            <w:webHidden/>
          </w:rPr>
          <w:instrText xml:space="preserve"> PAGEREF _Toc38162686 \h </w:instrText>
        </w:r>
        <w:r>
          <w:rPr>
            <w:noProof/>
          </w:rPr>
        </w:r>
        <w:r>
          <w:rPr>
            <w:noProof/>
            <w:webHidden/>
          </w:rPr>
          <w:fldChar w:fldCharType="separate"/>
        </w:r>
        <w:r>
          <w:rPr>
            <w:noProof/>
            <w:webHidden/>
          </w:rPr>
          <w:t>24</w:t>
        </w:r>
        <w:r>
          <w:rPr>
            <w:noProof/>
            <w:webHidden/>
          </w:rPr>
          <w:fldChar w:fldCharType="end"/>
        </w:r>
      </w:hyperlink>
    </w:p>
    <w:p w:rsidR="00000000" w:rsidRDefault="00F90957">
      <w:pPr>
        <w:pStyle w:val="TOC3"/>
        <w:tabs>
          <w:tab w:val="right" w:leader="dot" w:pos="9060"/>
        </w:tabs>
        <w:rPr>
          <w:iCs w:val="0"/>
          <w:noProof/>
          <w:lang w:val="en-US"/>
        </w:rPr>
      </w:pPr>
      <w:hyperlink w:anchor="_Toc38162687" w:history="1">
        <w:r>
          <w:rPr>
            <w:rStyle w:val="Hyperlink"/>
            <w:noProof/>
          </w:rPr>
          <w:t>6.1.2 Curve return</w:t>
        </w:r>
        <w:r>
          <w:rPr>
            <w:noProof/>
            <w:webHidden/>
          </w:rPr>
          <w:tab/>
        </w:r>
        <w:r>
          <w:rPr>
            <w:noProof/>
            <w:webHidden/>
          </w:rPr>
          <w:fldChar w:fldCharType="begin"/>
        </w:r>
        <w:r>
          <w:rPr>
            <w:noProof/>
            <w:webHidden/>
          </w:rPr>
          <w:instrText xml:space="preserve"> PAGEREF _Toc38162687 \h </w:instrText>
        </w:r>
        <w:r>
          <w:rPr>
            <w:noProof/>
          </w:rPr>
        </w:r>
        <w:r>
          <w:rPr>
            <w:noProof/>
            <w:webHidden/>
          </w:rPr>
          <w:fldChar w:fldCharType="separate"/>
        </w:r>
        <w:r>
          <w:rPr>
            <w:noProof/>
            <w:webHidden/>
          </w:rPr>
          <w:t>25</w:t>
        </w:r>
        <w:r>
          <w:rPr>
            <w:noProof/>
            <w:webHidden/>
          </w:rPr>
          <w:fldChar w:fldCharType="end"/>
        </w:r>
      </w:hyperlink>
    </w:p>
    <w:p w:rsidR="00000000" w:rsidRDefault="00F90957">
      <w:pPr>
        <w:pStyle w:val="TOC3"/>
        <w:tabs>
          <w:tab w:val="right" w:leader="dot" w:pos="9060"/>
        </w:tabs>
        <w:rPr>
          <w:iCs w:val="0"/>
          <w:noProof/>
          <w:lang w:val="en-US"/>
        </w:rPr>
      </w:pPr>
      <w:hyperlink w:anchor="_Toc38162688" w:history="1">
        <w:r>
          <w:rPr>
            <w:rStyle w:val="Hyperlink"/>
            <w:noProof/>
          </w:rPr>
          <w:t>6.1.3 Spread return</w:t>
        </w:r>
        <w:r>
          <w:rPr>
            <w:noProof/>
            <w:webHidden/>
          </w:rPr>
          <w:tab/>
        </w:r>
        <w:r>
          <w:rPr>
            <w:noProof/>
            <w:webHidden/>
          </w:rPr>
          <w:fldChar w:fldCharType="begin"/>
        </w:r>
        <w:r>
          <w:rPr>
            <w:noProof/>
            <w:webHidden/>
          </w:rPr>
          <w:instrText xml:space="preserve"> PAGEREF _Toc38162688 \h </w:instrText>
        </w:r>
        <w:r>
          <w:rPr>
            <w:noProof/>
          </w:rPr>
        </w:r>
        <w:r>
          <w:rPr>
            <w:noProof/>
            <w:webHidden/>
          </w:rPr>
          <w:fldChar w:fldCharType="separate"/>
        </w:r>
        <w:r>
          <w:rPr>
            <w:noProof/>
            <w:webHidden/>
          </w:rPr>
          <w:t>26</w:t>
        </w:r>
        <w:r>
          <w:rPr>
            <w:noProof/>
            <w:webHidden/>
          </w:rPr>
          <w:fldChar w:fldCharType="end"/>
        </w:r>
      </w:hyperlink>
    </w:p>
    <w:p w:rsidR="00000000" w:rsidRDefault="00F90957">
      <w:pPr>
        <w:pStyle w:val="TOC2"/>
        <w:tabs>
          <w:tab w:val="right" w:leader="dot" w:pos="9060"/>
        </w:tabs>
        <w:rPr>
          <w:smallCaps w:val="0"/>
          <w:noProof/>
          <w:lang w:val="en-US"/>
        </w:rPr>
      </w:pPr>
      <w:hyperlink w:anchor="_Toc38162689" w:history="1">
        <w:r>
          <w:rPr>
            <w:rStyle w:val="Hyperlink"/>
            <w:noProof/>
          </w:rPr>
          <w:t>6.2 Coupon return</w:t>
        </w:r>
        <w:r>
          <w:rPr>
            <w:noProof/>
            <w:webHidden/>
          </w:rPr>
          <w:tab/>
        </w:r>
        <w:r>
          <w:rPr>
            <w:noProof/>
            <w:webHidden/>
          </w:rPr>
          <w:fldChar w:fldCharType="begin"/>
        </w:r>
        <w:r>
          <w:rPr>
            <w:noProof/>
            <w:webHidden/>
          </w:rPr>
          <w:instrText xml:space="preserve"> PAGEREF _Toc38162689 \h </w:instrText>
        </w:r>
        <w:r>
          <w:rPr>
            <w:noProof/>
          </w:rPr>
        </w:r>
        <w:r>
          <w:rPr>
            <w:noProof/>
            <w:webHidden/>
          </w:rPr>
          <w:fldChar w:fldCharType="separate"/>
        </w:r>
        <w:r>
          <w:rPr>
            <w:noProof/>
            <w:webHidden/>
          </w:rPr>
          <w:t>26</w:t>
        </w:r>
        <w:r>
          <w:rPr>
            <w:noProof/>
            <w:webHidden/>
          </w:rPr>
          <w:fldChar w:fldCharType="end"/>
        </w:r>
      </w:hyperlink>
    </w:p>
    <w:p w:rsidR="00000000" w:rsidRDefault="00F90957">
      <w:pPr>
        <w:pStyle w:val="TOC2"/>
        <w:tabs>
          <w:tab w:val="right" w:leader="dot" w:pos="9060"/>
        </w:tabs>
        <w:rPr>
          <w:smallCaps w:val="0"/>
          <w:noProof/>
          <w:lang w:val="en-US"/>
        </w:rPr>
      </w:pPr>
      <w:hyperlink w:anchor="_Toc38162690" w:history="1">
        <w:r>
          <w:rPr>
            <w:rStyle w:val="Hyperlink"/>
            <w:noProof/>
          </w:rPr>
          <w:t>6.3 The implemented model</w:t>
        </w:r>
        <w:r>
          <w:rPr>
            <w:noProof/>
            <w:webHidden/>
          </w:rPr>
          <w:tab/>
        </w:r>
        <w:r>
          <w:rPr>
            <w:noProof/>
            <w:webHidden/>
          </w:rPr>
          <w:fldChar w:fldCharType="begin"/>
        </w:r>
        <w:r>
          <w:rPr>
            <w:noProof/>
            <w:webHidden/>
          </w:rPr>
          <w:instrText xml:space="preserve"> PAGEREF _Toc38162690 \h </w:instrText>
        </w:r>
        <w:r>
          <w:rPr>
            <w:noProof/>
          </w:rPr>
        </w:r>
        <w:r>
          <w:rPr>
            <w:noProof/>
            <w:webHidden/>
          </w:rPr>
          <w:fldChar w:fldCharType="separate"/>
        </w:r>
        <w:r>
          <w:rPr>
            <w:noProof/>
            <w:webHidden/>
          </w:rPr>
          <w:t>27</w:t>
        </w:r>
        <w:r>
          <w:rPr>
            <w:noProof/>
            <w:webHidden/>
          </w:rPr>
          <w:fldChar w:fldCharType="end"/>
        </w:r>
      </w:hyperlink>
    </w:p>
    <w:p w:rsidR="00000000" w:rsidRDefault="00F90957">
      <w:pPr>
        <w:pStyle w:val="TOC3"/>
        <w:tabs>
          <w:tab w:val="right" w:leader="dot" w:pos="9060"/>
        </w:tabs>
        <w:rPr>
          <w:iCs w:val="0"/>
          <w:noProof/>
          <w:lang w:val="en-US"/>
        </w:rPr>
      </w:pPr>
      <w:hyperlink w:anchor="_Toc38162691" w:history="1">
        <w:r>
          <w:rPr>
            <w:rStyle w:val="Hyperlink"/>
            <w:noProof/>
          </w:rPr>
          <w:t>6.3.1 Deriving the implied zero curve</w:t>
        </w:r>
        <w:r>
          <w:rPr>
            <w:noProof/>
            <w:webHidden/>
          </w:rPr>
          <w:tab/>
        </w:r>
        <w:r>
          <w:rPr>
            <w:noProof/>
            <w:webHidden/>
          </w:rPr>
          <w:fldChar w:fldCharType="begin"/>
        </w:r>
        <w:r>
          <w:rPr>
            <w:noProof/>
            <w:webHidden/>
          </w:rPr>
          <w:instrText xml:space="preserve"> PAGEREF _Toc38162691 \h </w:instrText>
        </w:r>
        <w:r>
          <w:rPr>
            <w:noProof/>
          </w:rPr>
        </w:r>
        <w:r>
          <w:rPr>
            <w:noProof/>
            <w:webHidden/>
          </w:rPr>
          <w:fldChar w:fldCharType="separate"/>
        </w:r>
        <w:r>
          <w:rPr>
            <w:noProof/>
            <w:webHidden/>
          </w:rPr>
          <w:t>27</w:t>
        </w:r>
        <w:r>
          <w:rPr>
            <w:noProof/>
            <w:webHidden/>
          </w:rPr>
          <w:fldChar w:fldCharType="end"/>
        </w:r>
      </w:hyperlink>
    </w:p>
    <w:p w:rsidR="00000000" w:rsidRDefault="00F90957">
      <w:pPr>
        <w:pStyle w:val="TOC3"/>
        <w:tabs>
          <w:tab w:val="right" w:leader="dot" w:pos="9060"/>
        </w:tabs>
        <w:rPr>
          <w:iCs w:val="0"/>
          <w:noProof/>
          <w:lang w:val="en-US"/>
        </w:rPr>
      </w:pPr>
      <w:hyperlink w:anchor="_Toc38162692" w:history="1">
        <w:r>
          <w:rPr>
            <w:rStyle w:val="Hyperlink"/>
            <w:noProof/>
          </w:rPr>
          <w:t>6.3.2 Defining the curve change components</w:t>
        </w:r>
        <w:r>
          <w:rPr>
            <w:noProof/>
            <w:webHidden/>
          </w:rPr>
          <w:tab/>
        </w:r>
        <w:r>
          <w:rPr>
            <w:noProof/>
            <w:webHidden/>
          </w:rPr>
          <w:fldChar w:fldCharType="begin"/>
        </w:r>
        <w:r>
          <w:rPr>
            <w:noProof/>
            <w:webHidden/>
          </w:rPr>
          <w:instrText xml:space="preserve"> PAGEREF _Toc38162692 \h </w:instrText>
        </w:r>
        <w:r>
          <w:rPr>
            <w:noProof/>
          </w:rPr>
        </w:r>
        <w:r>
          <w:rPr>
            <w:noProof/>
            <w:webHidden/>
          </w:rPr>
          <w:fldChar w:fldCharType="separate"/>
        </w:r>
        <w:r>
          <w:rPr>
            <w:noProof/>
            <w:webHidden/>
          </w:rPr>
          <w:t>27</w:t>
        </w:r>
        <w:r>
          <w:rPr>
            <w:noProof/>
            <w:webHidden/>
          </w:rPr>
          <w:fldChar w:fldCharType="end"/>
        </w:r>
      </w:hyperlink>
    </w:p>
    <w:p w:rsidR="00000000" w:rsidRDefault="00F90957">
      <w:pPr>
        <w:pStyle w:val="TOC2"/>
        <w:tabs>
          <w:tab w:val="right" w:leader="dot" w:pos="9060"/>
        </w:tabs>
        <w:rPr>
          <w:smallCaps w:val="0"/>
          <w:noProof/>
          <w:lang w:val="en-US"/>
        </w:rPr>
      </w:pPr>
      <w:hyperlink w:anchor="_Toc38162693" w:history="1">
        <w:r>
          <w:rPr>
            <w:rStyle w:val="Hyperlink"/>
            <w:noProof/>
          </w:rPr>
          <w:t>6.4 Results</w:t>
        </w:r>
        <w:r>
          <w:rPr>
            <w:noProof/>
            <w:webHidden/>
          </w:rPr>
          <w:tab/>
        </w:r>
        <w:r>
          <w:rPr>
            <w:noProof/>
            <w:webHidden/>
          </w:rPr>
          <w:fldChar w:fldCharType="begin"/>
        </w:r>
        <w:r>
          <w:rPr>
            <w:noProof/>
            <w:webHidden/>
          </w:rPr>
          <w:instrText xml:space="preserve"> PAGEREF _Toc38162693 \h </w:instrText>
        </w:r>
        <w:r>
          <w:rPr>
            <w:noProof/>
          </w:rPr>
        </w:r>
        <w:r>
          <w:rPr>
            <w:noProof/>
            <w:webHidden/>
          </w:rPr>
          <w:fldChar w:fldCharType="separate"/>
        </w:r>
        <w:r>
          <w:rPr>
            <w:noProof/>
            <w:webHidden/>
          </w:rPr>
          <w:t>33</w:t>
        </w:r>
        <w:r>
          <w:rPr>
            <w:noProof/>
            <w:webHidden/>
          </w:rPr>
          <w:fldChar w:fldCharType="end"/>
        </w:r>
      </w:hyperlink>
    </w:p>
    <w:p w:rsidR="00000000" w:rsidRDefault="00F90957">
      <w:pPr>
        <w:pStyle w:val="TOC3"/>
        <w:tabs>
          <w:tab w:val="right" w:leader="dot" w:pos="9060"/>
        </w:tabs>
        <w:rPr>
          <w:iCs w:val="0"/>
          <w:noProof/>
          <w:lang w:val="en-US"/>
        </w:rPr>
      </w:pPr>
      <w:hyperlink w:anchor="_Toc38162694" w:history="1">
        <w:r>
          <w:rPr>
            <w:rStyle w:val="Hyperlink"/>
            <w:noProof/>
          </w:rPr>
          <w:t>6.4.2 Measure of ‘goodness-of-fit’ and corre</w:t>
        </w:r>
        <w:r>
          <w:rPr>
            <w:rStyle w:val="Hyperlink"/>
            <w:noProof/>
          </w:rPr>
          <w:t>lation</w:t>
        </w:r>
        <w:r>
          <w:rPr>
            <w:noProof/>
            <w:webHidden/>
          </w:rPr>
          <w:tab/>
        </w:r>
        <w:r>
          <w:rPr>
            <w:noProof/>
            <w:webHidden/>
          </w:rPr>
          <w:fldChar w:fldCharType="begin"/>
        </w:r>
        <w:r>
          <w:rPr>
            <w:noProof/>
            <w:webHidden/>
          </w:rPr>
          <w:instrText xml:space="preserve"> PAGEREF _Toc38162694 \h </w:instrText>
        </w:r>
        <w:r>
          <w:rPr>
            <w:noProof/>
          </w:rPr>
        </w:r>
        <w:r>
          <w:rPr>
            <w:noProof/>
            <w:webHidden/>
          </w:rPr>
          <w:fldChar w:fldCharType="separate"/>
        </w:r>
        <w:r>
          <w:rPr>
            <w:noProof/>
            <w:webHidden/>
          </w:rPr>
          <w:t>35</w:t>
        </w:r>
        <w:r>
          <w:rPr>
            <w:noProof/>
            <w:webHidden/>
          </w:rPr>
          <w:fldChar w:fldCharType="end"/>
        </w:r>
      </w:hyperlink>
    </w:p>
    <w:p w:rsidR="00000000" w:rsidRDefault="00F90957">
      <w:pPr>
        <w:pStyle w:val="TOC1"/>
        <w:tabs>
          <w:tab w:val="right" w:leader="dot" w:pos="9060"/>
        </w:tabs>
        <w:rPr>
          <w:b w:val="0"/>
          <w:bCs w:val="0"/>
          <w:caps w:val="0"/>
          <w:noProof/>
          <w:lang w:val="en-US"/>
        </w:rPr>
      </w:pPr>
      <w:hyperlink w:anchor="_Toc38162695" w:history="1">
        <w:r>
          <w:rPr>
            <w:rStyle w:val="Hyperlink"/>
            <w:noProof/>
          </w:rPr>
          <w:t>7 Summary</w:t>
        </w:r>
        <w:r>
          <w:rPr>
            <w:noProof/>
            <w:webHidden/>
          </w:rPr>
          <w:tab/>
        </w:r>
        <w:r>
          <w:rPr>
            <w:noProof/>
            <w:webHidden/>
          </w:rPr>
          <w:fldChar w:fldCharType="begin"/>
        </w:r>
        <w:r>
          <w:rPr>
            <w:noProof/>
            <w:webHidden/>
          </w:rPr>
          <w:instrText xml:space="preserve"> PAGEREF _Toc38162695 \h </w:instrText>
        </w:r>
        <w:r>
          <w:rPr>
            <w:noProof/>
          </w:rPr>
        </w:r>
        <w:r>
          <w:rPr>
            <w:noProof/>
            <w:webHidden/>
          </w:rPr>
          <w:fldChar w:fldCharType="separate"/>
        </w:r>
        <w:r>
          <w:rPr>
            <w:noProof/>
            <w:webHidden/>
          </w:rPr>
          <w:t>39</w:t>
        </w:r>
        <w:r>
          <w:rPr>
            <w:noProof/>
            <w:webHidden/>
          </w:rPr>
          <w:fldChar w:fldCharType="end"/>
        </w:r>
      </w:hyperlink>
    </w:p>
    <w:p w:rsidR="00000000" w:rsidRDefault="00F90957">
      <w:pPr>
        <w:pStyle w:val="TOC1"/>
        <w:tabs>
          <w:tab w:val="right" w:leader="dot" w:pos="9060"/>
        </w:tabs>
        <w:rPr>
          <w:b w:val="0"/>
          <w:bCs w:val="0"/>
          <w:caps w:val="0"/>
          <w:noProof/>
          <w:lang w:val="en-US"/>
        </w:rPr>
      </w:pPr>
      <w:hyperlink w:anchor="_Toc38162696" w:history="1">
        <w:r>
          <w:rPr>
            <w:rStyle w:val="Hyperlink"/>
            <w:noProof/>
          </w:rPr>
          <w:t>8 References</w:t>
        </w:r>
        <w:r>
          <w:rPr>
            <w:noProof/>
            <w:webHidden/>
          </w:rPr>
          <w:tab/>
        </w:r>
        <w:r>
          <w:rPr>
            <w:noProof/>
            <w:webHidden/>
          </w:rPr>
          <w:fldChar w:fldCharType="begin"/>
        </w:r>
        <w:r>
          <w:rPr>
            <w:noProof/>
            <w:webHidden/>
          </w:rPr>
          <w:instrText xml:space="preserve"> PAGEREF _Toc38162696 \h </w:instrText>
        </w:r>
        <w:r>
          <w:rPr>
            <w:noProof/>
          </w:rPr>
        </w:r>
        <w:r>
          <w:rPr>
            <w:noProof/>
            <w:webHidden/>
          </w:rPr>
          <w:fldChar w:fldCharType="separate"/>
        </w:r>
        <w:r>
          <w:rPr>
            <w:noProof/>
            <w:webHidden/>
          </w:rPr>
          <w:t>41</w:t>
        </w:r>
        <w:r>
          <w:rPr>
            <w:noProof/>
            <w:webHidden/>
          </w:rPr>
          <w:fldChar w:fldCharType="end"/>
        </w:r>
      </w:hyperlink>
    </w:p>
    <w:p w:rsidR="00000000" w:rsidRDefault="00F90957">
      <w:pPr>
        <w:pStyle w:val="TOC1"/>
        <w:tabs>
          <w:tab w:val="right" w:leader="dot" w:pos="9060"/>
        </w:tabs>
        <w:rPr>
          <w:b w:val="0"/>
          <w:bCs w:val="0"/>
          <w:caps w:val="0"/>
          <w:noProof/>
          <w:lang w:val="en-US"/>
        </w:rPr>
      </w:pPr>
      <w:hyperlink w:anchor="_Toc38162697" w:history="1">
        <w:r>
          <w:rPr>
            <w:rStyle w:val="Hyperlink"/>
            <w:noProof/>
          </w:rPr>
          <w:t>Appendix A</w:t>
        </w:r>
        <w:r>
          <w:rPr>
            <w:noProof/>
            <w:webHidden/>
          </w:rPr>
          <w:tab/>
        </w:r>
        <w:r>
          <w:rPr>
            <w:noProof/>
            <w:webHidden/>
          </w:rPr>
          <w:fldChar w:fldCharType="begin"/>
        </w:r>
        <w:r>
          <w:rPr>
            <w:noProof/>
            <w:webHidden/>
          </w:rPr>
          <w:instrText xml:space="preserve"> PAGEREF _Toc381626</w:instrText>
        </w:r>
        <w:r>
          <w:rPr>
            <w:noProof/>
            <w:webHidden/>
          </w:rPr>
          <w:instrText xml:space="preserve">97 \h </w:instrText>
        </w:r>
        <w:r>
          <w:rPr>
            <w:noProof/>
          </w:rPr>
        </w:r>
        <w:r>
          <w:rPr>
            <w:noProof/>
            <w:webHidden/>
          </w:rPr>
          <w:fldChar w:fldCharType="separate"/>
        </w:r>
        <w:r>
          <w:rPr>
            <w:noProof/>
            <w:webHidden/>
          </w:rPr>
          <w:t>42</w:t>
        </w:r>
        <w:r>
          <w:rPr>
            <w:noProof/>
            <w:webHidden/>
          </w:rPr>
          <w:fldChar w:fldCharType="end"/>
        </w:r>
      </w:hyperlink>
    </w:p>
    <w:p w:rsidR="00000000" w:rsidRDefault="00F90957">
      <w:r>
        <w:fldChar w:fldCharType="end"/>
      </w:r>
    </w:p>
    <w:p w:rsidR="00000000" w:rsidRDefault="00F90957"/>
    <w:p w:rsidR="00000000" w:rsidRDefault="00F90957"/>
    <w:p w:rsidR="00000000" w:rsidRDefault="00F90957">
      <w:pPr>
        <w:pStyle w:val="Heading1"/>
      </w:pPr>
      <w:bookmarkStart w:id="1" w:name="_Toc38162664"/>
      <w:r>
        <w:lastRenderedPageBreak/>
        <w:t>1  Introduction</w:t>
      </w:r>
      <w:bookmarkEnd w:id="1"/>
    </w:p>
    <w:p w:rsidR="00000000" w:rsidRDefault="00F90957">
      <w:r>
        <w:t xml:space="preserve">The performance of a portfolio is often measured relative to some comparison index, or benchmark. The portfolio management can be either passive or active, i.e. the portfolio manager tries to either replicate or exceed the </w:t>
      </w:r>
      <w:r>
        <w:t xml:space="preserve">return of the benchmark. If an active strategy is used, the risk exposure of the portfolio and the benchmark will be different. The purpose of attribution analysis is to determine how much the difference in exposure to certain risk factors has contributed </w:t>
      </w:r>
      <w:r>
        <w:t xml:space="preserve">to the difference in return. For fixed income portfolios, the exposure can differ with respect to, for example, a certain issuer, a certain maturity sector or the different types of typical yield curve movements. </w:t>
      </w:r>
    </w:p>
    <w:p w:rsidR="00000000" w:rsidRDefault="00F90957"/>
    <w:p w:rsidR="00000000" w:rsidRDefault="00F90957">
      <w:r>
        <w:t>In this study, a distinction is made betw</w:t>
      </w:r>
      <w:r>
        <w:t xml:space="preserve">een performance attribution analysis and return attribution analysis. Of the two, the former is more related to the different steps in the management process. A portfolio manager expresses his view on the market by overweighting and underweighting certain </w:t>
      </w:r>
      <w:r>
        <w:t>market sectors. Within each sector, the manager then picks individual securities, typically deviating from the benchmark’s composition within the sector. Performance attribution analysis tries to answer how much of the excess return can be attributed to ea</w:t>
      </w:r>
      <w:r>
        <w:t>ch of these activities, asset allocation and security selection. Return attribution analysis is concerned with the return of individual securities. The return is broken down with respect to such factors as accretion, coupon return and yield curve movement.</w:t>
      </w:r>
      <w:r>
        <w:t xml:space="preserve"> The return due to a specific factor can then be aggregated to market or market sector level for the portfolio and the benchmark.</w:t>
      </w:r>
    </w:p>
    <w:p w:rsidR="00000000" w:rsidRDefault="00F90957"/>
    <w:p w:rsidR="00000000" w:rsidRDefault="00F90957">
      <w:r>
        <w:t>This report tries to provide a somewhat comprehensive description of how to perform an attribution analysis. After an introdu</w:t>
      </w:r>
      <w:r>
        <w:t xml:space="preserve">ction to bonds in chapter two, the discussion on performance attribution in chapter three to five is essentially general and applies to any type of portfolio. In chapter six, the return attribution model that has been implemented for bonds is described in </w:t>
      </w:r>
      <w:r>
        <w:t>some detail.</w:t>
      </w:r>
    </w:p>
    <w:p w:rsidR="00000000" w:rsidRDefault="00F90957">
      <w:pPr>
        <w:pStyle w:val="Heading1"/>
      </w:pPr>
      <w:r>
        <w:lastRenderedPageBreak/>
        <w:br w:type="page"/>
      </w:r>
      <w:bookmarkStart w:id="2" w:name="_Toc38162665"/>
      <w:r>
        <w:lastRenderedPageBreak/>
        <w:t>2  Some Preliminaries</w:t>
      </w:r>
      <w:bookmarkEnd w:id="2"/>
      <w:r>
        <w:tab/>
      </w:r>
    </w:p>
    <w:p w:rsidR="00000000" w:rsidRDefault="00F90957">
      <w:r>
        <w:t>In this section we consider a bond with coupon payments {</w:t>
      </w:r>
      <w:r>
        <w:rPr>
          <w:i/>
          <w:iCs/>
        </w:rPr>
        <w:t>c</w:t>
      </w:r>
      <w:r>
        <w:rPr>
          <w:i/>
          <w:iCs/>
          <w:vertAlign w:val="subscript"/>
        </w:rPr>
        <w:t>i</w:t>
      </w:r>
      <w:r>
        <w:t>} at times {</w:t>
      </w:r>
      <w:r>
        <w:rPr>
          <w:i/>
          <w:iCs/>
        </w:rPr>
        <w:t>t</w:t>
      </w:r>
      <w:r>
        <w:rPr>
          <w:i/>
          <w:iCs/>
          <w:vertAlign w:val="subscript"/>
        </w:rPr>
        <w:t>i</w:t>
      </w:r>
      <w:r>
        <w:t xml:space="preserve">} and a principal payment </w:t>
      </w:r>
      <w:r>
        <w:rPr>
          <w:i/>
          <w:iCs/>
        </w:rPr>
        <w:t>M</w:t>
      </w:r>
      <w:r>
        <w:t xml:space="preserve"> at time of maturity </w:t>
      </w:r>
      <w:r>
        <w:rPr>
          <w:i/>
          <w:iCs/>
        </w:rPr>
        <w:t>T</w:t>
      </w:r>
      <w:r>
        <w:t>.</w:t>
      </w:r>
    </w:p>
    <w:p w:rsidR="00000000" w:rsidRDefault="00F90957">
      <w:pPr>
        <w:pStyle w:val="Heading2"/>
        <w:rPr>
          <w:bCs w:val="0"/>
        </w:rPr>
      </w:pPr>
      <w:bookmarkStart w:id="3" w:name="_Toc38162666"/>
      <w:r>
        <w:t>2.1 Zero-coupon bonds</w:t>
      </w:r>
      <w:bookmarkEnd w:id="3"/>
    </w:p>
    <w:p w:rsidR="00000000" w:rsidRDefault="00F90957">
      <w:pPr>
        <w:pStyle w:val="BodyText"/>
        <w:rPr>
          <w:sz w:val="24"/>
        </w:rPr>
      </w:pPr>
      <w:r>
        <w:rPr>
          <w:sz w:val="24"/>
        </w:rPr>
        <w:t xml:space="preserve">For zero-coupon bonds the only payment that is made by the issuer is the </w:t>
      </w:r>
      <w:r>
        <w:rPr>
          <w:sz w:val="24"/>
        </w:rPr>
        <w:t xml:space="preserve">principal. The rate of interest, the yield, earned by the investor on a zero-coupon bond is called the spot rate. If </w:t>
      </w:r>
      <w:r>
        <w:rPr>
          <w:i/>
          <w:iCs/>
          <w:sz w:val="24"/>
        </w:rPr>
        <w:t>Y</w:t>
      </w:r>
      <w:r>
        <w:rPr>
          <w:sz w:val="24"/>
        </w:rPr>
        <w:t>(</w:t>
      </w:r>
      <w:r>
        <w:rPr>
          <w:i/>
          <w:iCs/>
          <w:sz w:val="24"/>
        </w:rPr>
        <w:t>t</w:t>
      </w:r>
      <w:r>
        <w:rPr>
          <w:sz w:val="24"/>
        </w:rPr>
        <w:t>,</w:t>
      </w:r>
      <w:r>
        <w:rPr>
          <w:i/>
          <w:iCs/>
          <w:sz w:val="24"/>
        </w:rPr>
        <w:t>T</w:t>
      </w:r>
      <w:r>
        <w:rPr>
          <w:sz w:val="24"/>
        </w:rPr>
        <w:t xml:space="preserve">) is the yield of the bond at time </w:t>
      </w:r>
      <w:r>
        <w:rPr>
          <w:i/>
          <w:iCs/>
          <w:sz w:val="24"/>
        </w:rPr>
        <w:t xml:space="preserve">t </w:t>
      </w:r>
      <w:r>
        <w:rPr>
          <w:sz w:val="24"/>
        </w:rPr>
        <w:t>expressed with continuous compounding</w:t>
      </w:r>
      <w:r>
        <w:rPr>
          <w:rStyle w:val="FootnoteReference"/>
          <w:sz w:val="24"/>
        </w:rPr>
        <w:footnoteReference w:id="1"/>
      </w:r>
      <w:r>
        <w:rPr>
          <w:sz w:val="24"/>
        </w:rPr>
        <w:t xml:space="preserve"> and </w:t>
      </w:r>
      <w:r>
        <w:rPr>
          <w:i/>
          <w:iCs/>
          <w:sz w:val="24"/>
        </w:rPr>
        <w:t>P</w:t>
      </w:r>
      <w:r>
        <w:rPr>
          <w:sz w:val="24"/>
        </w:rPr>
        <w:t>(</w:t>
      </w:r>
      <w:r>
        <w:rPr>
          <w:i/>
          <w:iCs/>
          <w:sz w:val="24"/>
        </w:rPr>
        <w:t>t</w:t>
      </w:r>
      <w:r>
        <w:rPr>
          <w:sz w:val="24"/>
        </w:rPr>
        <w:t>,</w:t>
      </w:r>
      <w:r>
        <w:rPr>
          <w:i/>
          <w:iCs/>
          <w:sz w:val="24"/>
        </w:rPr>
        <w:t>T</w:t>
      </w:r>
      <w:r>
        <w:rPr>
          <w:sz w:val="24"/>
        </w:rPr>
        <w:t>) is the price of the bond, we have:</w:t>
      </w:r>
      <w:r>
        <w:rPr>
          <w:sz w:val="24"/>
        </w:rPr>
        <w:br/>
      </w:r>
    </w:p>
    <w:p w:rsidR="00000000" w:rsidRDefault="00F90957">
      <w:pPr>
        <w:pStyle w:val="BodyText"/>
        <w:ind w:left="8252" w:hanging="8252"/>
        <w:rPr>
          <w:sz w:val="24"/>
        </w:rPr>
      </w:pPr>
      <w:r>
        <w:rPr>
          <w:position w:val="-10"/>
          <w:sz w:val="24"/>
        </w:rPr>
        <w:object w:dxaOrig="21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75pt;height:18pt" o:ole="" fillcolor="window">
            <v:imagedata r:id="rId7" o:title=""/>
          </v:shape>
          <o:OLEObject Type="Embed" ProgID="Equation.3" ShapeID="_x0000_i1025" DrawAspect="Content" ObjectID="_1597673871" r:id="rId8"/>
        </w:object>
      </w:r>
      <w:r>
        <w:rPr>
          <w:sz w:val="24"/>
        </w:rPr>
        <w:t>.</w:t>
      </w:r>
      <w:r>
        <w:rPr>
          <w:sz w:val="24"/>
        </w:rPr>
        <w:tab/>
        <w:t>(2.1</w:t>
      </w:r>
      <w:r>
        <w:rPr>
          <w:sz w:val="24"/>
        </w:rPr>
        <w:tab/>
        <w:t xml:space="preserve">) </w:t>
      </w:r>
    </w:p>
    <w:p w:rsidR="00000000" w:rsidRDefault="00F90957">
      <w:pPr>
        <w:pStyle w:val="Heading2"/>
        <w:rPr>
          <w:bCs w:val="0"/>
        </w:rPr>
      </w:pPr>
      <w:bookmarkStart w:id="4" w:name="_Toc38162667"/>
      <w:r>
        <w:t>2.2 Coupon bonds</w:t>
      </w:r>
      <w:bookmarkEnd w:id="4"/>
    </w:p>
    <w:p w:rsidR="00000000" w:rsidRDefault="00F90957">
      <w:r>
        <w:t xml:space="preserve">The theoretical price of a coupon bond is the present value of the future cash flows, i.e. coupons and principal. The cash flows are discounted using the corresponding spot rate curve, i.e. for a Treasury bond we use </w:t>
      </w:r>
      <w:r>
        <w:t>the spot rate curve for zero-coupon Treasuries. The theoretical price of our bond is thus expressed as:</w:t>
      </w:r>
      <w:r>
        <w:br/>
      </w:r>
    </w:p>
    <w:p w:rsidR="00000000" w:rsidRDefault="00F90957">
      <w:pPr>
        <w:ind w:left="8252" w:hanging="8252"/>
      </w:pPr>
      <w:r>
        <w:rPr>
          <w:position w:val="-28"/>
        </w:rPr>
        <w:object w:dxaOrig="3580" w:dyaOrig="540">
          <v:shape id="_x0000_i1026" type="#_x0000_t75" style="width:179.25pt;height:27pt" o:ole="" fillcolor="window">
            <v:imagedata r:id="rId9" o:title=""/>
          </v:shape>
          <o:OLEObject Type="Embed" ProgID="Equation.3" ShapeID="_x0000_i1026" DrawAspect="Content" ObjectID="_1597673872" r:id="rId10"/>
        </w:object>
      </w:r>
      <w:r>
        <w:t>.</w:t>
      </w:r>
      <w:r>
        <w:tab/>
        <w:t>(2.2)</w:t>
      </w:r>
    </w:p>
    <w:p w:rsidR="00000000" w:rsidRDefault="00F90957"/>
    <w:p w:rsidR="00000000" w:rsidRDefault="00F90957">
      <w:r>
        <w:t xml:space="preserve">Normally the coupon payments are received annually or semi-annually.  </w:t>
      </w:r>
    </w:p>
    <w:p w:rsidR="00000000" w:rsidRDefault="00F90957">
      <w:r>
        <w:rPr>
          <w:b/>
        </w:rPr>
        <w:t xml:space="preserve">  </w:t>
      </w:r>
      <w:r>
        <w:t>Bond prices are usually quoted as a percentage</w:t>
      </w:r>
      <w:r>
        <w:t xml:space="preserve"> of the principal amount. The quoted price is the gross price of the bond minus accrued interest and is referred to as the </w:t>
      </w:r>
      <w:r>
        <w:rPr>
          <w:i/>
        </w:rPr>
        <w:t>clean price</w:t>
      </w:r>
      <w:r>
        <w:t xml:space="preserve">. </w:t>
      </w:r>
    </w:p>
    <w:p w:rsidR="00000000" w:rsidRDefault="00F90957"/>
    <w:p w:rsidR="00000000" w:rsidRDefault="00F90957">
      <w:pPr>
        <w:tabs>
          <w:tab w:val="num" w:pos="720"/>
        </w:tabs>
        <w:ind w:left="360"/>
        <w:rPr>
          <w:i/>
        </w:rPr>
      </w:pPr>
      <w:r>
        <w:rPr>
          <w:position w:val="-10"/>
        </w:rPr>
        <w:object w:dxaOrig="180" w:dyaOrig="340">
          <v:shape id="_x0000_i1027" type="#_x0000_t75" style="width:9pt;height:17.25pt" o:ole="" fillcolor="window">
            <v:imagedata r:id="rId11" o:title=""/>
          </v:shape>
          <o:OLEObject Type="Embed" ProgID="Equation.3" ShapeID="_x0000_i1027" DrawAspect="Content" ObjectID="_1597673873" r:id="rId12"/>
        </w:object>
      </w:r>
      <w:r>
        <w:tab/>
      </w:r>
      <w:r>
        <w:rPr>
          <w:i/>
        </w:rPr>
        <w:t>gross price = clean price + accrued interest</w:t>
      </w:r>
    </w:p>
    <w:p w:rsidR="00000000" w:rsidRDefault="00F90957">
      <w:pPr>
        <w:tabs>
          <w:tab w:val="num" w:pos="720"/>
        </w:tabs>
      </w:pPr>
    </w:p>
    <w:p w:rsidR="00000000" w:rsidRDefault="00F90957">
      <w:pPr>
        <w:tabs>
          <w:tab w:val="num" w:pos="720"/>
        </w:tabs>
      </w:pPr>
      <w:r>
        <w:t>The accrued interest grows linearly from zero at</w:t>
      </w:r>
      <w:r>
        <w:t xml:space="preserve"> the time of the last coupon payment to the coupon value at the time of the next coupon payment.</w:t>
      </w:r>
    </w:p>
    <w:bookmarkStart w:id="5" w:name="_MON_1035029025"/>
    <w:bookmarkStart w:id="6" w:name="_MON_1035029129"/>
    <w:bookmarkStart w:id="7" w:name="_MON_1035031435"/>
    <w:bookmarkEnd w:id="5"/>
    <w:bookmarkEnd w:id="6"/>
    <w:bookmarkEnd w:id="7"/>
    <w:p w:rsidR="00000000" w:rsidRDefault="00F90957">
      <w:pPr>
        <w:tabs>
          <w:tab w:val="num" w:pos="720"/>
        </w:tabs>
      </w:pPr>
      <w:r>
        <w:object w:dxaOrig="8100" w:dyaOrig="3268">
          <v:shape id="_x0000_i1028" type="#_x0000_t75" style="width:404.25pt;height:163.5pt" o:ole="" fillcolor="window">
            <v:imagedata r:id="rId13" o:title=""/>
          </v:shape>
          <o:OLEObject Type="Embed" ProgID="Word.Picture.8" ShapeID="_x0000_i1028" DrawAspect="Content" ObjectID="_1597673874" r:id="rId14"/>
        </w:object>
      </w:r>
    </w:p>
    <w:p w:rsidR="00000000" w:rsidRDefault="00F90957">
      <w:pPr>
        <w:tabs>
          <w:tab w:val="num" w:pos="720"/>
        </w:tabs>
        <w:rPr>
          <w:sz w:val="22"/>
        </w:rPr>
      </w:pPr>
      <w:r>
        <w:rPr>
          <w:sz w:val="22"/>
        </w:rPr>
        <w:t>Figure 1.1: Accrued interest</w:t>
      </w:r>
    </w:p>
    <w:p w:rsidR="00000000" w:rsidRDefault="00F90957">
      <w:pPr>
        <w:tabs>
          <w:tab w:val="num" w:pos="720"/>
        </w:tabs>
      </w:pPr>
    </w:p>
    <w:p w:rsidR="00000000" w:rsidRDefault="00F90957">
      <w:pPr>
        <w:tabs>
          <w:tab w:val="num" w:pos="720"/>
        </w:tabs>
        <w:rPr>
          <w:b/>
        </w:rPr>
      </w:pPr>
      <w:r>
        <w:t>Different bond markets have different day count conventions for calculating the time between two even</w:t>
      </w:r>
      <w:r>
        <w:t xml:space="preserve">ts. The Swedish bond market uses the 30/360 day convention, assuming there are 30 days in a month and 360 days in a year. </w:t>
      </w:r>
      <w:r>
        <w:rPr>
          <w:i/>
        </w:rPr>
        <w:t>Ex-coupon days</w:t>
      </w:r>
      <w:r>
        <w:t xml:space="preserve"> are also used in the Swedish bond market. The number of ex-coupon days indicates how many days before the next coupon p</w:t>
      </w:r>
      <w:r>
        <w:t>ayment the bond has to be purchased for the purchaser to have right to that coupon. Thus, if the number of ex-coupon days is five, the gross price of the bond will drop five days before each coupon payment. Since the clean price still is supposed to includ</w:t>
      </w:r>
      <w:r>
        <w:t xml:space="preserve">e the part of the next coupon that is left (coupon value minus accrued interest in fig 1.1), the accrued interest will be the negative of that value on an ex-coupon day.   </w:t>
      </w:r>
    </w:p>
    <w:p w:rsidR="00000000" w:rsidRDefault="00F90957">
      <w:pPr>
        <w:rPr>
          <w:b/>
        </w:rPr>
      </w:pPr>
    </w:p>
    <w:p w:rsidR="00000000" w:rsidRDefault="00F90957">
      <w:r>
        <w:t>In a purchase, the day money and bonds are exchanged, the settlement date, does no</w:t>
      </w:r>
      <w:r>
        <w:t xml:space="preserve">t normally coincide with the trade date. Usually, the settlement date is two or three bank days after the trade date. </w:t>
      </w:r>
    </w:p>
    <w:p w:rsidR="00000000" w:rsidRDefault="00F90957">
      <w:pPr>
        <w:pStyle w:val="Heading2"/>
      </w:pPr>
      <w:bookmarkStart w:id="8" w:name="_Toc38162668"/>
      <w:r>
        <w:t>2.3 The implied zero curve</w:t>
      </w:r>
      <w:bookmarkEnd w:id="8"/>
    </w:p>
    <w:p w:rsidR="00000000" w:rsidRDefault="00F90957">
      <w:r>
        <w:t xml:space="preserve">Normally there are no zero-coupons with maturity greater than two years on the market so the spot rate curve </w:t>
      </w:r>
      <w:r>
        <w:rPr>
          <w:i/>
          <w:iCs/>
        </w:rPr>
        <w:t>Y</w:t>
      </w:r>
      <w:r>
        <w:t>(</w:t>
      </w:r>
      <w:r>
        <w:rPr>
          <w:i/>
          <w:iCs/>
        </w:rPr>
        <w:t>t,T</w:t>
      </w:r>
      <w:r>
        <w:t>) cannot be observed directly. Instead a curve that is implied by the coupon bond prices is calculated. An implied Treasury zero curve is a curve that, when used to discount the cash flows of Treasury bonds, gives the market prices of the bonds. In pra</w:t>
      </w:r>
      <w:r>
        <w:t xml:space="preserve">ctice, a set of potential zero curves </w:t>
      </w:r>
      <w:r>
        <w:rPr>
          <w:i/>
          <w:iCs/>
        </w:rPr>
        <w:t>Y</w:t>
      </w:r>
      <w:r>
        <w:t>={</w:t>
      </w:r>
      <w:r>
        <w:rPr>
          <w:i/>
          <w:iCs/>
        </w:rPr>
        <w:t>Y</w:t>
      </w:r>
      <w:r>
        <w:rPr>
          <w:i/>
          <w:iCs/>
          <w:vertAlign w:val="subscript"/>
        </w:rPr>
        <w:t>m</w:t>
      </w:r>
      <w:r>
        <w:t xml:space="preserve"> | </w:t>
      </w:r>
      <w:r>
        <w:rPr>
          <w:i/>
          <w:iCs/>
        </w:rPr>
        <w:t>m</w:t>
      </w:r>
      <w:r>
        <w:t xml:space="preserve"> </w:t>
      </w:r>
      <w:r>
        <w:sym w:font="Symbol" w:char="F0CE"/>
      </w:r>
      <w:r>
        <w:t xml:space="preserve"> i(</w:t>
      </w:r>
      <w:r>
        <w:rPr>
          <w:i/>
        </w:rPr>
        <w:t>m)</w:t>
      </w:r>
      <w:r>
        <w:t>} and some numerical method are used to minimize the sum</w:t>
      </w:r>
    </w:p>
    <w:p w:rsidR="00000000" w:rsidRDefault="00F90957">
      <w:pPr>
        <w:pStyle w:val="Picture"/>
      </w:pPr>
    </w:p>
    <w:p w:rsidR="00000000" w:rsidRDefault="00F90957">
      <w:pPr>
        <w:ind w:left="8252" w:hanging="8252"/>
      </w:pPr>
      <w:r>
        <w:rPr>
          <w:position w:val="-28"/>
        </w:rPr>
        <w:object w:dxaOrig="3100" w:dyaOrig="680">
          <v:shape id="_x0000_i1029" type="#_x0000_t75" style="width:155.25pt;height:33.75pt" o:ole="" fillcolor="window">
            <v:imagedata r:id="rId15" o:title=""/>
          </v:shape>
          <o:OLEObject Type="Embed" ProgID="Equation.3" ShapeID="_x0000_i1029" DrawAspect="Content" ObjectID="_1597673875" r:id="rId16"/>
        </w:object>
      </w:r>
      <w:r>
        <w:t>,</w:t>
      </w:r>
      <w:r>
        <w:tab/>
        <w:t>(2.3)</w:t>
      </w:r>
    </w:p>
    <w:p w:rsidR="00000000" w:rsidRDefault="00F90957"/>
    <w:p w:rsidR="00000000" w:rsidRDefault="00F90957">
      <w:r>
        <w:t xml:space="preserve">where </w:t>
      </w:r>
      <w:r>
        <w:rPr>
          <w:i/>
          <w:iCs/>
        </w:rPr>
        <w:t>P</w:t>
      </w:r>
      <w:r>
        <w:t>(</w:t>
      </w:r>
      <w:r>
        <w:rPr>
          <w:i/>
          <w:iCs/>
        </w:rPr>
        <w:t>i</w:t>
      </w:r>
      <w:r>
        <w:t xml:space="preserve">) is the observed market value of bond i, which may be a coupon or a zero-coupon bond, and </w:t>
      </w:r>
      <w:r>
        <w:rPr>
          <w:i/>
          <w:iCs/>
        </w:rPr>
        <w:t>P</w:t>
      </w:r>
      <w:r>
        <w:t>(</w:t>
      </w:r>
      <w:r>
        <w:rPr>
          <w:i/>
          <w:iCs/>
        </w:rPr>
        <w:t>i</w:t>
      </w:r>
      <w:r>
        <w:t>,</w:t>
      </w:r>
      <w:r>
        <w:rPr>
          <w:i/>
          <w:iCs/>
        </w:rPr>
        <w:t>m</w:t>
      </w:r>
      <w:r>
        <w:t>) is th</w:t>
      </w:r>
      <w:r>
        <w:t xml:space="preserve">e theoretical price of bond i implied by the curve </w:t>
      </w:r>
      <w:r>
        <w:rPr>
          <w:i/>
          <w:iCs/>
        </w:rPr>
        <w:t>Y</w:t>
      </w:r>
      <w:r>
        <w:rPr>
          <w:i/>
          <w:iCs/>
          <w:vertAlign w:val="subscript"/>
        </w:rPr>
        <w:t>m</w:t>
      </w:r>
      <w:r>
        <w:t xml:space="preserve">. A model is called residual-free if the error is zero or can be made arbitrarily close to zero. If, on the other hand, the number of parameters in the model is less than the number of bonds used in the </w:t>
      </w:r>
      <w:r>
        <w:t xml:space="preserve">derivation of the curve, there will in general be a pricing error. This error can give an indication of which bonds are mispriced. </w:t>
      </w:r>
    </w:p>
    <w:p w:rsidR="00000000" w:rsidRDefault="00F90957">
      <w:r>
        <w:t xml:space="preserve">  Zero curves can also be calculated for other sectors of the market, for example the mortgage bonds give an implied mortgag</w:t>
      </w:r>
      <w:r>
        <w:t xml:space="preserve">e zero curve.   </w:t>
      </w:r>
    </w:p>
    <w:p w:rsidR="00000000" w:rsidRDefault="00F90957">
      <w:pPr>
        <w:pStyle w:val="Heading2"/>
      </w:pPr>
      <w:bookmarkStart w:id="9" w:name="_Toc38162669"/>
      <w:r>
        <w:t>2.4 Yield</w:t>
      </w:r>
      <w:bookmarkEnd w:id="9"/>
    </w:p>
    <w:p w:rsidR="00000000" w:rsidRDefault="00F90957">
      <w:r>
        <w:t xml:space="preserve">The yield-to-maturity, or just yield, of a bond is the rate that, when used to discount the future cash flows, gives the market value of the bond. Thus, if </w:t>
      </w:r>
      <w:r>
        <w:rPr>
          <w:i/>
          <w:iCs/>
        </w:rPr>
        <w:t>y</w:t>
      </w:r>
      <w:r>
        <w:t xml:space="preserve"> is the yield of our bond with market value </w:t>
      </w:r>
      <w:r>
        <w:rPr>
          <w:i/>
          <w:iCs/>
        </w:rPr>
        <w:t>P</w:t>
      </w:r>
      <w:r>
        <w:t>(</w:t>
      </w:r>
      <w:r>
        <w:rPr>
          <w:i/>
          <w:iCs/>
        </w:rPr>
        <w:t>t</w:t>
      </w:r>
      <w:r>
        <w:t>), we have:</w:t>
      </w:r>
    </w:p>
    <w:p w:rsidR="00000000" w:rsidRDefault="00F90957"/>
    <w:p w:rsidR="00000000" w:rsidRDefault="00F90957">
      <w:pPr>
        <w:ind w:left="8252" w:hanging="8252"/>
      </w:pPr>
      <w:r>
        <w:rPr>
          <w:position w:val="-28"/>
        </w:rPr>
        <w:object w:dxaOrig="2960" w:dyaOrig="540">
          <v:shape id="_x0000_i1030" type="#_x0000_t75" style="width:147.75pt;height:27pt" o:ole="" fillcolor="window">
            <v:imagedata r:id="rId17" o:title=""/>
          </v:shape>
          <o:OLEObject Type="Embed" ProgID="Equation.3" ShapeID="_x0000_i1030" DrawAspect="Content" ObjectID="_1597673876" r:id="rId18"/>
        </w:object>
      </w:r>
      <w:r>
        <w:t>.</w:t>
      </w:r>
      <w:r>
        <w:tab/>
        <w:t>(2.4)</w:t>
      </w:r>
    </w:p>
    <w:p w:rsidR="00000000" w:rsidRDefault="00F90957"/>
    <w:p w:rsidR="00000000" w:rsidRDefault="00F90957">
      <w:r>
        <w:t xml:space="preserve">The yield-to-maturity is also called redemption yield. For zero-coupon bonds the yield-to-maturity is the same as the spot rate. </w:t>
      </w:r>
    </w:p>
    <w:p w:rsidR="00000000" w:rsidRDefault="00F90957">
      <w:pPr>
        <w:pStyle w:val="Heading2"/>
      </w:pPr>
      <w:bookmarkStart w:id="10" w:name="_Toc38162670"/>
      <w:r>
        <w:t>2.5 Spread</w:t>
      </w:r>
      <w:bookmarkEnd w:id="10"/>
    </w:p>
    <w:p w:rsidR="00000000" w:rsidRDefault="00F90957">
      <w:r>
        <w:t xml:space="preserve">Except for Treasuries, bonds have an associated default risk. Default risk, or credit risk, is </w:t>
      </w:r>
      <w:r>
        <w:t xml:space="preserve">the risk that the issuer will not fulfil its payment obligations. A higher default risk means that the investors will require a higher yield, all other things being equal. Thus, the implied mortgage zero curve will be above the implied Treasury zero curve </w:t>
      </w:r>
      <w:r>
        <w:t xml:space="preserve">as in figure 2.1. The difference </w:t>
      </w:r>
      <w:r>
        <w:rPr>
          <w:i/>
        </w:rPr>
        <w:t>Y</w:t>
      </w:r>
      <w:r>
        <w:rPr>
          <w:i/>
          <w:vertAlign w:val="superscript"/>
        </w:rPr>
        <w:t>M</w:t>
      </w:r>
      <w:r>
        <w:t>(</w:t>
      </w:r>
      <w:r>
        <w:rPr>
          <w:i/>
        </w:rPr>
        <w:t>t</w:t>
      </w:r>
      <w:r>
        <w:t>,</w:t>
      </w:r>
      <w:r>
        <w:rPr>
          <w:i/>
        </w:rPr>
        <w:t xml:space="preserve"> T</w:t>
      </w:r>
      <w:r>
        <w:t xml:space="preserve">) – </w:t>
      </w:r>
      <w:r>
        <w:rPr>
          <w:i/>
        </w:rPr>
        <w:t>Y</w:t>
      </w:r>
      <w:r>
        <w:rPr>
          <w:i/>
          <w:vertAlign w:val="superscript"/>
        </w:rPr>
        <w:t>T</w:t>
      </w:r>
      <w:r>
        <w:t>(</w:t>
      </w:r>
      <w:r>
        <w:rPr>
          <w:i/>
        </w:rPr>
        <w:t>t</w:t>
      </w:r>
      <w:r>
        <w:t>,</w:t>
      </w:r>
      <w:r>
        <w:rPr>
          <w:i/>
        </w:rPr>
        <w:t xml:space="preserve"> T</w:t>
      </w:r>
      <w:r>
        <w:t>) is called the spread and reflects the default risk of the mortgage bonds.</w:t>
      </w:r>
    </w:p>
    <w:p w:rsidR="00000000" w:rsidRDefault="00F90957"/>
    <w:p w:rsidR="00000000" w:rsidRDefault="00F90957">
      <w:r>
        <w:rPr>
          <w:noProof/>
          <w:lang w:val="en-US"/>
        </w:rPr>
        <w:drawing>
          <wp:inline distT="0" distB="0" distL="0" distR="0">
            <wp:extent cx="4019550" cy="3752850"/>
            <wp:effectExtent l="0" t="0" r="0" b="0"/>
            <wp:docPr id="7" name="Object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00000" w:rsidRDefault="00F90957">
      <w:pPr>
        <w:rPr>
          <w:sz w:val="22"/>
        </w:rPr>
      </w:pPr>
      <w:r>
        <w:t xml:space="preserve"> </w:t>
      </w:r>
      <w:r>
        <w:rPr>
          <w:sz w:val="22"/>
        </w:rPr>
        <w:t>Figure 2.1: The mortgage spread</w:t>
      </w:r>
    </w:p>
    <w:p w:rsidR="00000000" w:rsidRDefault="00F90957">
      <w:pPr>
        <w:pStyle w:val="Heading2"/>
        <w:rPr>
          <w:b/>
        </w:rPr>
      </w:pPr>
      <w:bookmarkStart w:id="11" w:name="_Toc38162671"/>
      <w:r>
        <w:t>2.6</w:t>
      </w:r>
      <w:r>
        <w:rPr>
          <w:b/>
        </w:rPr>
        <w:t xml:space="preserve"> </w:t>
      </w:r>
      <w:r>
        <w:t>Duration</w:t>
      </w:r>
      <w:bookmarkEnd w:id="11"/>
    </w:p>
    <w:p w:rsidR="00000000" w:rsidRDefault="00F90957">
      <w:r>
        <w:t>Duration is a measure of a bond’s price sensitivity t</w:t>
      </w:r>
      <w:r>
        <w:t>o a parallel shift in the spot rate curve. The price of our bond can be expressed as a function of its yield:</w:t>
      </w:r>
    </w:p>
    <w:p w:rsidR="00000000" w:rsidRDefault="00F90957"/>
    <w:p w:rsidR="00000000" w:rsidRDefault="00F90957">
      <w:pPr>
        <w:ind w:left="8252" w:hanging="8252"/>
        <w:rPr>
          <w:bCs/>
        </w:rPr>
      </w:pPr>
      <w:r>
        <w:rPr>
          <w:b/>
          <w:position w:val="-28"/>
        </w:rPr>
        <w:object w:dxaOrig="3019" w:dyaOrig="540">
          <v:shape id="_x0000_i1032" type="#_x0000_t75" style="width:150.75pt;height:27pt" o:ole="" fillcolor="window">
            <v:imagedata r:id="rId20" o:title=""/>
          </v:shape>
          <o:OLEObject Type="Embed" ProgID="Equation.3" ShapeID="_x0000_i1032" DrawAspect="Content" ObjectID="_1597673877" r:id="rId21"/>
        </w:object>
      </w:r>
      <w:r>
        <w:rPr>
          <w:bCs/>
        </w:rPr>
        <w:t>.</w:t>
      </w:r>
      <w:r>
        <w:rPr>
          <w:b/>
        </w:rPr>
        <w:tab/>
      </w:r>
      <w:r>
        <w:rPr>
          <w:bCs/>
        </w:rPr>
        <w:t>(2.5)</w:t>
      </w:r>
    </w:p>
    <w:p w:rsidR="00000000" w:rsidRDefault="00F90957"/>
    <w:p w:rsidR="00000000" w:rsidRDefault="00F90957">
      <w:r>
        <w:t>The Taylor expansion of P(y) is:</w:t>
      </w:r>
      <w:r>
        <w:br/>
      </w:r>
    </w:p>
    <w:p w:rsidR="00000000" w:rsidRDefault="00F90957">
      <w:pPr>
        <w:ind w:left="8252" w:hanging="8252"/>
      </w:pPr>
      <w:r>
        <w:rPr>
          <w:position w:val="-24"/>
        </w:rPr>
        <w:object w:dxaOrig="5100" w:dyaOrig="620">
          <v:shape id="_x0000_i1033" type="#_x0000_t75" style="width:255pt;height:30.75pt" o:ole="" fillcolor="window">
            <v:imagedata r:id="rId22" o:title=""/>
          </v:shape>
          <o:OLEObject Type="Embed" ProgID="Equation.3" ShapeID="_x0000_i1033" DrawAspect="Content" ObjectID="_1597673878" r:id="rId23"/>
        </w:object>
      </w:r>
      <w:r>
        <w:t>.</w:t>
      </w:r>
      <w:r>
        <w:tab/>
        <w:t>(2.6)</w:t>
      </w:r>
    </w:p>
    <w:p w:rsidR="00000000" w:rsidRDefault="00F90957">
      <w:r>
        <w:t>Thus, the return of the bond with respect to a s</w:t>
      </w:r>
      <w:r>
        <w:t xml:space="preserve">mall change </w:t>
      </w:r>
      <w:r>
        <w:sym w:font="Symbol" w:char="F044"/>
      </w:r>
      <w:r>
        <w:t>y is:</w:t>
      </w:r>
    </w:p>
    <w:p w:rsidR="00000000" w:rsidRDefault="00F90957"/>
    <w:p w:rsidR="00000000" w:rsidRDefault="00F90957">
      <w:pPr>
        <w:ind w:left="8250" w:hanging="8250"/>
      </w:pPr>
      <w:r>
        <w:rPr>
          <w:position w:val="-28"/>
        </w:rPr>
        <w:object w:dxaOrig="5200" w:dyaOrig="700">
          <v:shape id="_x0000_i1034" type="#_x0000_t75" style="width:260.25pt;height:35.25pt" o:ole="" fillcolor="window">
            <v:imagedata r:id="rId24" o:title=""/>
          </v:shape>
          <o:OLEObject Type="Embed" ProgID="Equation.3" ShapeID="_x0000_i1034" DrawAspect="Content" ObjectID="_1597673879" r:id="rId25"/>
        </w:object>
      </w:r>
      <w:r>
        <w:tab/>
        <w:t>(2.7)</w:t>
      </w:r>
    </w:p>
    <w:p w:rsidR="00000000" w:rsidRDefault="00F90957"/>
    <w:p w:rsidR="00000000" w:rsidRDefault="00F90957">
      <w:r>
        <w:t>-P</w:t>
      </w:r>
      <w:r>
        <w:sym w:font="Symbol" w:char="F0A2"/>
      </w:r>
      <w:r>
        <w:t>(y)/P(y) is called the duration of the bond and is the first order return sensitivity to a change in yield. For our bond we get the following expression for the duration:</w:t>
      </w:r>
      <w:r>
        <w:br/>
      </w:r>
    </w:p>
    <w:p w:rsidR="00000000" w:rsidRDefault="00F90957">
      <w:pPr>
        <w:ind w:left="8252" w:hanging="8252"/>
      </w:pPr>
      <w:r>
        <w:rPr>
          <w:position w:val="-28"/>
        </w:rPr>
        <w:object w:dxaOrig="4400" w:dyaOrig="880">
          <v:shape id="_x0000_i1035" type="#_x0000_t75" style="width:219.75pt;height:44.25pt" o:ole="" fillcolor="window">
            <v:imagedata r:id="rId26" o:title=""/>
          </v:shape>
          <o:OLEObject Type="Embed" ProgID="Equation.3" ShapeID="_x0000_i1035" DrawAspect="Content" ObjectID="_1597673880" r:id="rId27"/>
        </w:object>
      </w:r>
      <w:r>
        <w:t>.</w:t>
      </w:r>
      <w:r>
        <w:tab/>
        <w:t>(2.8)</w:t>
      </w:r>
    </w:p>
    <w:p w:rsidR="00000000" w:rsidRDefault="00F90957"/>
    <w:p w:rsidR="00000000" w:rsidRDefault="00F90957">
      <w:r>
        <w:t xml:space="preserve">The duration can be interpreted as the weighted average of the times payments are made, with the weights being the fraction of the bond’s value attributable to the corresponding cash flow. </w:t>
      </w:r>
    </w:p>
    <w:p w:rsidR="00000000" w:rsidRDefault="00F90957">
      <w:pPr>
        <w:pStyle w:val="Heading1"/>
      </w:pPr>
      <w:bookmarkStart w:id="12" w:name="_Toc38162672"/>
      <w:r>
        <w:t>3 Performance Attribution Analysis</w:t>
      </w:r>
      <w:bookmarkEnd w:id="12"/>
    </w:p>
    <w:p w:rsidR="00000000" w:rsidRDefault="00F90957">
      <w:pPr>
        <w:pStyle w:val="Heading2"/>
      </w:pPr>
      <w:bookmarkStart w:id="13" w:name="_Toc38162673"/>
      <w:r>
        <w:t>3.1 Model framework</w:t>
      </w:r>
      <w:bookmarkEnd w:id="13"/>
    </w:p>
    <w:p w:rsidR="00000000" w:rsidRDefault="00F90957">
      <w:r>
        <w:t>Performan</w:t>
      </w:r>
      <w:r>
        <w:t xml:space="preserve">ce attribution analysis breaks down the excess return with respect to asset allocation and security selection. A natural and popular method for doing this was suggested by Brinson, Hood and Beebower [1986]. The excess return is expressed as a sum of three </w:t>
      </w:r>
      <w:r>
        <w:t xml:space="preserve">terms, corresponding to asset allocation, security selection and an interaction effect. </w:t>
      </w:r>
    </w:p>
    <w:p w:rsidR="00000000" w:rsidRDefault="00F90957"/>
    <w:p w:rsidR="00000000" w:rsidRDefault="00F90957">
      <w:pPr>
        <w:ind w:left="8252" w:hanging="8252"/>
      </w:pPr>
      <w:r>
        <w:rPr>
          <w:position w:val="-28"/>
        </w:rPr>
        <w:object w:dxaOrig="8760" w:dyaOrig="540">
          <v:shape id="_x0000_i1036" type="#_x0000_t75" style="width:387pt;height:27pt" o:ole="" fillcolor="window">
            <v:imagedata r:id="rId28" o:title=""/>
          </v:shape>
          <o:OLEObject Type="Embed" ProgID="Equation.3" ShapeID="_x0000_i1036" DrawAspect="Content" ObjectID="_1597673881" r:id="rId29"/>
        </w:object>
      </w:r>
      <w:r>
        <w:t>,</w:t>
      </w:r>
      <w:r>
        <w:tab/>
        <w:t>(3.1)</w:t>
      </w:r>
    </w:p>
    <w:p w:rsidR="00000000" w:rsidRDefault="00F90957">
      <w:pPr>
        <w:rPr>
          <w:i/>
          <w:sz w:val="20"/>
        </w:rPr>
      </w:pPr>
      <w:r>
        <w:tab/>
      </w:r>
      <w:r>
        <w:tab/>
      </w:r>
      <w:r>
        <w:tab/>
        <w:t xml:space="preserve">          </w:t>
      </w:r>
      <w:r>
        <w:rPr>
          <w:i/>
          <w:sz w:val="20"/>
        </w:rPr>
        <w:t xml:space="preserve">asset allocation       security selection      interaction effect </w:t>
      </w:r>
    </w:p>
    <w:p w:rsidR="00000000" w:rsidRDefault="00F90957"/>
    <w:p w:rsidR="00000000" w:rsidRDefault="00F90957">
      <w:r>
        <w:t xml:space="preserve">where </w:t>
      </w:r>
    </w:p>
    <w:p w:rsidR="00000000" w:rsidRDefault="00F90957"/>
    <w:p w:rsidR="00000000" w:rsidRDefault="00F90957">
      <w:r>
        <w:rPr>
          <w:i/>
        </w:rPr>
        <w:t>w</w:t>
      </w:r>
      <w:r>
        <w:rPr>
          <w:i/>
          <w:vertAlign w:val="subscript"/>
        </w:rPr>
        <w:t>s</w:t>
      </w:r>
      <w:r>
        <w:rPr>
          <w:i/>
          <w:vertAlign w:val="superscript"/>
        </w:rPr>
        <w:t>P</w:t>
      </w:r>
      <w:r>
        <w:t xml:space="preserve"> = the portfolio weight in sector s</w:t>
      </w:r>
    </w:p>
    <w:p w:rsidR="00000000" w:rsidRDefault="00F90957">
      <w:r>
        <w:rPr>
          <w:i/>
        </w:rPr>
        <w:t>w</w:t>
      </w:r>
      <w:r>
        <w:rPr>
          <w:i/>
          <w:vertAlign w:val="subscript"/>
        </w:rPr>
        <w:t>s</w:t>
      </w:r>
      <w:r>
        <w:rPr>
          <w:i/>
          <w:vertAlign w:val="superscript"/>
        </w:rPr>
        <w:t>B</w:t>
      </w:r>
      <w:r>
        <w:t xml:space="preserve"> = t</w:t>
      </w:r>
      <w:r>
        <w:t>he benchmark weight in sector s</w:t>
      </w:r>
    </w:p>
    <w:p w:rsidR="00000000" w:rsidRDefault="00F90957">
      <w:r>
        <w:rPr>
          <w:i/>
        </w:rPr>
        <w:t>r</w:t>
      </w:r>
      <w:r>
        <w:rPr>
          <w:i/>
          <w:vertAlign w:val="subscript"/>
        </w:rPr>
        <w:t>s</w:t>
      </w:r>
      <w:r>
        <w:rPr>
          <w:i/>
          <w:vertAlign w:val="superscript"/>
        </w:rPr>
        <w:t>P</w:t>
      </w:r>
      <w:r>
        <w:t xml:space="preserve"> = the portfolio return in sector s</w:t>
      </w:r>
    </w:p>
    <w:p w:rsidR="00000000" w:rsidRDefault="00F90957">
      <w:r>
        <w:rPr>
          <w:i/>
        </w:rPr>
        <w:t>r</w:t>
      </w:r>
      <w:r>
        <w:rPr>
          <w:i/>
          <w:vertAlign w:val="subscript"/>
        </w:rPr>
        <w:t>s</w:t>
      </w:r>
      <w:r>
        <w:rPr>
          <w:i/>
          <w:vertAlign w:val="superscript"/>
        </w:rPr>
        <w:t>B</w:t>
      </w:r>
      <w:r>
        <w:rPr>
          <w:i/>
        </w:rPr>
        <w:t xml:space="preserve"> </w:t>
      </w:r>
      <w:r>
        <w:t>= the benchmark return in sector s.</w:t>
      </w:r>
    </w:p>
    <w:p w:rsidR="00000000" w:rsidRDefault="00F90957"/>
    <w:p w:rsidR="00000000" w:rsidRDefault="00F90957">
      <w:r>
        <w:t xml:space="preserve">This procedure can be used repeatedly to break down the difference </w:t>
      </w:r>
      <w:r>
        <w:rPr>
          <w:i/>
        </w:rPr>
        <w:t>r</w:t>
      </w:r>
      <w:r>
        <w:rPr>
          <w:i/>
          <w:vertAlign w:val="subscript"/>
        </w:rPr>
        <w:t>s</w:t>
      </w:r>
      <w:r>
        <w:rPr>
          <w:i/>
          <w:iCs/>
          <w:vertAlign w:val="superscript"/>
        </w:rPr>
        <w:t>P</w:t>
      </w:r>
      <w:r>
        <w:t>-</w:t>
      </w:r>
      <w:r>
        <w:rPr>
          <w:i/>
        </w:rPr>
        <w:t>r</w:t>
      </w:r>
      <w:r>
        <w:rPr>
          <w:i/>
          <w:vertAlign w:val="subscript"/>
        </w:rPr>
        <w:t>s</w:t>
      </w:r>
      <w:r>
        <w:rPr>
          <w:i/>
          <w:iCs/>
          <w:vertAlign w:val="superscript"/>
        </w:rPr>
        <w:t>B</w:t>
      </w:r>
      <w:r>
        <w:t xml:space="preserve"> within each sector. For example, if the sectors in the above sum are </w:t>
      </w:r>
      <w:r>
        <w:t>intervals on the duration axis, the excess return for each interval can be decomposed with respect to Treasuries, corporate bonds and mortgage bonds.</w:t>
      </w:r>
    </w:p>
    <w:p w:rsidR="00000000" w:rsidRDefault="00F90957">
      <w:r>
        <w:t xml:space="preserve">  Excess return due to asset allocation is achieved by either overweighting sectors that have a higher ret</w:t>
      </w:r>
      <w:r>
        <w:t>urn than the total benchmark return (</w:t>
      </w:r>
      <w:r>
        <w:rPr>
          <w:i/>
        </w:rPr>
        <w:t>w</w:t>
      </w:r>
      <w:r>
        <w:rPr>
          <w:i/>
          <w:vertAlign w:val="subscript"/>
        </w:rPr>
        <w:t>s</w:t>
      </w:r>
      <w:r>
        <w:rPr>
          <w:i/>
          <w:vertAlign w:val="superscript"/>
        </w:rPr>
        <w:t>P</w:t>
      </w:r>
      <w:r>
        <w:t xml:space="preserve"> </w:t>
      </w:r>
      <w:r>
        <w:sym w:font="Symbol" w:char="F03E"/>
      </w:r>
      <w:r>
        <w:t xml:space="preserve"> </w:t>
      </w:r>
      <w:r>
        <w:rPr>
          <w:i/>
        </w:rPr>
        <w:t>w</w:t>
      </w:r>
      <w:r>
        <w:rPr>
          <w:i/>
          <w:vertAlign w:val="subscript"/>
        </w:rPr>
        <w:t>s</w:t>
      </w:r>
      <w:r>
        <w:rPr>
          <w:i/>
          <w:vertAlign w:val="superscript"/>
        </w:rPr>
        <w:t>B</w:t>
      </w:r>
      <w:r>
        <w:t xml:space="preserve"> and </w:t>
      </w:r>
      <w:r>
        <w:rPr>
          <w:i/>
        </w:rPr>
        <w:t>r</w:t>
      </w:r>
      <w:r>
        <w:rPr>
          <w:i/>
          <w:vertAlign w:val="subscript"/>
        </w:rPr>
        <w:t>s</w:t>
      </w:r>
      <w:r>
        <w:rPr>
          <w:i/>
          <w:vertAlign w:val="superscript"/>
        </w:rPr>
        <w:t>B</w:t>
      </w:r>
      <w:r>
        <w:t xml:space="preserve"> </w:t>
      </w:r>
      <w:r>
        <w:sym w:font="Symbol" w:char="F03E"/>
      </w:r>
      <w:r>
        <w:t xml:space="preserve"> </w:t>
      </w:r>
      <w:r>
        <w:rPr>
          <w:i/>
        </w:rPr>
        <w:t>r</w:t>
      </w:r>
      <w:r>
        <w:rPr>
          <w:i/>
          <w:vertAlign w:val="superscript"/>
        </w:rPr>
        <w:t>B</w:t>
      </w:r>
      <w:r>
        <w:t>), or, conversely, underweighting underperforming sectors (</w:t>
      </w:r>
      <w:r>
        <w:rPr>
          <w:i/>
        </w:rPr>
        <w:t>w</w:t>
      </w:r>
      <w:r>
        <w:rPr>
          <w:i/>
          <w:vertAlign w:val="subscript"/>
        </w:rPr>
        <w:t>s</w:t>
      </w:r>
      <w:r>
        <w:rPr>
          <w:i/>
          <w:vertAlign w:val="superscript"/>
        </w:rPr>
        <w:t>P</w:t>
      </w:r>
      <w:r>
        <w:t xml:space="preserve"> </w:t>
      </w:r>
      <w:r>
        <w:sym w:font="Symbol" w:char="F03C"/>
      </w:r>
      <w:r>
        <w:t xml:space="preserve">  </w:t>
      </w:r>
      <w:r>
        <w:rPr>
          <w:i/>
        </w:rPr>
        <w:t>w</w:t>
      </w:r>
      <w:r>
        <w:rPr>
          <w:i/>
          <w:vertAlign w:val="subscript"/>
        </w:rPr>
        <w:t>s</w:t>
      </w:r>
      <w:r>
        <w:rPr>
          <w:i/>
          <w:vertAlign w:val="superscript"/>
        </w:rPr>
        <w:t>B</w:t>
      </w:r>
      <w:r>
        <w:t xml:space="preserve"> and </w:t>
      </w:r>
      <w:r>
        <w:rPr>
          <w:i/>
        </w:rPr>
        <w:t>r</w:t>
      </w:r>
      <w:r>
        <w:rPr>
          <w:i/>
          <w:vertAlign w:val="subscript"/>
        </w:rPr>
        <w:t>s</w:t>
      </w:r>
      <w:r>
        <w:rPr>
          <w:i/>
          <w:vertAlign w:val="superscript"/>
        </w:rPr>
        <w:t>B</w:t>
      </w:r>
      <w:r>
        <w:t xml:space="preserve"> </w:t>
      </w:r>
      <w:r>
        <w:sym w:font="Symbol" w:char="F03C"/>
      </w:r>
      <w:r>
        <w:t xml:space="preserve">  </w:t>
      </w:r>
      <w:r>
        <w:rPr>
          <w:i/>
        </w:rPr>
        <w:t>r</w:t>
      </w:r>
      <w:r>
        <w:rPr>
          <w:i/>
          <w:vertAlign w:val="superscript"/>
        </w:rPr>
        <w:t>B</w:t>
      </w:r>
      <w:r>
        <w:t xml:space="preserve">). If we define the active weighting excess return from an individual sector as </w:t>
      </w:r>
      <w:r>
        <w:rPr>
          <w:i/>
        </w:rPr>
        <w:t>e</w:t>
      </w:r>
      <w:r>
        <w:rPr>
          <w:i/>
          <w:vertAlign w:val="subscript"/>
        </w:rPr>
        <w:t>s</w:t>
      </w:r>
      <w:r>
        <w:t xml:space="preserve"> = (</w:t>
      </w:r>
      <w:r>
        <w:rPr>
          <w:i/>
        </w:rPr>
        <w:t>w</w:t>
      </w:r>
      <w:r>
        <w:rPr>
          <w:i/>
          <w:vertAlign w:val="subscript"/>
        </w:rPr>
        <w:t>s</w:t>
      </w:r>
      <w:r>
        <w:rPr>
          <w:i/>
          <w:vertAlign w:val="superscript"/>
        </w:rPr>
        <w:t>P</w:t>
      </w:r>
      <w:r>
        <w:t xml:space="preserve"> – </w:t>
      </w:r>
      <w:r>
        <w:rPr>
          <w:i/>
        </w:rPr>
        <w:t>w</w:t>
      </w:r>
      <w:r>
        <w:rPr>
          <w:i/>
          <w:vertAlign w:val="subscript"/>
        </w:rPr>
        <w:t>s</w:t>
      </w:r>
      <w:r>
        <w:rPr>
          <w:i/>
          <w:vertAlign w:val="superscript"/>
        </w:rPr>
        <w:t>B</w:t>
      </w:r>
      <w:r>
        <w:t>)</w:t>
      </w:r>
      <w:r>
        <w:sym w:font="Symbol" w:char="F0B4"/>
      </w:r>
      <w:r>
        <w:t xml:space="preserve">( </w:t>
      </w:r>
      <w:r>
        <w:rPr>
          <w:i/>
        </w:rPr>
        <w:t>r</w:t>
      </w:r>
      <w:r>
        <w:rPr>
          <w:i/>
          <w:vertAlign w:val="subscript"/>
        </w:rPr>
        <w:t>s</w:t>
      </w:r>
      <w:r>
        <w:rPr>
          <w:i/>
          <w:vertAlign w:val="superscript"/>
        </w:rPr>
        <w:t>B</w:t>
      </w:r>
      <w:r>
        <w:t xml:space="preserve"> - </w:t>
      </w:r>
      <w:r>
        <w:rPr>
          <w:i/>
        </w:rPr>
        <w:t>r</w:t>
      </w:r>
      <w:r>
        <w:rPr>
          <w:i/>
          <w:vertAlign w:val="superscript"/>
        </w:rPr>
        <w:t>B</w:t>
      </w:r>
      <w:r>
        <w:t>) the a</w:t>
      </w:r>
      <w:r>
        <w:t>sset allocation sum is preferably expressed as:</w:t>
      </w:r>
    </w:p>
    <w:p w:rsidR="00000000" w:rsidRDefault="00F90957"/>
    <w:p w:rsidR="00000000" w:rsidRDefault="00F90957">
      <w:pPr>
        <w:ind w:left="8252" w:hanging="8252"/>
      </w:pPr>
      <w:r>
        <w:rPr>
          <w:position w:val="-28"/>
        </w:rPr>
        <w:object w:dxaOrig="4060" w:dyaOrig="540">
          <v:shape id="_x0000_i1037" type="#_x0000_t75" style="width:203.25pt;height:27pt" o:ole="">
            <v:imagedata r:id="rId30" o:title=""/>
          </v:shape>
          <o:OLEObject Type="Embed" ProgID="Equation.3" ShapeID="_x0000_i1037" DrawAspect="Content" ObjectID="_1597673882" r:id="rId31"/>
        </w:object>
      </w:r>
      <w:r>
        <w:t>.</w:t>
      </w:r>
      <w:r>
        <w:tab/>
        <w:t>(3.2)</w:t>
      </w:r>
    </w:p>
    <w:p w:rsidR="00000000" w:rsidRDefault="00F90957">
      <w:pPr>
        <w:pStyle w:val="Heading3"/>
      </w:pPr>
      <w:bookmarkStart w:id="14" w:name="_Toc38162674"/>
      <w:r>
        <w:t>3.1.1 Example</w:t>
      </w:r>
      <w:r>
        <w:rPr>
          <w:rStyle w:val="FootnoteReference"/>
        </w:rPr>
        <w:footnoteReference w:customMarkFollows="1" w:id="2"/>
        <w:t>1</w:t>
      </w:r>
      <w:bookmarkEnd w:id="14"/>
    </w:p>
    <w:p w:rsidR="00000000" w:rsidRDefault="00F90957">
      <w:pPr>
        <w:pStyle w:val="BodyTextIndent3"/>
        <w:ind w:left="180"/>
      </w:pPr>
      <w:r>
        <w:t xml:space="preserve">Consider a fixed income portfolio, which is managed relative to a benchmark. The portfolio manager has a strategy where he first decides the distribution of the </w:t>
      </w:r>
      <w:r>
        <w:t xml:space="preserve">portfolio along the duration axis. He then chooses his sector allocation, i. e. the portfolio weights for government, corporate and mortgage bonds. Finally, individual bonds are picked according to the allocation decisions. </w:t>
      </w:r>
    </w:p>
    <w:p w:rsidR="00000000" w:rsidRDefault="00F90957">
      <w:pPr>
        <w:ind w:left="180"/>
      </w:pPr>
      <w:r>
        <w:t xml:space="preserve">  Instead of just using the act</w:t>
      </w:r>
      <w:r>
        <w:t>ive return, portfolio return minus benchmark return, to assess the skill of the portfolio manager, we want to do an attribution analysis to see how each allocation decision has contributed to the active return. To analyse the duration strategy the portfoli</w:t>
      </w:r>
      <w:r>
        <w:t>o is split into several sub-portfolios corresponding to different segments of the duration axis. If the manager has used a certain segmentation in his strategy, i. e. he has decided the portfolio weights for the sub-portfolios given by this segmentation, t</w:t>
      </w:r>
      <w:r>
        <w:t xml:space="preserve">he same segmentation should be used in the analysis. If, on the other hand, the decisions are qualitative rather than quantitative, for example if a barbell strategy is used but without assigning specific weights for different segments, we might choose to </w:t>
      </w:r>
      <w:r>
        <w:t>split the duration axis into the intervals [0,3], (3,5], (5,10] and (10,</w:t>
      </w:r>
      <w:r>
        <w:sym w:font="Symbol" w:char="F0A5"/>
      </w:r>
      <w:r>
        <w:t xml:space="preserve">). Let </w:t>
      </w:r>
    </w:p>
    <w:p w:rsidR="00000000" w:rsidRDefault="00F90957">
      <w:pPr>
        <w:ind w:left="180"/>
      </w:pPr>
    </w:p>
    <w:p w:rsidR="00000000" w:rsidRDefault="00F90957">
      <w:pPr>
        <w:ind w:left="180"/>
      </w:pPr>
      <w:r>
        <w:rPr>
          <w:position w:val="-12"/>
        </w:rPr>
        <w:object w:dxaOrig="360" w:dyaOrig="380">
          <v:shape id="_x0000_i1038" type="#_x0000_t75" style="width:18pt;height:18.75pt" o:ole="" fillcolor="window">
            <v:imagedata r:id="rId32" o:title=""/>
          </v:shape>
          <o:OLEObject Type="Embed" ProgID="Equation.3" ShapeID="_x0000_i1038" DrawAspect="Content" ObjectID="_1597673883" r:id="rId33"/>
        </w:object>
      </w:r>
      <w:r>
        <w:t xml:space="preserve">, </w:t>
      </w:r>
      <w:r>
        <w:rPr>
          <w:position w:val="-12"/>
        </w:rPr>
        <w:object w:dxaOrig="360" w:dyaOrig="380">
          <v:shape id="_x0000_i1039" type="#_x0000_t75" style="width:18pt;height:18.75pt" o:ole="" fillcolor="window">
            <v:imagedata r:id="rId34" o:title=""/>
          </v:shape>
          <o:OLEObject Type="Embed" ProgID="Equation.3" ShapeID="_x0000_i1039" DrawAspect="Content" ObjectID="_1597673884" r:id="rId35"/>
        </w:object>
      </w:r>
      <w:r>
        <w:t xml:space="preserve">, </w:t>
      </w:r>
      <w:r>
        <w:rPr>
          <w:position w:val="-12"/>
        </w:rPr>
        <w:object w:dxaOrig="300" w:dyaOrig="380">
          <v:shape id="_x0000_i1040" type="#_x0000_t75" style="width:15pt;height:18.75pt" o:ole="" fillcolor="window">
            <v:imagedata r:id="rId36" o:title=""/>
          </v:shape>
          <o:OLEObject Type="Embed" ProgID="Equation.3" ShapeID="_x0000_i1040" DrawAspect="Content" ObjectID="_1597673885" r:id="rId37"/>
        </w:object>
      </w:r>
      <w:r>
        <w:t xml:space="preserve"> and </w:t>
      </w:r>
      <w:r>
        <w:rPr>
          <w:position w:val="-12"/>
        </w:rPr>
        <w:object w:dxaOrig="300" w:dyaOrig="380">
          <v:shape id="_x0000_i1041" type="#_x0000_t75" style="width:15pt;height:18.75pt" o:ole="" fillcolor="window">
            <v:imagedata r:id="rId38" o:title=""/>
          </v:shape>
          <o:OLEObject Type="Embed" ProgID="Equation.3" ShapeID="_x0000_i1041" DrawAspect="Content" ObjectID="_1597673886" r:id="rId39"/>
        </w:object>
      </w:r>
      <w:r>
        <w:t xml:space="preserve">                              </w:t>
      </w:r>
      <w:r>
        <w:rPr>
          <w:i/>
        </w:rPr>
        <w:t>t</w:t>
      </w:r>
      <w:r>
        <w:t xml:space="preserve"> = 1, 2, 3, 4,</w:t>
      </w:r>
    </w:p>
    <w:p w:rsidR="00000000" w:rsidRDefault="00F90957">
      <w:pPr>
        <w:ind w:left="180"/>
      </w:pPr>
    </w:p>
    <w:p w:rsidR="00000000" w:rsidRDefault="00F90957">
      <w:pPr>
        <w:ind w:left="180"/>
        <w:rPr>
          <w:bCs/>
        </w:rPr>
      </w:pPr>
      <w:r>
        <w:rPr>
          <w:bCs/>
        </w:rPr>
        <w:t>be the weights and returns</w:t>
      </w:r>
      <w:r>
        <w:rPr>
          <w:bCs/>
        </w:rPr>
        <w:t xml:space="preserve"> of the portfolio and benchmark for the four segments and the measurement period. The excess return due to curve (duration) allocation is </w:t>
      </w:r>
    </w:p>
    <w:p w:rsidR="00000000" w:rsidRDefault="00F90957">
      <w:pPr>
        <w:ind w:left="180"/>
      </w:pPr>
    </w:p>
    <w:p w:rsidR="00000000" w:rsidRDefault="00F90957">
      <w:pPr>
        <w:ind w:left="8250" w:hanging="8070"/>
      </w:pPr>
      <w:r>
        <w:rPr>
          <w:position w:val="-28"/>
        </w:rPr>
        <w:object w:dxaOrig="2900" w:dyaOrig="680">
          <v:shape id="_x0000_i1042" type="#_x0000_t75" style="width:144.75pt;height:33.75pt" o:ole="" fillcolor="window">
            <v:imagedata r:id="rId40" o:title=""/>
          </v:shape>
          <o:OLEObject Type="Embed" ProgID="Equation.3" ShapeID="_x0000_i1042" DrawAspect="Content" ObjectID="_1597673887" r:id="rId41"/>
        </w:object>
      </w:r>
      <w:r>
        <w:t>,</w:t>
      </w:r>
      <w:r>
        <w:tab/>
        <w:t>(3.3)</w:t>
      </w:r>
    </w:p>
    <w:p w:rsidR="00000000" w:rsidRDefault="00F90957">
      <w:pPr>
        <w:ind w:left="180"/>
      </w:pPr>
    </w:p>
    <w:p w:rsidR="00000000" w:rsidRDefault="00F90957">
      <w:pPr>
        <w:ind w:left="180"/>
      </w:pPr>
      <w:r>
        <w:t xml:space="preserve">where </w:t>
      </w:r>
      <w:r>
        <w:rPr>
          <w:i/>
        </w:rPr>
        <w:t>r</w:t>
      </w:r>
      <w:r>
        <w:rPr>
          <w:i/>
          <w:vertAlign w:val="superscript"/>
        </w:rPr>
        <w:t>B</w:t>
      </w:r>
      <w:r>
        <w:t xml:space="preserve"> is the total benchmark return and each term is the excess return from the c</w:t>
      </w:r>
      <w:r>
        <w:t xml:space="preserve">orresponding segment. The rest of the excess return, </w:t>
      </w:r>
    </w:p>
    <w:p w:rsidR="00000000" w:rsidRDefault="00F90957">
      <w:pPr>
        <w:ind w:left="180"/>
      </w:pPr>
    </w:p>
    <w:p w:rsidR="00000000" w:rsidRDefault="00F90957">
      <w:pPr>
        <w:ind w:left="8252" w:hanging="8072"/>
      </w:pPr>
      <w:r>
        <w:rPr>
          <w:position w:val="-28"/>
        </w:rPr>
        <w:object w:dxaOrig="2620" w:dyaOrig="680">
          <v:shape id="_x0000_i1043" type="#_x0000_t75" style="width:131.25pt;height:33.75pt" o:ole="" fillcolor="window">
            <v:imagedata r:id="rId42" o:title=""/>
          </v:shape>
          <o:OLEObject Type="Embed" ProgID="Equation.3" ShapeID="_x0000_i1043" DrawAspect="Content" ObjectID="_1597673888" r:id="rId43"/>
        </w:object>
      </w:r>
      <w:r>
        <w:t>,</w:t>
      </w:r>
      <w:r>
        <w:tab/>
        <w:t>(3.4)</w:t>
      </w:r>
    </w:p>
    <w:p w:rsidR="00000000" w:rsidRDefault="00F90957">
      <w:pPr>
        <w:ind w:left="180"/>
      </w:pPr>
    </w:p>
    <w:p w:rsidR="00000000" w:rsidRDefault="00F90957">
      <w:pPr>
        <w:ind w:left="180"/>
      </w:pPr>
      <w:r>
        <w:t>is due to sector allocation and security selection</w:t>
      </w:r>
      <w:r>
        <w:rPr>
          <w:rStyle w:val="FootnoteReference"/>
        </w:rPr>
        <w:footnoteReference w:customMarkFollows="1" w:id="3"/>
        <w:t>2</w:t>
      </w:r>
      <w:r>
        <w:t xml:space="preserve">. The excess return for segment </w:t>
      </w:r>
      <w:r>
        <w:rPr>
          <w:i/>
        </w:rPr>
        <w:t>t</w:t>
      </w:r>
      <w:r>
        <w:t xml:space="preserve"> can be broken down in the same way as the total excess return: </w:t>
      </w:r>
    </w:p>
    <w:p w:rsidR="00000000" w:rsidRDefault="00F90957">
      <w:pPr>
        <w:ind w:left="180"/>
      </w:pPr>
    </w:p>
    <w:p w:rsidR="00000000" w:rsidRDefault="00F90957">
      <w:pPr>
        <w:ind w:left="8252" w:hanging="8072"/>
      </w:pPr>
      <w:r>
        <w:rPr>
          <w:position w:val="-28"/>
        </w:rPr>
        <w:object w:dxaOrig="5580" w:dyaOrig="680">
          <v:shape id="_x0000_i1044" type="#_x0000_t75" style="width:279pt;height:33.75pt" o:ole="" fillcolor="window">
            <v:imagedata r:id="rId44" o:title=""/>
          </v:shape>
          <o:OLEObject Type="Embed" ProgID="Equation.3" ShapeID="_x0000_i1044" DrawAspect="Content" ObjectID="_1597673889" r:id="rId45"/>
        </w:object>
      </w:r>
      <w:r>
        <w:t>,</w:t>
      </w:r>
      <w:r>
        <w:tab/>
        <w:t>(3.5)</w:t>
      </w:r>
    </w:p>
    <w:p w:rsidR="00000000" w:rsidRDefault="00F90957">
      <w:pPr>
        <w:ind w:left="180"/>
      </w:pPr>
    </w:p>
    <w:p w:rsidR="00000000" w:rsidRDefault="00F90957">
      <w:pPr>
        <w:ind w:left="180"/>
      </w:pPr>
      <w:r>
        <w:t xml:space="preserve">where </w:t>
      </w:r>
      <w:r>
        <w:rPr>
          <w:position w:val="-14"/>
        </w:rPr>
        <w:object w:dxaOrig="400" w:dyaOrig="400">
          <v:shape id="_x0000_i1045" type="#_x0000_t75" style="width:20.25pt;height:20.25pt" o:ole="" fillcolor="window">
            <v:imagedata r:id="rId46" o:title=""/>
          </v:shape>
          <o:OLEObject Type="Embed" ProgID="Equation.3" ShapeID="_x0000_i1045" DrawAspect="Content" ObjectID="_1597673890" r:id="rId47"/>
        </w:object>
      </w:r>
      <w:r>
        <w:t xml:space="preserve"> (</w:t>
      </w:r>
      <w:r>
        <w:rPr>
          <w:position w:val="-14"/>
        </w:rPr>
        <w:object w:dxaOrig="400" w:dyaOrig="400">
          <v:shape id="_x0000_i1046" type="#_x0000_t75" style="width:20.25pt;height:20.25pt" o:ole="" fillcolor="window">
            <v:imagedata r:id="rId48" o:title=""/>
          </v:shape>
          <o:OLEObject Type="Embed" ProgID="Equation.3" ShapeID="_x0000_i1046" DrawAspect="Content" ObjectID="_1597673891" r:id="rId49"/>
        </w:object>
      </w:r>
      <w:r>
        <w:t xml:space="preserve">) is the part of the portfolio’s (benchmark’s) allocation to duration cell </w:t>
      </w:r>
      <w:r>
        <w:rPr>
          <w:i/>
        </w:rPr>
        <w:t>t</w:t>
      </w:r>
      <w:r>
        <w:t xml:space="preserve"> which is in sector </w:t>
      </w:r>
      <w:r>
        <w:rPr>
          <w:i/>
        </w:rPr>
        <w:t>s</w:t>
      </w:r>
      <w:r>
        <w:t xml:space="preserve">, and </w:t>
      </w:r>
      <w:r>
        <w:rPr>
          <w:position w:val="-14"/>
        </w:rPr>
        <w:object w:dxaOrig="300" w:dyaOrig="400">
          <v:shape id="_x0000_i1047" type="#_x0000_t75" style="width:15pt;height:20.25pt" o:ole="" fillcolor="window">
            <v:imagedata r:id="rId50" o:title=""/>
          </v:shape>
          <o:OLEObject Type="Embed" ProgID="Equation.3" ShapeID="_x0000_i1047" DrawAspect="Content" ObjectID="_1597673892" r:id="rId51"/>
        </w:object>
      </w:r>
      <w:r>
        <w:t xml:space="preserve"> (</w:t>
      </w:r>
      <w:r>
        <w:rPr>
          <w:position w:val="-14"/>
        </w:rPr>
        <w:object w:dxaOrig="320" w:dyaOrig="400">
          <v:shape id="_x0000_i1048" type="#_x0000_t75" style="width:15.75pt;height:20.25pt" o:ole="" fillcolor="window">
            <v:imagedata r:id="rId52" o:title=""/>
          </v:shape>
          <o:OLEObject Type="Embed" ProgID="Equation.3" ShapeID="_x0000_i1048" DrawAspect="Content" ObjectID="_1597673893" r:id="rId53"/>
        </w:object>
      </w:r>
      <w:r>
        <w:t xml:space="preserve">) is the portfolio (benchmark) return </w:t>
      </w:r>
      <w:r>
        <w:t xml:space="preserve">of the securities in segment </w:t>
      </w:r>
      <w:r>
        <w:rPr>
          <w:i/>
        </w:rPr>
        <w:t>t</w:t>
      </w:r>
      <w:r>
        <w:t xml:space="preserve"> and sector </w:t>
      </w:r>
      <w:r>
        <w:rPr>
          <w:i/>
        </w:rPr>
        <w:t>s</w:t>
      </w:r>
      <w:r>
        <w:t xml:space="preserve">. Using (3.5) in (3.4) the sector allocation excess return is  </w:t>
      </w:r>
    </w:p>
    <w:p w:rsidR="00000000" w:rsidRDefault="00F90957">
      <w:pPr>
        <w:ind w:left="180"/>
      </w:pPr>
    </w:p>
    <w:p w:rsidR="00000000" w:rsidRDefault="00F90957">
      <w:pPr>
        <w:ind w:left="8252" w:hanging="8072"/>
      </w:pPr>
      <w:r>
        <w:rPr>
          <w:b/>
          <w:position w:val="-28"/>
        </w:rPr>
        <w:object w:dxaOrig="3560" w:dyaOrig="680">
          <v:shape id="_x0000_i1049" type="#_x0000_t75" style="width:177.75pt;height:33.75pt" o:ole="" fillcolor="window">
            <v:imagedata r:id="rId54" o:title=""/>
          </v:shape>
          <o:OLEObject Type="Embed" ProgID="Equation.3" ShapeID="_x0000_i1049" DrawAspect="Content" ObjectID="_1597673894" r:id="rId55"/>
        </w:object>
      </w:r>
      <w:r>
        <w:t>.</w:t>
      </w:r>
      <w:r>
        <w:tab/>
        <w:t>(3.6)</w:t>
      </w:r>
    </w:p>
    <w:p w:rsidR="00000000" w:rsidRDefault="00F90957">
      <w:pPr>
        <w:ind w:left="180"/>
        <w:rPr>
          <w:b/>
        </w:rPr>
      </w:pPr>
    </w:p>
    <w:p w:rsidR="00000000" w:rsidRDefault="00F90957">
      <w:pPr>
        <w:ind w:left="180"/>
      </w:pPr>
      <w:r>
        <w:t xml:space="preserve">The term </w:t>
      </w:r>
    </w:p>
    <w:p w:rsidR="00000000" w:rsidRDefault="00F90957">
      <w:pPr>
        <w:ind w:left="180"/>
      </w:pPr>
    </w:p>
    <w:p w:rsidR="00000000" w:rsidRDefault="00F90957">
      <w:pPr>
        <w:ind w:left="8252" w:hanging="8072"/>
      </w:pPr>
      <w:r>
        <w:rPr>
          <w:position w:val="-14"/>
        </w:rPr>
        <w:object w:dxaOrig="3159" w:dyaOrig="400">
          <v:shape id="_x0000_i1050" type="#_x0000_t75" style="width:158.25pt;height:20.25pt" o:ole="" fillcolor="window">
            <v:imagedata r:id="rId56" o:title=""/>
          </v:shape>
          <o:OLEObject Type="Embed" ProgID="Equation.3" ShapeID="_x0000_i1050" DrawAspect="Content" ObjectID="_1597673895" r:id="rId57"/>
        </w:object>
      </w:r>
      <w:r>
        <w:t xml:space="preserve">   </w:t>
      </w:r>
      <w:r>
        <w:tab/>
        <w:t>(3.7)</w:t>
      </w:r>
    </w:p>
    <w:p w:rsidR="00000000" w:rsidRDefault="00F90957">
      <w:pPr>
        <w:ind w:left="180"/>
      </w:pPr>
    </w:p>
    <w:p w:rsidR="00000000" w:rsidRDefault="00F90957">
      <w:pPr>
        <w:ind w:left="180"/>
      </w:pPr>
      <w:r>
        <w:t xml:space="preserve">is the excess return due to the decision to allocate </w:t>
      </w:r>
      <w:r>
        <w:rPr>
          <w:position w:val="-14"/>
        </w:rPr>
        <w:object w:dxaOrig="400" w:dyaOrig="400">
          <v:shape id="_x0000_i1051" type="#_x0000_t75" style="width:20.25pt;height:20.25pt" o:ole="" fillcolor="window">
            <v:imagedata r:id="rId46" o:title=""/>
          </v:shape>
          <o:OLEObject Type="Embed" ProgID="Equation.3" ShapeID="_x0000_i1051" DrawAspect="Content" ObjectID="_1597673896" r:id="rId58"/>
        </w:object>
      </w:r>
      <w:r>
        <w:t xml:space="preserve"> of the portfolio to segment </w:t>
      </w:r>
      <w:r>
        <w:rPr>
          <w:i/>
        </w:rPr>
        <w:t>t</w:t>
      </w:r>
      <w:r>
        <w:t xml:space="preserve"> and sector </w:t>
      </w:r>
      <w:r>
        <w:rPr>
          <w:i/>
        </w:rPr>
        <w:t>s</w:t>
      </w:r>
      <w:r>
        <w:t xml:space="preserve">, given that the total allocation to segment </w:t>
      </w:r>
      <w:r>
        <w:rPr>
          <w:i/>
        </w:rPr>
        <w:t>t</w:t>
      </w:r>
      <w:r>
        <w:t xml:space="preserve"> is </w:t>
      </w:r>
      <w:r>
        <w:rPr>
          <w:position w:val="-12"/>
        </w:rPr>
        <w:object w:dxaOrig="360" w:dyaOrig="380">
          <v:shape id="_x0000_i1052" type="#_x0000_t75" style="width:18pt;height:18.75pt" o:ole="" fillcolor="window">
            <v:imagedata r:id="rId59" o:title=""/>
          </v:shape>
          <o:OLEObject Type="Embed" ProgID="Equation.3" ShapeID="_x0000_i1052" DrawAspect="Content" ObjectID="_1597673897" r:id="rId60"/>
        </w:object>
      </w:r>
      <w:r>
        <w:t>. The residual excess return is due to security selection:</w:t>
      </w:r>
    </w:p>
    <w:p w:rsidR="00000000" w:rsidRDefault="00F90957">
      <w:pPr>
        <w:ind w:left="180"/>
      </w:pPr>
    </w:p>
    <w:p w:rsidR="00000000" w:rsidRDefault="00F90957">
      <w:pPr>
        <w:ind w:left="8252" w:hanging="8072"/>
      </w:pPr>
      <w:r>
        <w:rPr>
          <w:position w:val="-28"/>
        </w:rPr>
        <w:object w:dxaOrig="3100" w:dyaOrig="680">
          <v:shape id="_x0000_i1053" type="#_x0000_t75" style="width:155.25pt;height:33.75pt" o:ole="" fillcolor="window">
            <v:imagedata r:id="rId61" o:title=""/>
          </v:shape>
          <o:OLEObject Type="Embed" ProgID="Equation.3" ShapeID="_x0000_i1053" DrawAspect="Content" ObjectID="_1597673898" r:id="rId62"/>
        </w:object>
      </w:r>
      <w:r>
        <w:t>.</w:t>
      </w:r>
      <w:r>
        <w:tab/>
        <w:t>(3.8)</w:t>
      </w:r>
    </w:p>
    <w:p w:rsidR="00000000" w:rsidRDefault="00F90957">
      <w:pPr>
        <w:ind w:left="180"/>
      </w:pPr>
    </w:p>
    <w:p w:rsidR="00000000" w:rsidRDefault="00F90957">
      <w:pPr>
        <w:ind w:left="180"/>
      </w:pPr>
      <w:r>
        <w:t xml:space="preserve">The term </w:t>
      </w:r>
    </w:p>
    <w:p w:rsidR="00000000" w:rsidRDefault="00F90957">
      <w:pPr>
        <w:ind w:left="180"/>
      </w:pPr>
    </w:p>
    <w:p w:rsidR="00000000" w:rsidRDefault="00F90957">
      <w:pPr>
        <w:ind w:left="8252" w:hanging="8072"/>
      </w:pPr>
      <w:r>
        <w:rPr>
          <w:position w:val="-14"/>
        </w:rPr>
        <w:object w:dxaOrig="2520" w:dyaOrig="400">
          <v:shape id="_x0000_i1054" type="#_x0000_t75" style="width:126pt;height:20.25pt" o:ole="" fillcolor="window">
            <v:imagedata r:id="rId63" o:title=""/>
          </v:shape>
          <o:OLEObject Type="Embed" ProgID="Equation.3" ShapeID="_x0000_i1054" DrawAspect="Content" ObjectID="_1597673899" r:id="rId64"/>
        </w:object>
      </w:r>
      <w:r>
        <w:tab/>
        <w:t>(3.9)</w:t>
      </w:r>
    </w:p>
    <w:p w:rsidR="00000000" w:rsidRDefault="00F90957">
      <w:pPr>
        <w:ind w:left="180"/>
      </w:pPr>
    </w:p>
    <w:p w:rsidR="00000000" w:rsidRDefault="00F90957">
      <w:pPr>
        <w:ind w:left="180"/>
      </w:pPr>
      <w:r>
        <w:t>i</w:t>
      </w:r>
      <w:r>
        <w:t xml:space="preserve">s the contribution to the excess return from security selection within segment </w:t>
      </w:r>
      <w:r>
        <w:rPr>
          <w:i/>
        </w:rPr>
        <w:t>t</w:t>
      </w:r>
      <w:r>
        <w:t xml:space="preserve"> and sector </w:t>
      </w:r>
      <w:r>
        <w:rPr>
          <w:i/>
        </w:rPr>
        <w:t>s</w:t>
      </w:r>
      <w:r>
        <w:t>.</w:t>
      </w:r>
    </w:p>
    <w:p w:rsidR="00000000" w:rsidRDefault="00F90957">
      <w:pPr>
        <w:ind w:left="180"/>
      </w:pPr>
      <w:r>
        <w:t xml:space="preserve">  The impact of the management decisions will be best reflected by the analysis if the management process actually is such that the segment allocation is decided</w:t>
      </w:r>
      <w:r>
        <w:t xml:space="preserve"> first and then the sector allocation within each segment is chosen. If this is not the case, but only the overall sector allocation is set and the allocation within each segment is done more randomly, there is no preferred order to do the attribution anal</w:t>
      </w:r>
      <w:r>
        <w:t xml:space="preserve">ysis. We can still calculate the excess returns due to sector and segment allocation but the values will depend on whether the total excess return </w:t>
      </w:r>
      <w:r>
        <w:rPr>
          <w:i/>
        </w:rPr>
        <w:t xml:space="preserve">e </w:t>
      </w:r>
      <w:r>
        <w:t>first is broken down with respect to segment and then to sector (as above) or vice versa. In the latter cas</w:t>
      </w:r>
      <w:r>
        <w:t xml:space="preserve">e this excess return from allocating </w:t>
      </w:r>
      <w:r>
        <w:rPr>
          <w:position w:val="-14"/>
        </w:rPr>
        <w:object w:dxaOrig="400" w:dyaOrig="400">
          <v:shape id="_x0000_i1055" type="#_x0000_t75" style="width:20.25pt;height:20.25pt" o:ole="" fillcolor="window">
            <v:imagedata r:id="rId65" o:title=""/>
          </v:shape>
          <o:OLEObject Type="Embed" ProgID="Equation.3" ShapeID="_x0000_i1055" DrawAspect="Content" ObjectID="_1597673900" r:id="rId66"/>
        </w:object>
      </w:r>
      <w:r>
        <w:t xml:space="preserve"> of the portfolio value in sector </w:t>
      </w:r>
      <w:r>
        <w:rPr>
          <w:i/>
        </w:rPr>
        <w:t>s</w:t>
      </w:r>
      <w:r>
        <w:t xml:space="preserve"> to segment </w:t>
      </w:r>
      <w:r>
        <w:rPr>
          <w:i/>
        </w:rPr>
        <w:t xml:space="preserve">t </w:t>
      </w:r>
      <w:r>
        <w:t xml:space="preserve">will be </w:t>
      </w:r>
    </w:p>
    <w:p w:rsidR="00000000" w:rsidRDefault="00F90957">
      <w:pPr>
        <w:ind w:left="180"/>
      </w:pPr>
    </w:p>
    <w:p w:rsidR="00000000" w:rsidRDefault="00F90957">
      <w:pPr>
        <w:ind w:left="8252" w:hanging="8072"/>
      </w:pPr>
      <w:r>
        <w:t xml:space="preserve">  </w:t>
      </w:r>
      <w:r>
        <w:rPr>
          <w:position w:val="-14"/>
        </w:rPr>
        <w:object w:dxaOrig="3100" w:dyaOrig="400">
          <v:shape id="_x0000_i1056" type="#_x0000_t75" style="width:155.25pt;height:20.25pt" o:ole="" fillcolor="window">
            <v:imagedata r:id="rId67" o:title=""/>
          </v:shape>
          <o:OLEObject Type="Embed" ProgID="Equation.3" ShapeID="_x0000_i1056" DrawAspect="Content" ObjectID="_1597673901" r:id="rId68"/>
        </w:object>
      </w:r>
      <w:r>
        <w:t xml:space="preserve">,  </w:t>
      </w:r>
      <w:r>
        <w:tab/>
        <w:t>(3.10)</w:t>
      </w:r>
    </w:p>
    <w:p w:rsidR="00000000" w:rsidRDefault="00F90957">
      <w:pPr>
        <w:ind w:left="180"/>
      </w:pPr>
      <w:r>
        <w:t xml:space="preserve">        </w:t>
      </w:r>
    </w:p>
    <w:p w:rsidR="00000000" w:rsidRDefault="00F90957">
      <w:pPr>
        <w:ind w:left="180"/>
      </w:pPr>
      <w:r>
        <w:t xml:space="preserve">where the weights are analogous to those above. </w:t>
      </w:r>
    </w:p>
    <w:p w:rsidR="00000000" w:rsidRDefault="00F90957">
      <w:pPr>
        <w:pStyle w:val="BodyTextIndent2"/>
      </w:pPr>
      <w:r>
        <w:t xml:space="preserve">  Even if the management process is not as </w:t>
      </w:r>
      <w:r>
        <w:t>quantitative as the attribution analysis, we can still treat it as if it were. The analysis will show how the excess return would have been realized had the allocation decisions been carried out in the manner the analysis assumes. After getting feedback fr</w:t>
      </w:r>
      <w:r>
        <w:t xml:space="preserve">om an attribution analysis model it is possible that the manager will gradually adapt his management process to the model.    </w:t>
      </w:r>
    </w:p>
    <w:p w:rsidR="00000000" w:rsidRDefault="00F90957">
      <w:pPr>
        <w:pStyle w:val="Heading1"/>
      </w:pPr>
      <w:r>
        <w:br w:type="page"/>
      </w:r>
      <w:bookmarkStart w:id="15" w:name="_Toc38162675"/>
      <w:r>
        <w:t>4 Calculating the return</w:t>
      </w:r>
      <w:bookmarkEnd w:id="15"/>
    </w:p>
    <w:p w:rsidR="00000000" w:rsidRDefault="00F90957">
      <w:pPr>
        <w:pStyle w:val="Heading2"/>
      </w:pPr>
      <w:bookmarkStart w:id="16" w:name="_Toc38162676"/>
      <w:r>
        <w:t>4.1 The return of a static portfolio</w:t>
      </w:r>
      <w:bookmarkEnd w:id="16"/>
    </w:p>
    <w:p w:rsidR="00000000" w:rsidRDefault="00F90957">
      <w:r>
        <w:t>To perform an attribution analysis we need to define the weights a</w:t>
      </w:r>
      <w:r>
        <w:t xml:space="preserve">nd returns for each sector. This is most easily done if there are no cash flows in or out of the portfolio or between different sectors and no income is received from the assets. In that case the return of portfolio </w:t>
      </w:r>
      <w:r>
        <w:rPr>
          <w:i/>
          <w:iCs/>
        </w:rPr>
        <w:t xml:space="preserve">P </w:t>
      </w:r>
      <w:r>
        <w:t xml:space="preserve">for day </w:t>
      </w:r>
      <w:r>
        <w:rPr>
          <w:i/>
          <w:iCs/>
        </w:rPr>
        <w:t>t</w:t>
      </w:r>
      <w:r>
        <w:t xml:space="preserve"> is simply defined as  </w:t>
      </w:r>
    </w:p>
    <w:p w:rsidR="00000000" w:rsidRDefault="00F90957"/>
    <w:p w:rsidR="00000000" w:rsidRDefault="00F90957">
      <w:pPr>
        <w:ind w:left="8252" w:hanging="8252"/>
      </w:pPr>
      <w:r>
        <w:rPr>
          <w:position w:val="-30"/>
        </w:rPr>
        <w:object w:dxaOrig="2100" w:dyaOrig="720">
          <v:shape id="_x0000_i1057" type="#_x0000_t75" style="width:105pt;height:36pt" o:ole="" fillcolor="window">
            <v:imagedata r:id="rId69" o:title=""/>
          </v:shape>
          <o:OLEObject Type="Embed" ProgID="Equation.3" ShapeID="_x0000_i1057" DrawAspect="Content" ObjectID="_1597673902" r:id="rId70"/>
        </w:object>
      </w:r>
      <w:r>
        <w:t>,</w:t>
      </w:r>
      <w:r>
        <w:tab/>
        <w:t>(4.1)</w:t>
      </w:r>
    </w:p>
    <w:p w:rsidR="00000000" w:rsidRDefault="00F90957"/>
    <w:p w:rsidR="00000000" w:rsidRDefault="00F90957">
      <w:r>
        <w:t xml:space="preserve">where </w:t>
      </w:r>
      <w:r>
        <w:rPr>
          <w:i/>
          <w:iCs/>
        </w:rPr>
        <w:t>M</w:t>
      </w:r>
      <w:r>
        <w:rPr>
          <w:i/>
          <w:iCs/>
          <w:vertAlign w:val="superscript"/>
        </w:rPr>
        <w:t>P</w:t>
      </w:r>
      <w:r>
        <w:t>(</w:t>
      </w:r>
      <w:r>
        <w:rPr>
          <w:i/>
          <w:iCs/>
        </w:rPr>
        <w:t>t</w:t>
      </w:r>
      <w:r>
        <w:t xml:space="preserve">) is the value of portfolio </w:t>
      </w:r>
      <w:r>
        <w:rPr>
          <w:i/>
          <w:iCs/>
        </w:rPr>
        <w:t>P</w:t>
      </w:r>
      <w:r>
        <w:t xml:space="preserve"> at the beginning if day </w:t>
      </w:r>
      <w:r>
        <w:rPr>
          <w:i/>
          <w:iCs/>
        </w:rPr>
        <w:t>t</w:t>
      </w:r>
      <w:r>
        <w:t>.</w:t>
      </w:r>
    </w:p>
    <w:p w:rsidR="00000000" w:rsidRDefault="00F90957">
      <w:r>
        <w:t xml:space="preserve">  Let </w:t>
      </w:r>
      <w:r>
        <w:rPr>
          <w:i/>
          <w:iCs/>
        </w:rPr>
        <w:t>P</w:t>
      </w:r>
      <w:r>
        <w:rPr>
          <w:i/>
          <w:iCs/>
          <w:vertAlign w:val="subscript"/>
        </w:rPr>
        <w:t>i</w:t>
      </w:r>
      <w:r>
        <w:t>(</w:t>
      </w:r>
      <w:r>
        <w:rPr>
          <w:i/>
          <w:iCs/>
        </w:rPr>
        <w:t>t</w:t>
      </w:r>
      <w:r>
        <w:t xml:space="preserve">) and </w:t>
      </w:r>
      <w:r>
        <w:rPr>
          <w:i/>
          <w:iCs/>
        </w:rPr>
        <w:t>A</w:t>
      </w:r>
      <w:r>
        <w:rPr>
          <w:i/>
          <w:iCs/>
          <w:vertAlign w:val="subscript"/>
        </w:rPr>
        <w:t>i</w:t>
      </w:r>
      <w:r>
        <w:t>(</w:t>
      </w:r>
      <w:r>
        <w:rPr>
          <w:i/>
          <w:iCs/>
        </w:rPr>
        <w:t>t</w:t>
      </w:r>
      <w:r>
        <w:t xml:space="preserve">) be the clean price and accrued interest, respectively, of bond </w:t>
      </w:r>
      <w:r>
        <w:rPr>
          <w:i/>
          <w:iCs/>
        </w:rPr>
        <w:t>i</w:t>
      </w:r>
      <w:r>
        <w:t xml:space="preserve"> at the beginning of day </w:t>
      </w:r>
      <w:r>
        <w:rPr>
          <w:i/>
          <w:iCs/>
        </w:rPr>
        <w:t>t</w:t>
      </w:r>
      <w:r>
        <w:t xml:space="preserve">. Then, the return of bond </w:t>
      </w:r>
      <w:r>
        <w:rPr>
          <w:i/>
          <w:iCs/>
        </w:rPr>
        <w:t>i</w:t>
      </w:r>
      <w:r>
        <w:t xml:space="preserve"> for day </w:t>
      </w:r>
      <w:r>
        <w:rPr>
          <w:i/>
          <w:iCs/>
        </w:rPr>
        <w:t>t,</w:t>
      </w:r>
      <w:r>
        <w:t xml:space="preserve"> during wh</w:t>
      </w:r>
      <w:r>
        <w:t>ich no coupon payments are made, is</w:t>
      </w:r>
    </w:p>
    <w:p w:rsidR="00000000" w:rsidRDefault="00F90957"/>
    <w:p w:rsidR="00000000" w:rsidRDefault="00F90957">
      <w:pPr>
        <w:ind w:left="8252" w:hanging="8252"/>
      </w:pPr>
      <w:r>
        <w:rPr>
          <w:position w:val="-30"/>
        </w:rPr>
        <w:object w:dxaOrig="2820" w:dyaOrig="700">
          <v:shape id="_x0000_i1058" type="#_x0000_t75" style="width:141pt;height:35.25pt" o:ole="" fillcolor="window">
            <v:imagedata r:id="rId71" o:title=""/>
          </v:shape>
          <o:OLEObject Type="Embed" ProgID="Equation.3" ShapeID="_x0000_i1058" DrawAspect="Content" ObjectID="_1597673903" r:id="rId72"/>
        </w:object>
      </w:r>
      <w:r>
        <w:t>.</w:t>
      </w:r>
      <w:r>
        <w:tab/>
        <w:t>(4.2)</w:t>
      </w:r>
    </w:p>
    <w:p w:rsidR="00000000" w:rsidRDefault="00F90957"/>
    <w:p w:rsidR="00000000" w:rsidRDefault="00F90957"/>
    <w:p w:rsidR="00000000" w:rsidRDefault="00F90957">
      <w:r>
        <w:t xml:space="preserve">If the market uses ex-coupon days, the following modification has to be made to the formula: </w:t>
      </w:r>
    </w:p>
    <w:p w:rsidR="00000000" w:rsidRDefault="00F90957"/>
    <w:p w:rsidR="00000000" w:rsidRDefault="00F90957">
      <w:pPr>
        <w:ind w:left="8252" w:hanging="8252"/>
      </w:pPr>
      <w:r>
        <w:rPr>
          <w:position w:val="-30"/>
        </w:rPr>
        <w:object w:dxaOrig="3940" w:dyaOrig="700">
          <v:shape id="_x0000_i1059" type="#_x0000_t75" style="width:197.25pt;height:35.25pt" o:ole="" fillcolor="window">
            <v:imagedata r:id="rId73" o:title=""/>
          </v:shape>
          <o:OLEObject Type="Embed" ProgID="Equation.3" ShapeID="_x0000_i1059" DrawAspect="Content" ObjectID="_1597673904" r:id="rId74"/>
        </w:object>
      </w:r>
      <w:r>
        <w:t xml:space="preserve">,  </w:t>
      </w:r>
      <w:r>
        <w:tab/>
        <w:t>(4.3)</w:t>
      </w:r>
    </w:p>
    <w:p w:rsidR="00000000" w:rsidRDefault="00F90957"/>
    <w:p w:rsidR="00000000" w:rsidRDefault="00F90957">
      <w:r>
        <w:t xml:space="preserve">where </w:t>
      </w:r>
      <w:r>
        <w:rPr>
          <w:i/>
        </w:rPr>
        <w:t>CP</w:t>
      </w:r>
      <w:r>
        <w:rPr>
          <w:i/>
          <w:vertAlign w:val="subscript"/>
        </w:rPr>
        <w:t>i</w:t>
      </w:r>
      <w:r>
        <w:t>(</w:t>
      </w:r>
      <w:r>
        <w:rPr>
          <w:i/>
        </w:rPr>
        <w:t>t</w:t>
      </w:r>
      <w:r>
        <w:t xml:space="preserve">) is equal to the next coupon if </w:t>
      </w:r>
      <w:r>
        <w:rPr>
          <w:i/>
          <w:iCs/>
        </w:rPr>
        <w:t>t</w:t>
      </w:r>
      <w:r>
        <w:t xml:space="preserve"> less than t</w:t>
      </w:r>
      <w:r>
        <w:t xml:space="preserve">he coupon date, and the settlement date (= </w:t>
      </w:r>
      <w:r>
        <w:rPr>
          <w:i/>
        </w:rPr>
        <w:t>t</w:t>
      </w:r>
      <w:r>
        <w:t xml:space="preserve"> + 3 bank days for the Swedish bond market) is larger than or equal to the first ex-coupon date</w:t>
      </w:r>
      <w:r>
        <w:rPr>
          <w:rStyle w:val="FootnoteReference"/>
        </w:rPr>
        <w:footnoteReference w:customMarkFollows="1" w:id="4"/>
        <w:t>1</w:t>
      </w:r>
      <w:r>
        <w:t xml:space="preserve">; otherwise </w:t>
      </w:r>
      <w:r>
        <w:rPr>
          <w:i/>
        </w:rPr>
        <w:t>CP</w:t>
      </w:r>
      <w:r>
        <w:rPr>
          <w:i/>
          <w:vertAlign w:val="subscript"/>
        </w:rPr>
        <w:t>i</w:t>
      </w:r>
      <w:r>
        <w:t>(</w:t>
      </w:r>
      <w:r>
        <w:rPr>
          <w:i/>
        </w:rPr>
        <w:t>t</w:t>
      </w:r>
      <w:r>
        <w:t>) = 0.</w:t>
      </w:r>
    </w:p>
    <w:p w:rsidR="00000000" w:rsidRDefault="00F90957">
      <w:pPr>
        <w:pStyle w:val="Heading3"/>
      </w:pPr>
      <w:bookmarkStart w:id="17" w:name="_Toc38162677"/>
      <w:r>
        <w:t>Example</w:t>
      </w:r>
      <w:bookmarkEnd w:id="17"/>
    </w:p>
    <w:p w:rsidR="00000000" w:rsidRDefault="00F90957">
      <w:pPr>
        <w:ind w:left="180"/>
      </w:pPr>
      <w:r>
        <w:t>The Swedish government bond SGB1030 has maturity 15, June 2001 and a coupon of 13.</w:t>
      </w:r>
    </w:p>
    <w:p w:rsidR="00000000" w:rsidRDefault="00F90957">
      <w:pPr>
        <w:pStyle w:val="BodyTextIndent2"/>
      </w:pPr>
      <w:r>
        <w:t>T</w:t>
      </w:r>
      <w:r>
        <w:t xml:space="preserve">he number of ex-coupon days on the Swedish bond market is five (including non-banking days), which means that the settlement day has to be June 9 or earlier for the buyer to receive the June 15 coupon. The settlement day is three bank days after the trade </w:t>
      </w:r>
      <w:r>
        <w:t xml:space="preserve">date so after June 6 the coupon will not be included in the price of the bond. On June 6, 2000 the gross price of the bond was 121,03 SEK. After that date the coupon is no longer reflected by the gross price of the bond, which on June 13, 2000 had sunk to </w:t>
      </w:r>
      <w:r>
        <w:t>108,13. When calculating the return of the bond, the coupon has to be added to the end value as the period end is before the coupon date. The return of SGB 1030 over the period June 6, 2000 – June 13, 2000 was (108,13+13-121,03)/121,03 = 8,3 bp.</w:t>
      </w:r>
    </w:p>
    <w:p w:rsidR="00000000" w:rsidRDefault="00F90957">
      <w:pPr>
        <w:ind w:left="180"/>
      </w:pPr>
    </w:p>
    <w:p w:rsidR="00000000" w:rsidRDefault="00F90957">
      <w:r>
        <w:t xml:space="preserve">Let </w:t>
      </w:r>
      <w:r>
        <w:rPr>
          <w:i/>
          <w:iCs/>
        </w:rPr>
        <w:t>N</w:t>
      </w:r>
      <w:r>
        <w:rPr>
          <w:i/>
          <w:iCs/>
          <w:vertAlign w:val="subscript"/>
        </w:rPr>
        <w:t>i</w:t>
      </w:r>
      <w:r>
        <w:t>(</w:t>
      </w:r>
      <w:r>
        <w:rPr>
          <w:i/>
          <w:iCs/>
        </w:rPr>
        <w:t>t</w:t>
      </w:r>
      <w:r>
        <w:t>)</w:t>
      </w:r>
      <w:r>
        <w:t xml:space="preserve"> be the position of portfolio </w:t>
      </w:r>
      <w:r>
        <w:rPr>
          <w:i/>
        </w:rPr>
        <w:t>P</w:t>
      </w:r>
      <w:r>
        <w:t xml:space="preserve"> in bond </w:t>
      </w:r>
      <w:r>
        <w:rPr>
          <w:i/>
        </w:rPr>
        <w:t>i</w:t>
      </w:r>
      <w:r>
        <w:t xml:space="preserve"> at the beginning of day </w:t>
      </w:r>
      <w:r>
        <w:rPr>
          <w:i/>
        </w:rPr>
        <w:t>t</w:t>
      </w:r>
      <w:r>
        <w:t xml:space="preserve">. Then the return and weight of portfolio </w:t>
      </w:r>
      <w:r>
        <w:rPr>
          <w:i/>
        </w:rPr>
        <w:t>P</w:t>
      </w:r>
      <w:r>
        <w:t xml:space="preserve"> in market sector </w:t>
      </w:r>
      <w:r>
        <w:rPr>
          <w:i/>
        </w:rPr>
        <w:t>s</w:t>
      </w:r>
      <w:r>
        <w:t xml:space="preserve"> are</w:t>
      </w:r>
    </w:p>
    <w:p w:rsidR="00000000" w:rsidRDefault="00F90957"/>
    <w:p w:rsidR="00000000" w:rsidRDefault="00F90957">
      <w:pPr>
        <w:ind w:left="8252" w:hanging="8252"/>
      </w:pPr>
      <w:r>
        <w:rPr>
          <w:position w:val="-50"/>
        </w:rPr>
        <w:object w:dxaOrig="4900" w:dyaOrig="1120">
          <v:shape id="_x0000_i1060" type="#_x0000_t75" style="width:217.5pt;height:56.25pt" o:ole="" fillcolor="window">
            <v:imagedata r:id="rId75" o:title=""/>
          </v:shape>
          <o:OLEObject Type="Embed" ProgID="Equation.3" ShapeID="_x0000_i1060" DrawAspect="Content" ObjectID="_1597673905" r:id="rId76"/>
        </w:object>
      </w:r>
      <w:r>
        <w:tab/>
        <w:t>(4.4)</w:t>
      </w:r>
    </w:p>
    <w:p w:rsidR="00000000" w:rsidRDefault="00F90957">
      <w:pPr>
        <w:ind w:left="8252" w:hanging="8252"/>
      </w:pPr>
    </w:p>
    <w:p w:rsidR="00000000" w:rsidRDefault="00F90957">
      <w:pPr>
        <w:ind w:left="8252" w:hanging="8252"/>
      </w:pPr>
      <w:r>
        <w:t>and</w:t>
      </w:r>
    </w:p>
    <w:p w:rsidR="00000000" w:rsidRDefault="00F90957">
      <w:pPr>
        <w:ind w:left="8252" w:hanging="8252"/>
      </w:pPr>
      <w:r>
        <w:t xml:space="preserve"> </w:t>
      </w:r>
    </w:p>
    <w:p w:rsidR="00000000" w:rsidRDefault="00F90957">
      <w:pPr>
        <w:ind w:left="8252" w:hanging="8252"/>
      </w:pPr>
      <w:r>
        <w:rPr>
          <w:position w:val="-46"/>
        </w:rPr>
        <w:object w:dxaOrig="3800" w:dyaOrig="1080">
          <v:shape id="_x0000_i1061" type="#_x0000_t75" style="width:164.25pt;height:54pt" o:ole="" fillcolor="window">
            <v:imagedata r:id="rId77" o:title=""/>
          </v:shape>
          <o:OLEObject Type="Embed" ProgID="Equation.3" ShapeID="_x0000_i1061" DrawAspect="Content" ObjectID="_1597673906" r:id="rId78"/>
        </w:object>
      </w:r>
      <w:r>
        <w:t>,</w:t>
      </w:r>
      <w:r>
        <w:tab/>
        <w:t>(4.5)</w:t>
      </w:r>
    </w:p>
    <w:p w:rsidR="00000000" w:rsidRDefault="00F90957"/>
    <w:p w:rsidR="00000000" w:rsidRDefault="00F90957">
      <w:r>
        <w:t xml:space="preserve">where </w:t>
      </w:r>
      <w:r>
        <w:rPr>
          <w:i/>
        </w:rPr>
        <w:t>B</w:t>
      </w:r>
      <w:r>
        <w:rPr>
          <w:i/>
          <w:vertAlign w:val="subscript"/>
        </w:rPr>
        <w:t>s</w:t>
      </w:r>
      <w:r>
        <w:rPr>
          <w:vertAlign w:val="subscript"/>
        </w:rPr>
        <w:t xml:space="preserve"> </w:t>
      </w:r>
      <w:r>
        <w:t>is the set of securities that fall in secto</w:t>
      </w:r>
      <w:r>
        <w:t xml:space="preserve">r s and we have used the fact that </w:t>
      </w:r>
      <w:r>
        <w:rPr>
          <w:i/>
        </w:rPr>
        <w:t>N</w:t>
      </w:r>
      <w:r>
        <w:rPr>
          <w:i/>
          <w:vertAlign w:val="subscript"/>
        </w:rPr>
        <w:t>i</w:t>
      </w:r>
      <w:r>
        <w:t>(</w:t>
      </w:r>
      <w:r>
        <w:rPr>
          <w:i/>
        </w:rPr>
        <w:t>t</w:t>
      </w:r>
      <w:r>
        <w:t xml:space="preserve">+1) = </w:t>
      </w:r>
      <w:r>
        <w:rPr>
          <w:i/>
        </w:rPr>
        <w:t>N</w:t>
      </w:r>
      <w:r>
        <w:rPr>
          <w:i/>
          <w:vertAlign w:val="subscript"/>
        </w:rPr>
        <w:t>i</w:t>
      </w:r>
      <w:r>
        <w:t>(</w:t>
      </w:r>
      <w:r>
        <w:rPr>
          <w:i/>
        </w:rPr>
        <w:t>t</w:t>
      </w:r>
      <w:r>
        <w:t xml:space="preserve">) since no securities are bought or sold during day </w:t>
      </w:r>
      <w:r>
        <w:rPr>
          <w:i/>
        </w:rPr>
        <w:t>t</w:t>
      </w:r>
      <w:r>
        <w:t xml:space="preserve">.. </w:t>
      </w:r>
    </w:p>
    <w:p w:rsidR="00000000" w:rsidRDefault="00F90957">
      <w:pPr>
        <w:pStyle w:val="Heading2"/>
      </w:pPr>
      <w:bookmarkStart w:id="18" w:name="_Toc38162678"/>
      <w:r>
        <w:t>4.2 Incorporating cash-flows</w:t>
      </w:r>
      <w:bookmarkEnd w:id="18"/>
    </w:p>
    <w:p w:rsidR="00000000" w:rsidRDefault="00F90957">
      <w:r>
        <w:t>When calculating the return of a portfolio or a sub-portfolio, it makes life easier if the portfolio or sub-portfolio has</w:t>
      </w:r>
      <w:r>
        <w:t xml:space="preserve"> not been subject to cash flows during the measurement period. </w:t>
      </w:r>
    </w:p>
    <w:p w:rsidR="00000000" w:rsidRDefault="00F90957">
      <w:r>
        <w:t>Suppose, however, that some time in the period [</w:t>
      </w:r>
      <w:r>
        <w:rPr>
          <w:i/>
        </w:rPr>
        <w:t>t, t + n</w:t>
      </w:r>
      <w:r>
        <w:t>] the portfolio manager made a tactical bet, putting a bigger part of his portfolio in the fixed income sector at the expense of equitie</w:t>
      </w:r>
      <w:r>
        <w:t>s. This means that there has been a cash flow from the equity portfolio to the fixed income portfolio. That cash flow has to be taken into account when calculating the return for the two sub-portfolios. The total portfolio, however, has only had cash flows</w:t>
      </w:r>
      <w:r>
        <w:t xml:space="preserve"> between sectors, and the standard formula for the portfolio return can be used:</w:t>
      </w:r>
    </w:p>
    <w:p w:rsidR="00000000" w:rsidRDefault="00F90957"/>
    <w:p w:rsidR="00000000" w:rsidRDefault="00F90957"/>
    <w:p w:rsidR="00000000" w:rsidRDefault="00F90957">
      <w:pPr>
        <w:ind w:left="8252" w:hanging="8252"/>
      </w:pPr>
      <w:r>
        <w:rPr>
          <w:position w:val="-30"/>
        </w:rPr>
        <w:object w:dxaOrig="1900" w:dyaOrig="720">
          <v:shape id="_x0000_i1062" type="#_x0000_t75" style="width:95.25pt;height:36pt" o:ole="" fillcolor="window">
            <v:imagedata r:id="rId79" o:title=""/>
          </v:shape>
          <o:OLEObject Type="Embed" ProgID="Equation.3" ShapeID="_x0000_i1062" DrawAspect="Content" ObjectID="_1597673907" r:id="rId80"/>
        </w:object>
      </w:r>
      <w:r>
        <w:t>.</w:t>
      </w:r>
      <w:r>
        <w:tab/>
        <w:t>(4.6)</w:t>
      </w:r>
    </w:p>
    <w:p w:rsidR="00000000" w:rsidRDefault="00F90957">
      <w:pPr>
        <w:pStyle w:val="Heading4"/>
      </w:pPr>
    </w:p>
    <w:p w:rsidR="00000000" w:rsidRDefault="00F90957">
      <w:r>
        <w:t>Had money been invested in or taken out of the portfolio that formula would not be satisfactory. If cash flows occurred at the beginning or t</w:t>
      </w:r>
      <w:r>
        <w:t xml:space="preserve">he end of the period we can make a simple adjustment to the formula, </w:t>
      </w:r>
    </w:p>
    <w:p w:rsidR="00000000" w:rsidRDefault="00F90957">
      <w:pPr>
        <w:pStyle w:val="Picture"/>
      </w:pPr>
    </w:p>
    <w:p w:rsidR="00000000" w:rsidRDefault="00F90957">
      <w:pPr>
        <w:ind w:left="8252" w:hanging="8252"/>
      </w:pPr>
      <w:r>
        <w:rPr>
          <w:position w:val="-30"/>
        </w:rPr>
        <w:object w:dxaOrig="2560" w:dyaOrig="720">
          <v:shape id="_x0000_i1063" type="#_x0000_t75" style="width:128.25pt;height:36pt" o:ole="" fillcolor="window">
            <v:imagedata r:id="rId81" o:title=""/>
          </v:shape>
          <o:OLEObject Type="Embed" ProgID="Equation.3" ShapeID="_x0000_i1063" DrawAspect="Content" ObjectID="_1597673908" r:id="rId82"/>
        </w:object>
      </w:r>
      <w:r>
        <w:t>,</w:t>
      </w:r>
      <w:r>
        <w:tab/>
        <w:t>(4.7)</w:t>
      </w:r>
    </w:p>
    <w:p w:rsidR="00000000" w:rsidRDefault="00F90957"/>
    <w:p w:rsidR="00000000" w:rsidRDefault="00F90957">
      <w:r>
        <w:t xml:space="preserve">where </w:t>
      </w:r>
      <w:r>
        <w:rPr>
          <w:position w:val="-6"/>
        </w:rPr>
        <w:object w:dxaOrig="540" w:dyaOrig="320">
          <v:shape id="_x0000_i1064" type="#_x0000_t75" style="width:27pt;height:15.75pt" o:ole="" fillcolor="window">
            <v:imagedata r:id="rId83" o:title=""/>
          </v:shape>
          <o:OLEObject Type="Embed" ProgID="Equation.3" ShapeID="_x0000_i1064" DrawAspect="Content" ObjectID="_1597673909" r:id="rId84"/>
        </w:object>
      </w:r>
      <w:r>
        <w:t xml:space="preserve"> and </w:t>
      </w:r>
      <w:r>
        <w:rPr>
          <w:position w:val="-6"/>
        </w:rPr>
        <w:object w:dxaOrig="480" w:dyaOrig="320">
          <v:shape id="_x0000_i1065" type="#_x0000_t75" style="width:24pt;height:15.75pt" o:ole="" fillcolor="window">
            <v:imagedata r:id="rId85" o:title=""/>
          </v:shape>
          <o:OLEObject Type="Embed" ProgID="Equation.3" ShapeID="_x0000_i1065" DrawAspect="Content" ObjectID="_1597673910" r:id="rId86"/>
        </w:object>
      </w:r>
      <w:r>
        <w:t xml:space="preserve"> are the cash flows at the start and end of the period. They are positive for cash flows into th</w:t>
      </w:r>
      <w:r>
        <w:t>e sector. This way we get a return based on just the assets that were in the portfolio for the whole period. The above formula can be generalized to handle cash flows at any time during the period. We assume that the value of the assets in the portfolio gr</w:t>
      </w:r>
      <w:r>
        <w:t xml:space="preserve">ows linearly from day </w:t>
      </w:r>
      <w:r>
        <w:rPr>
          <w:i/>
        </w:rPr>
        <w:t xml:space="preserve">t </w:t>
      </w:r>
      <w:r>
        <w:t>to</w:t>
      </w:r>
      <w:r>
        <w:rPr>
          <w:i/>
        </w:rPr>
        <w:t xml:space="preserve"> </w:t>
      </w:r>
      <w:r>
        <w:t>day</w:t>
      </w:r>
      <w:r>
        <w:rPr>
          <w:i/>
        </w:rPr>
        <w:t xml:space="preserve"> t </w:t>
      </w:r>
      <w:r>
        <w:t xml:space="preserve">+ </w:t>
      </w:r>
      <w:r>
        <w:rPr>
          <w:i/>
        </w:rPr>
        <w:t>n</w:t>
      </w:r>
      <w:r>
        <w:t xml:space="preserve">.  If a cash flow </w:t>
      </w:r>
      <w:r>
        <w:rPr>
          <w:i/>
        </w:rPr>
        <w:t>C</w:t>
      </w:r>
      <w:r>
        <w:t xml:space="preserve"> occurs on day </w:t>
      </w:r>
      <w:r>
        <w:rPr>
          <w:i/>
        </w:rPr>
        <w:t xml:space="preserve">t </w:t>
      </w:r>
      <w:r>
        <w:t xml:space="preserve">+ </w:t>
      </w:r>
      <w:r>
        <w:rPr>
          <w:i/>
        </w:rPr>
        <w:t>k</w:t>
      </w:r>
      <w:r>
        <w:t xml:space="preserve">, at the end of the period this cash flow will have grown to </w:t>
      </w:r>
    </w:p>
    <w:p w:rsidR="00000000" w:rsidRDefault="00F90957"/>
    <w:p w:rsidR="00000000" w:rsidRDefault="00F90957">
      <w:pPr>
        <w:ind w:left="8252" w:hanging="8252"/>
      </w:pPr>
      <w:r>
        <w:rPr>
          <w:position w:val="-24"/>
        </w:rPr>
        <w:object w:dxaOrig="2200" w:dyaOrig="620">
          <v:shape id="_x0000_i1066" type="#_x0000_t75" style="width:110.25pt;height:30.75pt" o:ole="" fillcolor="window">
            <v:imagedata r:id="rId87" o:title=""/>
          </v:shape>
          <o:OLEObject Type="Embed" ProgID="Equation.3" ShapeID="_x0000_i1066" DrawAspect="Content" ObjectID="_1597673911" r:id="rId88"/>
        </w:object>
      </w:r>
      <w:r>
        <w:t>.</w:t>
      </w:r>
      <w:r>
        <w:tab/>
        <w:t>(4.8)</w:t>
      </w:r>
    </w:p>
    <w:p w:rsidR="00000000" w:rsidRDefault="00F90957"/>
    <w:p w:rsidR="00000000" w:rsidRDefault="00F90957">
      <w:r>
        <w:t xml:space="preserve">With </w:t>
      </w:r>
      <w:r>
        <w:rPr>
          <w:position w:val="-14"/>
        </w:rPr>
        <w:object w:dxaOrig="540" w:dyaOrig="400">
          <v:shape id="_x0000_i1067" type="#_x0000_t75" style="width:27pt;height:20.25pt" o:ole="" fillcolor="window">
            <v:imagedata r:id="rId89" o:title=""/>
          </v:shape>
          <o:OLEObject Type="Embed" ProgID="Equation.3" ShapeID="_x0000_i1067" DrawAspect="Content" ObjectID="_1597673912" r:id="rId90"/>
        </w:object>
      </w:r>
      <w:r>
        <w:t>= 0, (4.6) takes the form</w:t>
      </w:r>
    </w:p>
    <w:p w:rsidR="00000000" w:rsidRDefault="00F90957"/>
    <w:p w:rsidR="00000000" w:rsidRDefault="00F90957">
      <w:pPr>
        <w:ind w:left="8252" w:hanging="8252"/>
      </w:pPr>
      <w:r>
        <w:rPr>
          <w:position w:val="-30"/>
        </w:rPr>
        <w:object w:dxaOrig="3580" w:dyaOrig="980">
          <v:shape id="_x0000_i1068" type="#_x0000_t75" style="width:179.25pt;height:48.75pt" o:ole="" fillcolor="window">
            <v:imagedata r:id="rId91" o:title=""/>
          </v:shape>
          <o:OLEObject Type="Embed" ProgID="Equation.3" ShapeID="_x0000_i1068" DrawAspect="Content" ObjectID="_1597673913" r:id="rId92"/>
        </w:object>
      </w:r>
      <w:r>
        <w:t>,</w:t>
      </w:r>
      <w:r>
        <w:tab/>
        <w:t>(4.9)</w:t>
      </w:r>
    </w:p>
    <w:p w:rsidR="00000000" w:rsidRDefault="00F90957"/>
    <w:p w:rsidR="00000000" w:rsidRDefault="00F90957">
      <w:r>
        <w:t xml:space="preserve">and by solving for </w:t>
      </w:r>
      <w:r>
        <w:rPr>
          <w:i/>
        </w:rPr>
        <w:t>r</w:t>
      </w:r>
      <w:r>
        <w:rPr>
          <w:i/>
          <w:vertAlign w:val="superscript"/>
        </w:rPr>
        <w:t>P</w:t>
      </w:r>
      <w:r>
        <w:rPr>
          <w:i/>
        </w:rPr>
        <w:t xml:space="preserve"> </w:t>
      </w:r>
      <w:r>
        <w:t>we get</w:t>
      </w:r>
    </w:p>
    <w:p w:rsidR="00000000" w:rsidRDefault="00F90957"/>
    <w:p w:rsidR="00000000" w:rsidRDefault="00F90957">
      <w:pPr>
        <w:ind w:left="8252" w:hanging="8252"/>
      </w:pPr>
      <w:r>
        <w:rPr>
          <w:position w:val="-56"/>
        </w:rPr>
        <w:object w:dxaOrig="2500" w:dyaOrig="1240">
          <v:shape id="_x0000_i1069" type="#_x0000_t75" style="width:125.25pt;height:62.25pt" o:ole="" fillcolor="window">
            <v:imagedata r:id="rId93" o:title=""/>
          </v:shape>
          <o:OLEObject Type="Embed" ProgID="Equation.3" ShapeID="_x0000_i1069" DrawAspect="Content" ObjectID="_1597673914" r:id="rId94"/>
        </w:object>
      </w:r>
      <w:r>
        <w:t>.</w:t>
      </w:r>
      <w:r>
        <w:tab/>
        <w:t>(4.10)</w:t>
      </w:r>
    </w:p>
    <w:p w:rsidR="00000000" w:rsidRDefault="00F90957"/>
    <w:p w:rsidR="00000000" w:rsidRDefault="00F90957">
      <w:r>
        <w:t xml:space="preserve">This formula is often referred to as the </w:t>
      </w:r>
      <w:r>
        <w:rPr>
          <w:i/>
        </w:rPr>
        <w:t>modified Dietz method</w:t>
      </w:r>
      <w:r>
        <w:t>. In general, if there are cash flows {</w:t>
      </w:r>
      <w:r>
        <w:rPr>
          <w:i/>
        </w:rPr>
        <w:t>C</w:t>
      </w:r>
      <w:r>
        <w:rPr>
          <w:i/>
          <w:vertAlign w:val="subscript"/>
        </w:rPr>
        <w:t>i</w:t>
      </w:r>
      <w:r>
        <w:t>} occurring on days {</w:t>
      </w:r>
      <w:r>
        <w:rPr>
          <w:i/>
        </w:rPr>
        <w:t>t</w:t>
      </w:r>
      <w:r>
        <w:t>+</w:t>
      </w:r>
      <w:r>
        <w:rPr>
          <w:i/>
        </w:rPr>
        <w:t>k</w:t>
      </w:r>
      <w:r>
        <w:rPr>
          <w:i/>
          <w:vertAlign w:val="subscript"/>
        </w:rPr>
        <w:t>i</w:t>
      </w:r>
      <w:r>
        <w:t>} the return is</w:t>
      </w:r>
    </w:p>
    <w:p w:rsidR="00000000" w:rsidRDefault="00F90957"/>
    <w:p w:rsidR="00000000" w:rsidRDefault="00F90957">
      <w:pPr>
        <w:ind w:left="8252" w:hanging="8252"/>
      </w:pPr>
      <w:r>
        <w:rPr>
          <w:position w:val="-62"/>
        </w:rPr>
        <w:object w:dxaOrig="3120" w:dyaOrig="1359">
          <v:shape id="_x0000_i1070" type="#_x0000_t75" style="width:156pt;height:68.25pt" o:ole="" fillcolor="window">
            <v:imagedata r:id="rId95" o:title=""/>
          </v:shape>
          <o:OLEObject Type="Embed" ProgID="Equation.3" ShapeID="_x0000_i1070" DrawAspect="Content" ObjectID="_1597673915" r:id="rId96"/>
        </w:object>
      </w:r>
      <w:r>
        <w:t xml:space="preserve"> ,</w:t>
      </w:r>
      <w:r>
        <w:tab/>
        <w:t>(4.11)</w:t>
      </w:r>
    </w:p>
    <w:p w:rsidR="00000000" w:rsidRDefault="00F90957"/>
    <w:p w:rsidR="00000000" w:rsidRDefault="00F90957">
      <w:r>
        <w:t xml:space="preserve">where </w:t>
      </w:r>
      <w:r>
        <w:rPr>
          <w:position w:val="-46"/>
        </w:rPr>
        <w:object w:dxaOrig="1460" w:dyaOrig="1040">
          <v:shape id="_x0000_i1071" type="#_x0000_t75" style="width:72.75pt;height:51.75pt" o:ole="" fillcolor="window">
            <v:imagedata r:id="rId97" o:title=""/>
          </v:shape>
          <o:OLEObject Type="Embed" ProgID="Equation.3" ShapeID="_x0000_i1071" DrawAspect="Content" ObjectID="_1597673916" r:id="rId98"/>
        </w:object>
      </w:r>
      <w:r>
        <w:t>.</w:t>
      </w:r>
    </w:p>
    <w:p w:rsidR="00000000" w:rsidRDefault="00F90957"/>
    <w:p w:rsidR="00000000" w:rsidRDefault="00F90957">
      <w:r>
        <w:t xml:space="preserve">The method does not take into account the changes in the rate of return over the period. By calculating the return on a daily basis and compounding the results we get a better measure of the whole period return. </w:t>
      </w:r>
    </w:p>
    <w:p w:rsidR="00000000" w:rsidRDefault="00F90957">
      <w:pPr>
        <w:pStyle w:val="Heading2"/>
      </w:pPr>
      <w:bookmarkStart w:id="19" w:name="_Toc38162679"/>
      <w:r>
        <w:t>4.3 Calculating the dail</w:t>
      </w:r>
      <w:r>
        <w:t>y return</w:t>
      </w:r>
      <w:bookmarkEnd w:id="19"/>
      <w:r>
        <w:t xml:space="preserve"> </w:t>
      </w:r>
    </w:p>
    <w:p w:rsidR="00000000" w:rsidRDefault="00F90957">
      <w:r>
        <w:t>Calculating the return when there are cash flows involved is somewhat arbitrary. The standard</w:t>
      </w:r>
      <w:r>
        <w:rPr>
          <w:rStyle w:val="FootnoteReference"/>
        </w:rPr>
        <w:footnoteReference w:customMarkFollows="1" w:id="5"/>
        <w:t>1</w:t>
      </w:r>
      <w:r>
        <w:t xml:space="preserve"> is to place the cash flows </w:t>
      </w:r>
      <w:r>
        <w:rPr>
          <w:i/>
        </w:rPr>
        <w:t>C</w:t>
      </w:r>
      <w:r>
        <w:t>(</w:t>
      </w:r>
      <w:r>
        <w:rPr>
          <w:i/>
        </w:rPr>
        <w:t>t</w:t>
      </w:r>
      <w:r>
        <w:t xml:space="preserve">) in the denominator, corresponding to cash flows at the beginning of the day. The return of day </w:t>
      </w:r>
      <w:r>
        <w:rPr>
          <w:i/>
        </w:rPr>
        <w:t>t</w:t>
      </w:r>
      <w:r>
        <w:t>, is</w:t>
      </w:r>
    </w:p>
    <w:p w:rsidR="00000000" w:rsidRDefault="00F90957"/>
    <w:p w:rsidR="00000000" w:rsidRDefault="00F90957">
      <w:pPr>
        <w:ind w:left="8252" w:hanging="8252"/>
      </w:pPr>
      <w:r>
        <w:rPr>
          <w:position w:val="-30"/>
        </w:rPr>
        <w:object w:dxaOrig="2439" w:dyaOrig="720">
          <v:shape id="_x0000_i1072" type="#_x0000_t75" style="width:122.25pt;height:36pt" o:ole="" fillcolor="window">
            <v:imagedata r:id="rId99" o:title=""/>
          </v:shape>
          <o:OLEObject Type="Embed" ProgID="Equation.3" ShapeID="_x0000_i1072" DrawAspect="Content" ObjectID="_1597673917" r:id="rId100"/>
        </w:object>
      </w:r>
      <w:r>
        <w:t xml:space="preserve">, </w:t>
      </w:r>
      <w:r>
        <w:tab/>
        <w:t>(4.12)</w:t>
      </w:r>
    </w:p>
    <w:p w:rsidR="00000000" w:rsidRDefault="00F90957">
      <w:pPr>
        <w:ind w:left="8252" w:hanging="8252"/>
      </w:pPr>
    </w:p>
    <w:p w:rsidR="00000000" w:rsidRDefault="00F90957">
      <w:pPr>
        <w:ind w:left="8252" w:hanging="8252"/>
      </w:pPr>
      <w:r>
        <w:t xml:space="preserve">where </w:t>
      </w:r>
      <w:r>
        <w:rPr>
          <w:i/>
        </w:rPr>
        <w:t>C</w:t>
      </w:r>
      <w:r>
        <w:t>(</w:t>
      </w:r>
      <w:r>
        <w:rPr>
          <w:i/>
        </w:rPr>
        <w:t>t</w:t>
      </w:r>
      <w:r>
        <w:t xml:space="preserve">) is the net cash flow into the portfolio during day </w:t>
      </w:r>
      <w:r>
        <w:rPr>
          <w:i/>
        </w:rPr>
        <w:t>t</w:t>
      </w:r>
      <w:r>
        <w:t xml:space="preserve">. The return from day 1 to day </w:t>
      </w:r>
    </w:p>
    <w:p w:rsidR="00000000" w:rsidRDefault="00F90957">
      <w:pPr>
        <w:ind w:left="8252" w:hanging="8252"/>
        <w:rPr>
          <w:i/>
        </w:rPr>
      </w:pPr>
      <w:r>
        <w:rPr>
          <w:i/>
        </w:rPr>
        <w:t xml:space="preserve">n </w:t>
      </w:r>
      <w:r>
        <w:t>+ 1 is</w:t>
      </w:r>
    </w:p>
    <w:p w:rsidR="00000000" w:rsidRDefault="00F90957">
      <w:pPr>
        <w:ind w:left="8252" w:hanging="8252"/>
      </w:pPr>
    </w:p>
    <w:p w:rsidR="00000000" w:rsidRDefault="00F90957">
      <w:pPr>
        <w:ind w:left="8252" w:hanging="8252"/>
      </w:pPr>
      <w:r>
        <w:rPr>
          <w:position w:val="-28"/>
        </w:rPr>
        <w:object w:dxaOrig="2620" w:dyaOrig="680">
          <v:shape id="_x0000_i1073" type="#_x0000_t75" style="width:131.25pt;height:33.75pt" o:ole="" fillcolor="window">
            <v:imagedata r:id="rId101" o:title=""/>
          </v:shape>
          <o:OLEObject Type="Embed" ProgID="Equation.3" ShapeID="_x0000_i1073" DrawAspect="Content" ObjectID="_1597673918" r:id="rId102"/>
        </w:object>
      </w:r>
      <w:r>
        <w:t>.</w:t>
      </w:r>
      <w:r>
        <w:tab/>
        <w:t>(4.13)</w:t>
      </w:r>
    </w:p>
    <w:p w:rsidR="00000000" w:rsidRDefault="00F90957">
      <w:pPr>
        <w:pStyle w:val="Heading4"/>
      </w:pPr>
    </w:p>
    <w:p w:rsidR="00000000" w:rsidRDefault="00F90957">
      <w:r>
        <w:t xml:space="preserve">But, as we will see, we cannot rely on a single formula to cover all possible situations.   </w:t>
      </w:r>
    </w:p>
    <w:p w:rsidR="00000000" w:rsidRDefault="00F90957">
      <w:pPr>
        <w:pStyle w:val="Heading3"/>
      </w:pPr>
      <w:bookmarkStart w:id="20" w:name="_Toc38162680"/>
      <w:r>
        <w:t xml:space="preserve">4.3.1 A </w:t>
      </w:r>
      <w:r>
        <w:t>portfolio consisting of one security</w:t>
      </w:r>
      <w:bookmarkEnd w:id="20"/>
      <w:r>
        <w:t xml:space="preserve"> </w:t>
      </w:r>
    </w:p>
    <w:p w:rsidR="00000000" w:rsidRDefault="00F90957">
      <w:pPr>
        <w:pStyle w:val="Heading4"/>
        <w:rPr>
          <w:b w:val="0"/>
        </w:rPr>
      </w:pPr>
      <w:r>
        <w:rPr>
          <w:b w:val="0"/>
        </w:rPr>
        <w:t>We have not yet considered trading profit/loss (P/L) or positions that have negative market value. To illustrate these issues</w:t>
      </w:r>
      <w:r>
        <w:rPr>
          <w:rStyle w:val="FootnoteReference"/>
          <w:b w:val="0"/>
        </w:rPr>
        <w:footnoteReference w:customMarkFollows="1" w:id="6"/>
        <w:t>2</w:t>
      </w:r>
      <w:r>
        <w:rPr>
          <w:b w:val="0"/>
        </w:rPr>
        <w:t xml:space="preserve"> we consider a portfolio consisting of just one type of security, for example a portfolio of</w:t>
      </w:r>
      <w:r>
        <w:rPr>
          <w:b w:val="0"/>
        </w:rPr>
        <w:t xml:space="preserve"> Ericsson B shares. First, we introduce some notation:</w:t>
      </w:r>
    </w:p>
    <w:p w:rsidR="00000000" w:rsidRDefault="00F90957"/>
    <w:p w:rsidR="00000000" w:rsidRDefault="00F90957">
      <w:pPr>
        <w:ind w:left="2700" w:hanging="2700"/>
        <w:rPr>
          <w:i/>
        </w:rPr>
      </w:pPr>
      <w:r>
        <w:rPr>
          <w:i/>
        </w:rPr>
        <w:t>N(t)</w:t>
      </w:r>
      <w:r>
        <w:rPr>
          <w:i/>
        </w:rPr>
        <w:tab/>
      </w:r>
      <w:r>
        <w:t>number of shares in the portfolio</w:t>
      </w:r>
      <w:r>
        <w:rPr>
          <w:i/>
        </w:rPr>
        <w:t xml:space="preserve"> </w:t>
      </w:r>
      <w:r>
        <w:t xml:space="preserve">at the start of day </w:t>
      </w:r>
      <w:r>
        <w:rPr>
          <w:i/>
        </w:rPr>
        <w:t>t</w:t>
      </w:r>
    </w:p>
    <w:p w:rsidR="00000000" w:rsidRDefault="00F90957">
      <w:pPr>
        <w:ind w:left="2700" w:hanging="2700"/>
        <w:rPr>
          <w:i/>
        </w:rPr>
      </w:pPr>
      <w:r>
        <w:rPr>
          <w:i/>
        </w:rPr>
        <w:t>P(t)</w:t>
      </w:r>
      <w:r>
        <w:rPr>
          <w:i/>
        </w:rPr>
        <w:tab/>
      </w:r>
      <w:r>
        <w:t xml:space="preserve">valuation price at time </w:t>
      </w:r>
      <w:r>
        <w:rPr>
          <w:i/>
        </w:rPr>
        <w:t>t</w:t>
      </w:r>
      <w:r>
        <w:rPr>
          <w:i/>
        </w:rPr>
        <w:tab/>
      </w:r>
      <w:r>
        <w:rPr>
          <w:i/>
        </w:rPr>
        <w:tab/>
      </w:r>
      <w:r>
        <w:rPr>
          <w:i/>
        </w:rPr>
        <w:tab/>
      </w:r>
      <w:r>
        <w:rPr>
          <w:i/>
        </w:rPr>
        <w:tab/>
      </w:r>
      <w:r>
        <w:rPr>
          <w:i/>
        </w:rPr>
        <w:tab/>
      </w:r>
      <w:r>
        <w:rPr>
          <w:i/>
        </w:rPr>
        <w:tab/>
      </w:r>
    </w:p>
    <w:p w:rsidR="00000000" w:rsidRDefault="00F90957">
      <w:pPr>
        <w:pStyle w:val="Heading4"/>
        <w:ind w:left="2700" w:hanging="2700"/>
        <w:rPr>
          <w:b w:val="0"/>
        </w:rPr>
      </w:pPr>
      <w:r>
        <w:rPr>
          <w:b w:val="0"/>
          <w:i/>
        </w:rPr>
        <w:t>N</w:t>
      </w:r>
      <w:r>
        <w:rPr>
          <w:b w:val="0"/>
          <w:i/>
          <w:vertAlign w:val="subscript"/>
        </w:rPr>
        <w:t>B</w:t>
      </w:r>
      <w:r>
        <w:rPr>
          <w:b w:val="0"/>
          <w:i/>
        </w:rPr>
        <w:t>(t)</w:t>
      </w:r>
      <w:r>
        <w:rPr>
          <w:b w:val="0"/>
          <w:i/>
        </w:rPr>
        <w:tab/>
      </w:r>
      <w:r>
        <w:rPr>
          <w:b w:val="0"/>
        </w:rPr>
        <w:t xml:space="preserve">number of shares bought between times </w:t>
      </w:r>
      <w:r>
        <w:rPr>
          <w:b w:val="0"/>
          <w:i/>
        </w:rPr>
        <w:t>t</w:t>
      </w:r>
      <w:r>
        <w:rPr>
          <w:b w:val="0"/>
        </w:rPr>
        <w:t xml:space="preserve"> and </w:t>
      </w:r>
      <w:r>
        <w:rPr>
          <w:b w:val="0"/>
          <w:i/>
        </w:rPr>
        <w:t>t</w:t>
      </w:r>
      <w:r>
        <w:rPr>
          <w:b w:val="0"/>
        </w:rPr>
        <w:t xml:space="preserve"> + 1</w:t>
      </w:r>
      <w:r>
        <w:rPr>
          <w:b w:val="0"/>
          <w:i/>
        </w:rPr>
        <w:tab/>
      </w:r>
      <w:r>
        <w:rPr>
          <w:b w:val="0"/>
          <w:i/>
        </w:rPr>
        <w:tab/>
      </w:r>
    </w:p>
    <w:p w:rsidR="00000000" w:rsidRDefault="00F90957">
      <w:pPr>
        <w:ind w:left="2700" w:hanging="2700"/>
      </w:pPr>
      <w:r>
        <w:rPr>
          <w:i/>
        </w:rPr>
        <w:t>N</w:t>
      </w:r>
      <w:r>
        <w:rPr>
          <w:i/>
          <w:vertAlign w:val="subscript"/>
        </w:rPr>
        <w:t>S</w:t>
      </w:r>
      <w:r>
        <w:rPr>
          <w:i/>
        </w:rPr>
        <w:t>(t)</w:t>
      </w:r>
      <w:r>
        <w:rPr>
          <w:i/>
        </w:rPr>
        <w:tab/>
      </w:r>
      <w:r>
        <w:t xml:space="preserve">number of shares sold between times </w:t>
      </w:r>
      <w:r>
        <w:rPr>
          <w:i/>
        </w:rPr>
        <w:t>t</w:t>
      </w:r>
      <w:r>
        <w:t xml:space="preserve"> </w:t>
      </w:r>
      <w:r>
        <w:t xml:space="preserve">and </w:t>
      </w:r>
      <w:r>
        <w:rPr>
          <w:i/>
        </w:rPr>
        <w:t>t</w:t>
      </w:r>
      <w:r>
        <w:t xml:space="preserve"> + 1</w:t>
      </w:r>
    </w:p>
    <w:p w:rsidR="00000000" w:rsidRDefault="00F90957">
      <w:pPr>
        <w:ind w:left="2700" w:hanging="2700"/>
        <w:rPr>
          <w:i/>
        </w:rPr>
      </w:pPr>
      <w:r>
        <w:rPr>
          <w:i/>
        </w:rPr>
        <w:t>P</w:t>
      </w:r>
      <w:r>
        <w:rPr>
          <w:i/>
          <w:vertAlign w:val="subscript"/>
        </w:rPr>
        <w:t>B</w:t>
      </w:r>
      <w:r>
        <w:rPr>
          <w:i/>
        </w:rPr>
        <w:t>(t)</w:t>
      </w:r>
      <w:r>
        <w:rPr>
          <w:i/>
        </w:rPr>
        <w:tab/>
      </w:r>
      <w:r>
        <w:t xml:space="preserve">average price of the </w:t>
      </w:r>
      <w:r>
        <w:rPr>
          <w:i/>
        </w:rPr>
        <w:t>N</w:t>
      </w:r>
      <w:r>
        <w:rPr>
          <w:i/>
          <w:vertAlign w:val="subscript"/>
        </w:rPr>
        <w:t>B</w:t>
      </w:r>
      <w:r>
        <w:t>(</w:t>
      </w:r>
      <w:r>
        <w:rPr>
          <w:i/>
        </w:rPr>
        <w:t>t</w:t>
      </w:r>
      <w:r>
        <w:t>) shares bought</w:t>
      </w:r>
    </w:p>
    <w:p w:rsidR="00000000" w:rsidRDefault="00F90957">
      <w:pPr>
        <w:ind w:left="2700" w:hanging="2700"/>
      </w:pPr>
      <w:r>
        <w:rPr>
          <w:i/>
        </w:rPr>
        <w:t>P</w:t>
      </w:r>
      <w:r>
        <w:rPr>
          <w:i/>
          <w:vertAlign w:val="subscript"/>
        </w:rPr>
        <w:t>S</w:t>
      </w:r>
      <w:r>
        <w:rPr>
          <w:i/>
        </w:rPr>
        <w:t>(t)</w:t>
      </w:r>
      <w:r>
        <w:rPr>
          <w:i/>
        </w:rPr>
        <w:tab/>
      </w:r>
      <w:r>
        <w:t xml:space="preserve">average price of the </w:t>
      </w:r>
      <w:r>
        <w:rPr>
          <w:i/>
        </w:rPr>
        <w:t>N</w:t>
      </w:r>
      <w:r>
        <w:rPr>
          <w:i/>
          <w:vertAlign w:val="subscript"/>
        </w:rPr>
        <w:t>S</w:t>
      </w:r>
      <w:r>
        <w:t>(</w:t>
      </w:r>
      <w:r>
        <w:rPr>
          <w:i/>
        </w:rPr>
        <w:t>t</w:t>
      </w:r>
      <w:r>
        <w:t>) shares sold</w:t>
      </w:r>
    </w:p>
    <w:p w:rsidR="00000000" w:rsidRDefault="00F90957">
      <w:pPr>
        <w:ind w:left="2700" w:hanging="2700"/>
      </w:pPr>
    </w:p>
    <w:p w:rsidR="00000000" w:rsidRDefault="00F90957">
      <w:r>
        <w:t xml:space="preserve">Now, the trading P/L </w:t>
      </w:r>
      <w:r>
        <w:rPr>
          <w:i/>
        </w:rPr>
        <w:sym w:font="Symbol" w:char="F070"/>
      </w:r>
      <w:r>
        <w:rPr>
          <w:i/>
        </w:rPr>
        <w:t xml:space="preserve">(t) </w:t>
      </w:r>
      <w:r>
        <w:t>is defined as</w:t>
      </w:r>
    </w:p>
    <w:p w:rsidR="00000000" w:rsidRDefault="00F90957"/>
    <w:p w:rsidR="00000000" w:rsidRDefault="00F90957">
      <w:pPr>
        <w:ind w:left="8252" w:hanging="8252"/>
      </w:pPr>
      <w:r>
        <w:rPr>
          <w:position w:val="-12"/>
        </w:rPr>
        <w:object w:dxaOrig="4060" w:dyaOrig="360">
          <v:shape id="_x0000_i1074" type="#_x0000_t75" style="width:203.25pt;height:18pt" o:ole="" fillcolor="window">
            <v:imagedata r:id="rId103" o:title=""/>
          </v:shape>
          <o:OLEObject Type="Embed" ProgID="Equation.3" ShapeID="_x0000_i1074" DrawAspect="Content" ObjectID="_1597673919" r:id="rId104"/>
        </w:object>
      </w:r>
      <w:r>
        <w:t>.</w:t>
      </w:r>
      <w:r>
        <w:tab/>
        <w:t>(4.14)</w:t>
      </w:r>
    </w:p>
    <w:p w:rsidR="00000000" w:rsidRDefault="00F90957"/>
    <w:p w:rsidR="00000000" w:rsidRDefault="00F90957">
      <w:r>
        <w:t>When calculating the return we assume that shares are bought and sold at the sa</w:t>
      </w:r>
      <w:r>
        <w:t>me price, thus separating the return due to trading P/L. This means that the cash flow is defined as follows:</w:t>
      </w:r>
    </w:p>
    <w:p w:rsidR="00000000" w:rsidRDefault="00F90957">
      <w:pPr>
        <w:pStyle w:val="Heading4"/>
        <w:rPr>
          <w:b w:val="0"/>
        </w:rPr>
      </w:pPr>
    </w:p>
    <w:p w:rsidR="00000000" w:rsidRDefault="00F90957">
      <w:pPr>
        <w:pStyle w:val="Heading4"/>
        <w:ind w:left="8252" w:hanging="8252"/>
        <w:rPr>
          <w:b w:val="0"/>
        </w:rPr>
      </w:pPr>
      <w:r>
        <w:rPr>
          <w:b w:val="0"/>
          <w:position w:val="-32"/>
        </w:rPr>
        <w:object w:dxaOrig="3000" w:dyaOrig="760">
          <v:shape id="_x0000_i1075" type="#_x0000_t75" style="width:150pt;height:38.25pt" o:ole="" fillcolor="window">
            <v:imagedata r:id="rId105" o:title=""/>
          </v:shape>
          <o:OLEObject Type="Embed" ProgID="Equation.3" ShapeID="_x0000_i1075" DrawAspect="Content" ObjectID="_1597673920" r:id="rId106"/>
        </w:object>
      </w:r>
      <w:r>
        <w:rPr>
          <w:b w:val="0"/>
        </w:rPr>
        <w:t xml:space="preserve">     </w:t>
      </w:r>
      <w:r>
        <w:rPr>
          <w:b w:val="0"/>
          <w:position w:val="-30"/>
        </w:rPr>
        <w:object w:dxaOrig="1460" w:dyaOrig="720">
          <v:shape id="_x0000_i1076" type="#_x0000_t75" style="width:72.75pt;height:36pt" o:ole="" fillcolor="window">
            <v:imagedata r:id="rId107" o:title=""/>
          </v:shape>
          <o:OLEObject Type="Embed" ProgID="Equation.3" ShapeID="_x0000_i1076" DrawAspect="Content" ObjectID="_1597673921" r:id="rId108"/>
        </w:object>
      </w:r>
      <w:r>
        <w:rPr>
          <w:b w:val="0"/>
        </w:rPr>
        <w:t>.</w:t>
      </w:r>
      <w:r>
        <w:rPr>
          <w:b w:val="0"/>
        </w:rPr>
        <w:tab/>
        <w:t>(4.15)</w:t>
      </w:r>
    </w:p>
    <w:p w:rsidR="00000000" w:rsidRDefault="00F90957"/>
    <w:p w:rsidR="00000000" w:rsidRDefault="00F90957">
      <w:r>
        <w:t>The return for the period [</w:t>
      </w:r>
      <w:r>
        <w:rPr>
          <w:i/>
        </w:rPr>
        <w:t>t, t</w:t>
      </w:r>
      <w:r>
        <w:t xml:space="preserve"> +1]</w:t>
      </w:r>
      <w:r>
        <w:rPr>
          <w:i/>
        </w:rPr>
        <w:t xml:space="preserve"> </w:t>
      </w:r>
      <w:r>
        <w:t xml:space="preserve">is </w:t>
      </w:r>
    </w:p>
    <w:p w:rsidR="00000000" w:rsidRDefault="00F90957"/>
    <w:p w:rsidR="00000000" w:rsidRDefault="00F90957">
      <w:pPr>
        <w:ind w:left="8252" w:hanging="8252"/>
      </w:pPr>
      <w:r>
        <w:rPr>
          <w:position w:val="-30"/>
        </w:rPr>
        <w:object w:dxaOrig="2520" w:dyaOrig="680">
          <v:shape id="_x0000_i1077" type="#_x0000_t75" style="width:126pt;height:33.75pt" o:ole="" fillcolor="window">
            <v:imagedata r:id="rId109" o:title=""/>
          </v:shape>
          <o:OLEObject Type="Embed" ProgID="Equation.3" ShapeID="_x0000_i1077" DrawAspect="Content" ObjectID="_1597673922" r:id="rId110"/>
        </w:object>
      </w:r>
      <w:r>
        <w:t xml:space="preserve">. </w:t>
      </w:r>
      <w:r>
        <w:tab/>
        <w:t>(4.16)</w:t>
      </w:r>
    </w:p>
    <w:p w:rsidR="00000000" w:rsidRDefault="00F90957">
      <w:pPr>
        <w:pStyle w:val="Heading4"/>
      </w:pPr>
    </w:p>
    <w:p w:rsidR="00000000" w:rsidRDefault="00F90957">
      <w:r>
        <w:t>If the nu</w:t>
      </w:r>
      <w:r>
        <w:t>merator and denominator in (4.15) have different signs</w:t>
      </w:r>
      <w:r>
        <w:rPr>
          <w:rStyle w:val="FootnoteReference"/>
        </w:rPr>
        <w:footnoteReference w:customMarkFollows="1" w:id="7"/>
        <w:t>3</w:t>
      </w:r>
      <w:r>
        <w:t xml:space="preserve"> the return will not make sense. If that can be resolved by putting the cash flow </w:t>
      </w:r>
      <w:r>
        <w:rPr>
          <w:i/>
          <w:iCs/>
        </w:rPr>
        <w:t>C</w:t>
      </w:r>
      <w:r>
        <w:t>(</w:t>
      </w:r>
      <w:r>
        <w:rPr>
          <w:i/>
          <w:iCs/>
        </w:rPr>
        <w:t>t</w:t>
      </w:r>
      <w:r>
        <w:t>) in the numerator, the return is set to</w:t>
      </w:r>
    </w:p>
    <w:p w:rsidR="00000000" w:rsidRDefault="00F90957"/>
    <w:p w:rsidR="00000000" w:rsidRDefault="00F90957">
      <w:pPr>
        <w:ind w:left="8252" w:hanging="8252"/>
      </w:pPr>
      <w:r>
        <w:rPr>
          <w:position w:val="-28"/>
        </w:rPr>
        <w:object w:dxaOrig="3120" w:dyaOrig="660">
          <v:shape id="_x0000_i1078" type="#_x0000_t75" style="width:156pt;height:33pt" o:ole="" fillcolor="window">
            <v:imagedata r:id="rId111" o:title=""/>
          </v:shape>
          <o:OLEObject Type="Embed" ProgID="Equation.3" ShapeID="_x0000_i1078" DrawAspect="Content" ObjectID="_1597673923" r:id="rId112"/>
        </w:object>
      </w:r>
      <w:r>
        <w:t>.</w:t>
      </w:r>
      <w:r>
        <w:tab/>
        <w:t>(4.17)</w:t>
      </w:r>
    </w:p>
    <w:p w:rsidR="00000000" w:rsidRDefault="00F90957"/>
    <w:p w:rsidR="00000000" w:rsidRDefault="00F90957">
      <w:pPr>
        <w:rPr>
          <w:b/>
        </w:rPr>
      </w:pPr>
      <w:r>
        <w:t xml:space="preserve">(4.16) is also used for the return if </w:t>
      </w:r>
      <w:r>
        <w:rPr>
          <w:i/>
        </w:rPr>
        <w:t>N</w:t>
      </w:r>
      <w:r>
        <w:t>(</w:t>
      </w:r>
      <w:r>
        <w:rPr>
          <w:i/>
        </w:rPr>
        <w:t>t</w:t>
      </w:r>
      <w:r>
        <w:t xml:space="preserve">+1) = 0. There are cases, though, where none of the above formulas will work. </w:t>
      </w:r>
    </w:p>
    <w:p w:rsidR="00000000" w:rsidRDefault="00F90957">
      <w:pPr>
        <w:pStyle w:val="Picture"/>
      </w:pPr>
      <w:r>
        <w:t xml:space="preserve">  The returns discussed this far do not include trading P/L. The actual cash flow into the portfolio equals the cash flow </w:t>
      </w:r>
      <w:r>
        <w:rPr>
          <w:i/>
        </w:rPr>
        <w:t>C</w:t>
      </w:r>
      <w:r>
        <w:t>(</w:t>
      </w:r>
      <w:r>
        <w:rPr>
          <w:i/>
        </w:rPr>
        <w:t>t</w:t>
      </w:r>
      <w:r>
        <w:t xml:space="preserve">) minus the trading P/L </w:t>
      </w:r>
      <w:r>
        <w:rPr>
          <w:i/>
        </w:rPr>
        <w:sym w:font="Symbol" w:char="F070"/>
      </w:r>
      <w:r>
        <w:t>(</w:t>
      </w:r>
      <w:r>
        <w:rPr>
          <w:i/>
        </w:rPr>
        <w:t>t</w:t>
      </w:r>
      <w:r>
        <w:t>)</w:t>
      </w:r>
      <w:r>
        <w:rPr>
          <w:rStyle w:val="FootnoteReference"/>
        </w:rPr>
        <w:footnoteReference w:customMarkFollows="1" w:id="8"/>
        <w:t>4</w:t>
      </w:r>
      <w:r>
        <w:t>:</w:t>
      </w:r>
    </w:p>
    <w:p w:rsidR="00000000" w:rsidRDefault="00F90957">
      <w:pPr>
        <w:pStyle w:val="Picture"/>
      </w:pPr>
    </w:p>
    <w:p w:rsidR="00000000" w:rsidRDefault="00F90957">
      <w:pPr>
        <w:pStyle w:val="Picture"/>
        <w:ind w:left="8252" w:hanging="8252"/>
      </w:pPr>
      <w:r>
        <w:rPr>
          <w:i/>
        </w:rPr>
        <w:t>total cash flow into</w:t>
      </w:r>
      <w:r>
        <w:rPr>
          <w:i/>
        </w:rPr>
        <w:t xml:space="preserve"> portfolio = </w:t>
      </w:r>
      <w:r>
        <w:rPr>
          <w:i/>
          <w:position w:val="-10"/>
        </w:rPr>
        <w:object w:dxaOrig="1100" w:dyaOrig="320">
          <v:shape id="_x0000_i1079" type="#_x0000_t75" style="width:54.75pt;height:15.75pt" o:ole="" fillcolor="window">
            <v:imagedata r:id="rId113" o:title=""/>
          </v:shape>
          <o:OLEObject Type="Embed" ProgID="Equation.3" ShapeID="_x0000_i1079" DrawAspect="Content" ObjectID="_1597673924" r:id="rId114"/>
        </w:object>
      </w:r>
      <w:r>
        <w:t>.</w:t>
      </w:r>
      <w:r>
        <w:tab/>
        <w:t>(4.18)</w:t>
      </w:r>
    </w:p>
    <w:p w:rsidR="00000000" w:rsidRDefault="00F90957">
      <w:pPr>
        <w:pStyle w:val="Picture"/>
      </w:pPr>
    </w:p>
    <w:p w:rsidR="00000000" w:rsidRDefault="00F90957">
      <w:pPr>
        <w:pStyle w:val="Picture"/>
      </w:pPr>
      <w:r>
        <w:t xml:space="preserve">A return including trading P/L could be defined as </w:t>
      </w:r>
    </w:p>
    <w:p w:rsidR="00000000" w:rsidRDefault="00F90957">
      <w:pPr>
        <w:pStyle w:val="Picture"/>
      </w:pPr>
    </w:p>
    <w:p w:rsidR="00000000" w:rsidRDefault="00F90957">
      <w:pPr>
        <w:pStyle w:val="Picture"/>
        <w:ind w:left="8252" w:hanging="8252"/>
      </w:pPr>
      <w:r>
        <w:rPr>
          <w:position w:val="-28"/>
        </w:rPr>
        <w:object w:dxaOrig="3460" w:dyaOrig="660">
          <v:shape id="_x0000_i1080" type="#_x0000_t75" style="width:173.25pt;height:33pt" o:ole="" fillcolor="window">
            <v:imagedata r:id="rId115" o:title=""/>
          </v:shape>
          <o:OLEObject Type="Embed" ProgID="Equation.3" ShapeID="_x0000_i1080" DrawAspect="Content" ObjectID="_1597673925" r:id="rId116"/>
        </w:object>
      </w:r>
      <w:r>
        <w:t>,</w:t>
      </w:r>
      <w:r>
        <w:tab/>
        <w:t>(4.19)</w:t>
      </w:r>
    </w:p>
    <w:p w:rsidR="00000000" w:rsidRDefault="00F90957">
      <w:pPr>
        <w:pStyle w:val="Picture"/>
      </w:pPr>
    </w:p>
    <w:p w:rsidR="00000000" w:rsidRDefault="00F90957">
      <w:pPr>
        <w:pStyle w:val="Picture"/>
      </w:pPr>
      <w:r>
        <w:t xml:space="preserve">and the return </w:t>
      </w:r>
      <w:r>
        <w:rPr>
          <w:i/>
        </w:rPr>
        <w:t>r</w:t>
      </w:r>
      <w:r>
        <w:rPr>
          <w:vertAlign w:val="superscript"/>
        </w:rPr>
        <w:t xml:space="preserve">P/L </w:t>
      </w:r>
      <w:r>
        <w:t>due to trading P/L would then be</w:t>
      </w:r>
    </w:p>
    <w:p w:rsidR="00000000" w:rsidRDefault="00F90957">
      <w:pPr>
        <w:pStyle w:val="Picture"/>
      </w:pPr>
    </w:p>
    <w:p w:rsidR="00000000" w:rsidRDefault="00F90957">
      <w:pPr>
        <w:pStyle w:val="Picture"/>
        <w:ind w:left="8252" w:hanging="8252"/>
      </w:pPr>
      <w:r>
        <w:rPr>
          <w:position w:val="-28"/>
        </w:rPr>
        <w:object w:dxaOrig="5740" w:dyaOrig="660">
          <v:shape id="_x0000_i1081" type="#_x0000_t75" style="width:287.25pt;height:33pt" o:ole="" fillcolor="window">
            <v:imagedata r:id="rId117" o:title=""/>
          </v:shape>
          <o:OLEObject Type="Embed" ProgID="Equation.3" ShapeID="_x0000_i1081" DrawAspect="Content" ObjectID="_1597673926" r:id="rId118"/>
        </w:object>
      </w:r>
      <w:r>
        <w:t>.</w:t>
      </w:r>
      <w:r>
        <w:tab/>
        <w:t>(4.20)</w:t>
      </w:r>
    </w:p>
    <w:p w:rsidR="00000000" w:rsidRDefault="00F90957">
      <w:pPr>
        <w:pStyle w:val="Picture"/>
      </w:pPr>
    </w:p>
    <w:p w:rsidR="00000000" w:rsidRDefault="00F90957">
      <w:pPr>
        <w:pStyle w:val="Picture"/>
      </w:pPr>
      <w:r>
        <w:t xml:space="preserve">If the number of shares at the time </w:t>
      </w:r>
      <w:r>
        <w:rPr>
          <w:i/>
        </w:rPr>
        <w:t>t</w:t>
      </w:r>
      <w:r>
        <w:t xml:space="preserve">+1 is negative, i.e. </w:t>
      </w:r>
      <w:r>
        <w:rPr>
          <w:i/>
        </w:rPr>
        <w:t>N</w:t>
      </w:r>
      <w:r>
        <w:t>(</w:t>
      </w:r>
      <w:r>
        <w:rPr>
          <w:i/>
        </w:rPr>
        <w:t>t</w:t>
      </w:r>
      <w:r>
        <w:t>+1) &lt; 0,  the formula (4.16) is altered according to</w:t>
      </w:r>
    </w:p>
    <w:p w:rsidR="00000000" w:rsidRDefault="00F90957">
      <w:pPr>
        <w:pStyle w:val="Heading4"/>
      </w:pPr>
    </w:p>
    <w:p w:rsidR="00000000" w:rsidRDefault="00F90957">
      <w:pPr>
        <w:pStyle w:val="Heading4"/>
        <w:ind w:left="8252" w:hanging="8252"/>
      </w:pPr>
      <w:r>
        <w:rPr>
          <w:position w:val="-28"/>
        </w:rPr>
        <w:object w:dxaOrig="2700" w:dyaOrig="660">
          <v:shape id="_x0000_i1082" type="#_x0000_t75" style="width:135pt;height:33pt" o:ole="" fillcolor="window">
            <v:imagedata r:id="rId119" o:title=""/>
          </v:shape>
          <o:OLEObject Type="Embed" ProgID="Equation.3" ShapeID="_x0000_i1082" DrawAspect="Content" ObjectID="_1597673927" r:id="rId120"/>
        </w:object>
      </w:r>
      <w:r>
        <w:t>,</w:t>
      </w:r>
      <w:r>
        <w:tab/>
      </w:r>
      <w:r>
        <w:rPr>
          <w:b w:val="0"/>
          <w:bCs w:val="0"/>
        </w:rPr>
        <w:t>(4.21)</w:t>
      </w:r>
    </w:p>
    <w:p w:rsidR="00000000" w:rsidRDefault="00F90957">
      <w:pPr>
        <w:pStyle w:val="Heading4"/>
      </w:pPr>
    </w:p>
    <w:p w:rsidR="00000000" w:rsidRDefault="00F90957">
      <w:r>
        <w:t xml:space="preserve">where the assumption is made that the denominator also is less than zero. Or, if (4.17) is used, </w:t>
      </w:r>
    </w:p>
    <w:p w:rsidR="00000000" w:rsidRDefault="00F90957">
      <w:r>
        <w:t xml:space="preserve">the same change is made if </w:t>
      </w:r>
      <w:r>
        <w:rPr>
          <w:i/>
        </w:rPr>
        <w:t>N</w:t>
      </w:r>
      <w:r>
        <w:t>(</w:t>
      </w:r>
      <w:r>
        <w:rPr>
          <w:i/>
        </w:rPr>
        <w:t>t</w:t>
      </w:r>
      <w:r>
        <w:t>) &lt; 0:</w:t>
      </w:r>
    </w:p>
    <w:p w:rsidR="00000000" w:rsidRDefault="00F90957"/>
    <w:p w:rsidR="00000000" w:rsidRDefault="00F90957">
      <w:pPr>
        <w:ind w:left="8252" w:hanging="8252"/>
      </w:pPr>
      <w:r>
        <w:t xml:space="preserve"> </w:t>
      </w:r>
      <w:r>
        <w:rPr>
          <w:position w:val="-28"/>
        </w:rPr>
        <w:object w:dxaOrig="3300" w:dyaOrig="660">
          <v:shape id="_x0000_i1083" type="#_x0000_t75" style="width:165pt;height:33pt" o:ole="" fillcolor="window">
            <v:imagedata r:id="rId121" o:title=""/>
          </v:shape>
          <o:OLEObject Type="Embed" ProgID="Equation.3" ShapeID="_x0000_i1083" DrawAspect="Content" ObjectID="_1597673928" r:id="rId122"/>
        </w:object>
      </w:r>
      <w:r>
        <w:t>.</w:t>
      </w:r>
      <w:r>
        <w:tab/>
        <w:t>(4.22)</w:t>
      </w:r>
    </w:p>
    <w:p w:rsidR="00000000" w:rsidRDefault="00F90957"/>
    <w:p w:rsidR="00000000" w:rsidRDefault="00F90957">
      <w:pPr>
        <w:pStyle w:val="Heading3"/>
      </w:pPr>
      <w:bookmarkStart w:id="21" w:name="_Toc38162681"/>
      <w:r>
        <w:t>4.3.2 A general portfolio</w:t>
      </w:r>
      <w:bookmarkEnd w:id="21"/>
    </w:p>
    <w:p w:rsidR="00000000" w:rsidRDefault="00F90957">
      <w:r>
        <w:t xml:space="preserve">The discussion in the previous section can be generalised to cover any portfolio. The portfolio return is </w:t>
      </w:r>
    </w:p>
    <w:p w:rsidR="00000000" w:rsidRDefault="00F90957"/>
    <w:p w:rsidR="00000000" w:rsidRDefault="00F90957">
      <w:pPr>
        <w:ind w:left="8252" w:hanging="8252"/>
      </w:pPr>
      <w:r>
        <w:rPr>
          <w:position w:val="-48"/>
        </w:rPr>
        <w:object w:dxaOrig="5580" w:dyaOrig="1080">
          <v:shape id="_x0000_i1084" type="#_x0000_t75" style="width:279pt;height:54pt" o:ole="" fillcolor="window">
            <v:imagedata r:id="rId123" o:title=""/>
          </v:shape>
          <o:OLEObject Type="Embed" ProgID="Equation.3" ShapeID="_x0000_i1084" DrawAspect="Content" ObjectID="_1597673929" r:id="rId124"/>
        </w:object>
      </w:r>
      <w:r>
        <w:t>,</w:t>
      </w:r>
      <w:r>
        <w:tab/>
        <w:t>(4.23)</w:t>
      </w:r>
    </w:p>
    <w:p w:rsidR="00000000" w:rsidRDefault="00F90957"/>
    <w:p w:rsidR="00000000" w:rsidRDefault="00F90957">
      <w:r>
        <w:t>where the sum is over all securities in the portfolio and the as</w:t>
      </w:r>
      <w:r>
        <w:t xml:space="preserve">sumption is made that the numerator and denominator have the same sign. For most real world portfolios this should be true as the daily inflows or outflows normally are much smaller than the portfolio value. However, for a small sector of the portfolio it </w:t>
      </w:r>
      <w:r>
        <w:t>might not be true. The return of a portfolio can also be written as a weighted sum of the sub-portfolio returns,</w:t>
      </w:r>
    </w:p>
    <w:p w:rsidR="00000000" w:rsidRDefault="00F90957"/>
    <w:p w:rsidR="00000000" w:rsidRDefault="00F90957">
      <w:pPr>
        <w:ind w:left="8252" w:hanging="8252"/>
      </w:pPr>
      <w:r>
        <w:rPr>
          <w:position w:val="-28"/>
        </w:rPr>
        <w:object w:dxaOrig="2160" w:dyaOrig="540">
          <v:shape id="_x0000_i1085" type="#_x0000_t75" style="width:108pt;height:27pt" o:ole="" fillcolor="window">
            <v:imagedata r:id="rId125" o:title=""/>
          </v:shape>
          <o:OLEObject Type="Embed" ProgID="Equation.3" ShapeID="_x0000_i1085" DrawAspect="Content" ObjectID="_1597673930" r:id="rId126"/>
        </w:object>
      </w:r>
      <w:r>
        <w:t>.</w:t>
      </w:r>
      <w:r>
        <w:tab/>
        <w:t>(4.24)</w:t>
      </w:r>
    </w:p>
    <w:p w:rsidR="00000000" w:rsidRDefault="00F90957"/>
    <w:p w:rsidR="00000000" w:rsidRDefault="00F90957">
      <w:pPr>
        <w:pStyle w:val="Picture"/>
      </w:pPr>
      <w:r>
        <w:t xml:space="preserve">Assuming that the sector returns can be defined according to (4.16) and (4.21) the weights are </w:t>
      </w:r>
    </w:p>
    <w:p w:rsidR="00000000" w:rsidRDefault="00F90957"/>
    <w:p w:rsidR="00000000" w:rsidRDefault="00F90957">
      <w:pPr>
        <w:ind w:left="8252" w:hanging="8252"/>
      </w:pPr>
      <w:r>
        <w:rPr>
          <w:position w:val="-48"/>
        </w:rPr>
        <w:object w:dxaOrig="2580" w:dyaOrig="900">
          <v:shape id="_x0000_i1086" type="#_x0000_t75" style="width:129pt;height:45pt" o:ole="" fillcolor="window">
            <v:imagedata r:id="rId127" o:title=""/>
          </v:shape>
          <o:OLEObject Type="Embed" ProgID="Equation.3" ShapeID="_x0000_i1086" DrawAspect="Content" ObjectID="_1597673931" r:id="rId128"/>
        </w:object>
      </w:r>
      <w:r>
        <w:t xml:space="preserve"> </w:t>
      </w:r>
      <w:r>
        <w:tab/>
        <w:t>(4.25)</w:t>
      </w:r>
    </w:p>
    <w:p w:rsidR="00000000" w:rsidRDefault="00F90957">
      <w:r>
        <w:t xml:space="preserve"> </w:t>
      </w:r>
    </w:p>
    <w:p w:rsidR="00000000" w:rsidRDefault="00F90957">
      <w:pPr>
        <w:pStyle w:val="Picture"/>
      </w:pPr>
      <w:r>
        <w:t>where</w:t>
      </w:r>
    </w:p>
    <w:p w:rsidR="00000000" w:rsidRDefault="00F90957">
      <w:pPr>
        <w:pStyle w:val="Picture"/>
      </w:pPr>
    </w:p>
    <w:p w:rsidR="00000000" w:rsidRDefault="00F90957">
      <w:pPr>
        <w:pStyle w:val="Picture"/>
        <w:ind w:left="8252" w:hanging="8252"/>
      </w:pPr>
      <w:r>
        <w:rPr>
          <w:position w:val="-32"/>
        </w:rPr>
        <w:object w:dxaOrig="1620" w:dyaOrig="580">
          <v:shape id="_x0000_i1087" type="#_x0000_t75" style="width:81pt;height:29.25pt" o:ole="" fillcolor="window">
            <v:imagedata r:id="rId129" o:title=""/>
          </v:shape>
          <o:OLEObject Type="Embed" ProgID="Equation.3" ShapeID="_x0000_i1087" DrawAspect="Content" ObjectID="_1597673932" r:id="rId130"/>
        </w:object>
      </w:r>
      <w:r>
        <w:tab/>
        <w:t>(4.26)</w:t>
      </w:r>
    </w:p>
    <w:p w:rsidR="00000000" w:rsidRDefault="00F90957">
      <w:pPr>
        <w:pStyle w:val="Picture"/>
      </w:pPr>
    </w:p>
    <w:p w:rsidR="00000000" w:rsidRDefault="00F90957">
      <w:pPr>
        <w:pStyle w:val="Picture"/>
      </w:pPr>
      <w:r>
        <w:t xml:space="preserve">with summation over all the securities belonging to sector </w:t>
      </w:r>
      <w:r>
        <w:rPr>
          <w:i/>
        </w:rPr>
        <w:t>s</w:t>
      </w:r>
      <w:r>
        <w:t>.</w:t>
      </w:r>
    </w:p>
    <w:p w:rsidR="00000000" w:rsidRDefault="00F90957">
      <w:pPr>
        <w:pStyle w:val="Picture"/>
        <w:rPr>
          <w:b/>
          <w:sz w:val="28"/>
        </w:rPr>
      </w:pPr>
    </w:p>
    <w:p w:rsidR="00000000" w:rsidRDefault="00F90957">
      <w:pPr>
        <w:pStyle w:val="Heading1"/>
      </w:pPr>
      <w:bookmarkStart w:id="22" w:name="_Toc38162682"/>
      <w:r>
        <w:t>5 Multi-period attribution analysis</w:t>
      </w:r>
      <w:bookmarkEnd w:id="22"/>
    </w:p>
    <w:p w:rsidR="00000000" w:rsidRDefault="00F90957">
      <w:r>
        <w:t xml:space="preserve"> If an attribution analysis is made over a long period it is possible that the sector weights wi</w:t>
      </w:r>
      <w:r>
        <w:t>ll change considerably from the beginning weights. In that case, one might ask whether the attribution analysis gives a true picture of how the management decisions have contributed to the excess return. Consider the following example:</w:t>
      </w:r>
    </w:p>
    <w:p w:rsidR="00000000" w:rsidRDefault="00F90957"/>
    <w:p w:rsidR="00000000" w:rsidRDefault="00F90957">
      <w:pPr>
        <w:ind w:left="180"/>
      </w:pPr>
      <w:r>
        <w:t>The market is divid</w:t>
      </w:r>
      <w:r>
        <w:t>ed into two sectors, equity and fixed income. The following notation is used for the weights and returns of the portfolio:</w:t>
      </w:r>
    </w:p>
    <w:p w:rsidR="00000000" w:rsidRDefault="00F90957">
      <w:pPr>
        <w:ind w:left="180"/>
      </w:pPr>
    </w:p>
    <w:p w:rsidR="00000000" w:rsidRDefault="00F90957">
      <w:pPr>
        <w:ind w:left="180"/>
      </w:pPr>
      <w:r>
        <w:rPr>
          <w:position w:val="-12"/>
        </w:rPr>
        <w:object w:dxaOrig="740" w:dyaOrig="380">
          <v:shape id="_x0000_i1088" type="#_x0000_t75" style="width:36.75pt;height:18.75pt" o:ole="">
            <v:imagedata r:id="rId131" o:title=""/>
          </v:shape>
          <o:OLEObject Type="Embed" ProgID="Equation.3" ShapeID="_x0000_i1088" DrawAspect="Content" ObjectID="_1597673933" r:id="rId132"/>
        </w:object>
      </w:r>
      <w:r>
        <w:tab/>
        <w:t>the return in the equity (fixed income) sector for the whole period.</w:t>
      </w:r>
    </w:p>
    <w:p w:rsidR="00000000" w:rsidRDefault="00F90957">
      <w:pPr>
        <w:ind w:left="180"/>
      </w:pPr>
      <w:r>
        <w:rPr>
          <w:position w:val="-14"/>
        </w:rPr>
        <w:object w:dxaOrig="800" w:dyaOrig="400">
          <v:shape id="_x0000_i1089" type="#_x0000_t75" style="width:39.75pt;height:20.25pt" o:ole="">
            <v:imagedata r:id="rId133" o:title=""/>
          </v:shape>
          <o:OLEObject Type="Embed" ProgID="Equation.3" ShapeID="_x0000_i1089" DrawAspect="Content" ObjectID="_1597673934" r:id="rId134"/>
        </w:object>
      </w:r>
      <w:r>
        <w:tab/>
        <w:t>the return in t</w:t>
      </w:r>
      <w:r>
        <w:t>he equity (fixed income) sector for the first half of the period.</w:t>
      </w:r>
    </w:p>
    <w:p w:rsidR="00000000" w:rsidRDefault="00F90957">
      <w:pPr>
        <w:ind w:left="180"/>
      </w:pPr>
      <w:r>
        <w:rPr>
          <w:position w:val="-14"/>
        </w:rPr>
        <w:object w:dxaOrig="840" w:dyaOrig="400">
          <v:shape id="_x0000_i1090" type="#_x0000_t75" style="width:42pt;height:20.25pt" o:ole="">
            <v:imagedata r:id="rId135" o:title=""/>
          </v:shape>
          <o:OLEObject Type="Embed" ProgID="Equation.3" ShapeID="_x0000_i1090" DrawAspect="Content" ObjectID="_1597673935" r:id="rId136"/>
        </w:object>
      </w:r>
      <w:r>
        <w:tab/>
        <w:t xml:space="preserve">the return in the equity (fixed income) sector for the second half of the period. </w:t>
      </w:r>
    </w:p>
    <w:p w:rsidR="00000000" w:rsidRDefault="00F90957">
      <w:pPr>
        <w:ind w:left="180"/>
      </w:pPr>
      <w:r>
        <w:rPr>
          <w:position w:val="-12"/>
        </w:rPr>
        <w:object w:dxaOrig="859" w:dyaOrig="380">
          <v:shape id="_x0000_i1091" type="#_x0000_t75" style="width:42.75pt;height:18.75pt" o:ole="">
            <v:imagedata r:id="rId137" o:title=""/>
          </v:shape>
          <o:OLEObject Type="Embed" ProgID="Equation.3" ShapeID="_x0000_i1091" DrawAspect="Content" ObjectID="_1597673936" r:id="rId138"/>
        </w:object>
      </w:r>
      <w:r>
        <w:tab/>
        <w:t>the weight in the equity (fixed income) sector at the start</w:t>
      </w:r>
      <w:r>
        <w:t xml:space="preserve"> of the period.</w:t>
      </w:r>
    </w:p>
    <w:p w:rsidR="00000000" w:rsidRDefault="00F90957">
      <w:pPr>
        <w:ind w:left="180"/>
      </w:pPr>
      <w:r>
        <w:rPr>
          <w:position w:val="-14"/>
        </w:rPr>
        <w:object w:dxaOrig="1020" w:dyaOrig="400">
          <v:shape id="_x0000_i1092" type="#_x0000_t75" style="width:51pt;height:20.25pt" o:ole="">
            <v:imagedata r:id="rId139" o:title=""/>
          </v:shape>
          <o:OLEObject Type="Embed" ProgID="Equation.3" ShapeID="_x0000_i1092" DrawAspect="Content" ObjectID="_1597673937" r:id="rId140"/>
        </w:object>
      </w:r>
      <w:r>
        <w:tab/>
        <w:t>the weight in the equity (fixed income) sector at the middle of the period.</w:t>
      </w:r>
    </w:p>
    <w:p w:rsidR="00000000" w:rsidRDefault="00F90957">
      <w:pPr>
        <w:ind w:left="180"/>
      </w:pPr>
    </w:p>
    <w:p w:rsidR="00000000" w:rsidRDefault="00F90957">
      <w:pPr>
        <w:ind w:left="180"/>
      </w:pPr>
      <w:r>
        <w:t xml:space="preserve">Similarly, for the benchmark the whole period return in the equity sector is denoted </w:t>
      </w:r>
      <w:r>
        <w:rPr>
          <w:position w:val="-12"/>
        </w:rPr>
        <w:object w:dxaOrig="300" w:dyaOrig="380">
          <v:shape id="_x0000_i1093" type="#_x0000_t75" style="width:15pt;height:18.75pt" o:ole="">
            <v:imagedata r:id="rId141" o:title=""/>
          </v:shape>
          <o:OLEObject Type="Embed" ProgID="Equation.3" ShapeID="_x0000_i1093" DrawAspect="Content" ObjectID="_1597673938" r:id="rId142"/>
        </w:object>
      </w:r>
      <w:r>
        <w:t>.</w:t>
      </w:r>
    </w:p>
    <w:p w:rsidR="00000000" w:rsidRDefault="00F90957">
      <w:pPr>
        <w:ind w:left="180"/>
      </w:pPr>
      <w:r>
        <w:t xml:space="preserve">The asset allocation manager </w:t>
      </w:r>
      <w:r>
        <w:t>has chosen a passive strategy, i. e. at the start of the measurement period we have:</w:t>
      </w:r>
    </w:p>
    <w:p w:rsidR="00000000" w:rsidRDefault="00F90957">
      <w:pPr>
        <w:ind w:left="180"/>
      </w:pPr>
    </w:p>
    <w:p w:rsidR="00000000" w:rsidRDefault="00F90957">
      <w:pPr>
        <w:ind w:left="8252" w:hanging="8072"/>
      </w:pPr>
      <w:r>
        <w:rPr>
          <w:position w:val="-12"/>
        </w:rPr>
        <w:object w:dxaOrig="920" w:dyaOrig="380">
          <v:shape id="_x0000_i1094" type="#_x0000_t75" style="width:45.75pt;height:18.75pt" o:ole="" fillcolor="window">
            <v:imagedata r:id="rId143" o:title=""/>
          </v:shape>
          <o:OLEObject Type="Embed" ProgID="Equation.3" ShapeID="_x0000_i1094" DrawAspect="Content" ObjectID="_1597673939" r:id="rId144"/>
        </w:object>
      </w:r>
      <w:r>
        <w:t xml:space="preserve"> , </w:t>
      </w:r>
      <w:r>
        <w:rPr>
          <w:position w:val="-12"/>
        </w:rPr>
        <w:object w:dxaOrig="920" w:dyaOrig="380">
          <v:shape id="_x0000_i1095" type="#_x0000_t75" style="width:45.75pt;height:18.75pt" o:ole="" fillcolor="window">
            <v:imagedata r:id="rId145" o:title=""/>
          </v:shape>
          <o:OLEObject Type="Embed" ProgID="Equation.3" ShapeID="_x0000_i1095" DrawAspect="Content" ObjectID="_1597673940" r:id="rId146"/>
        </w:object>
      </w:r>
      <w:r>
        <w:t>.</w:t>
      </w:r>
      <w:r>
        <w:tab/>
        <w:t>(5.1)</w:t>
      </w:r>
    </w:p>
    <w:p w:rsidR="00000000" w:rsidRDefault="00F90957">
      <w:pPr>
        <w:ind w:left="180"/>
      </w:pPr>
    </w:p>
    <w:p w:rsidR="00000000" w:rsidRDefault="00F90957">
      <w:pPr>
        <w:ind w:left="180"/>
      </w:pPr>
      <w:r>
        <w:t>The returns for the portfolio and benchmark over the measurement period were:</w:t>
      </w:r>
    </w:p>
    <w:p w:rsidR="00000000" w:rsidRDefault="00F90957">
      <w:pPr>
        <w:ind w:left="180"/>
      </w:pPr>
      <w:r>
        <w:t xml:space="preserve"> </w:t>
      </w:r>
    </w:p>
    <w:p w:rsidR="00000000" w:rsidRDefault="00F90957">
      <w:pPr>
        <w:ind w:left="8252" w:hanging="8072"/>
      </w:pPr>
      <w:r>
        <w:rPr>
          <w:position w:val="-12"/>
        </w:rPr>
        <w:object w:dxaOrig="740" w:dyaOrig="380">
          <v:shape id="_x0000_i1096" type="#_x0000_t75" style="width:36.75pt;height:18.75pt" o:ole="" fillcolor="window">
            <v:imagedata r:id="rId147" o:title=""/>
          </v:shape>
          <o:OLEObject Type="Embed" ProgID="Equation.3" ShapeID="_x0000_i1096" DrawAspect="Content" ObjectID="_1597673941" r:id="rId148"/>
        </w:object>
      </w:r>
      <w:r>
        <w:t xml:space="preserve"> ,  </w:t>
      </w:r>
      <w:r>
        <w:rPr>
          <w:position w:val="-12"/>
        </w:rPr>
        <w:object w:dxaOrig="740" w:dyaOrig="380">
          <v:shape id="_x0000_i1097" type="#_x0000_t75" style="width:36.75pt;height:18.75pt" o:ole="" fillcolor="window">
            <v:imagedata r:id="rId149" o:title=""/>
          </v:shape>
          <o:OLEObject Type="Embed" ProgID="Equation.3" ShapeID="_x0000_i1097" DrawAspect="Content" ObjectID="_1597673942" r:id="rId150"/>
        </w:object>
      </w:r>
      <w:r>
        <w:t xml:space="preserve"> ,  </w:t>
      </w:r>
      <w:r>
        <w:rPr>
          <w:position w:val="-12"/>
        </w:rPr>
        <w:object w:dxaOrig="700" w:dyaOrig="380">
          <v:shape id="_x0000_i1098" type="#_x0000_t75" style="width:35.25pt;height:18.75pt" o:ole="" fillcolor="window">
            <v:imagedata r:id="rId151" o:title=""/>
          </v:shape>
          <o:OLEObject Type="Embed" ProgID="Equation.3" ShapeID="_x0000_i1098" DrawAspect="Content" ObjectID="_1597673943" r:id="rId152"/>
        </w:object>
      </w:r>
      <w:r>
        <w:t xml:space="preserve"> ,  </w:t>
      </w:r>
      <w:r>
        <w:rPr>
          <w:position w:val="-12"/>
        </w:rPr>
        <w:object w:dxaOrig="740" w:dyaOrig="380">
          <v:shape id="_x0000_i1099" type="#_x0000_t75" style="width:36.75pt;height:18.75pt" o:ole="" fillcolor="window">
            <v:imagedata r:id="rId153" o:title=""/>
          </v:shape>
          <o:OLEObject Type="Embed" ProgID="Equation.3" ShapeID="_x0000_i1099" DrawAspect="Content" ObjectID="_1597673944" r:id="rId154"/>
        </w:object>
      </w:r>
      <w:r>
        <w:t xml:space="preserve">.   </w:t>
      </w:r>
      <w:r>
        <w:tab/>
        <w:t>(5.2)</w:t>
      </w:r>
    </w:p>
    <w:p w:rsidR="00000000" w:rsidRDefault="00F90957">
      <w:pPr>
        <w:ind w:left="180"/>
      </w:pPr>
    </w:p>
    <w:p w:rsidR="00000000" w:rsidRDefault="00F90957">
      <w:pPr>
        <w:ind w:left="180"/>
      </w:pPr>
      <w:r>
        <w:t xml:space="preserve">The excess return for the period is </w:t>
      </w:r>
      <w:r>
        <w:rPr>
          <w:i/>
          <w:iCs/>
        </w:rPr>
        <w:t>w</w:t>
      </w:r>
      <w:r>
        <w:rPr>
          <w:i/>
          <w:iCs/>
          <w:vertAlign w:val="subscript"/>
        </w:rPr>
        <w:t>e</w:t>
      </w:r>
      <w:r>
        <w:rPr>
          <w:i/>
          <w:iCs/>
          <w:vertAlign w:val="superscript"/>
        </w:rPr>
        <w:t>P</w:t>
      </w:r>
      <w:r>
        <w:rPr>
          <w:i/>
          <w:iCs/>
        </w:rPr>
        <w:t>r</w:t>
      </w:r>
      <w:r>
        <w:rPr>
          <w:i/>
          <w:iCs/>
          <w:vertAlign w:val="subscript"/>
        </w:rPr>
        <w:t>e</w:t>
      </w:r>
      <w:r>
        <w:t xml:space="preserve"> and an attribution analysis over the whole period shows that this is solely due to security selection within the equity sector. Ho</w:t>
      </w:r>
      <w:r>
        <w:t>wever, suppose that the return for the portfolio and the benchmark for the first half of the period were:</w:t>
      </w:r>
    </w:p>
    <w:p w:rsidR="00000000" w:rsidRDefault="00F90957">
      <w:pPr>
        <w:ind w:left="180"/>
      </w:pPr>
    </w:p>
    <w:p w:rsidR="00000000" w:rsidRDefault="00F90957">
      <w:pPr>
        <w:ind w:left="8252" w:hanging="8072"/>
      </w:pPr>
      <w:r>
        <w:t xml:space="preserve"> </w:t>
      </w:r>
      <w:r>
        <w:rPr>
          <w:position w:val="-14"/>
        </w:rPr>
        <w:object w:dxaOrig="740" w:dyaOrig="400">
          <v:shape id="_x0000_i1100" type="#_x0000_t75" style="width:36.75pt;height:20.25pt" o:ole="" fillcolor="window">
            <v:imagedata r:id="rId155" o:title=""/>
          </v:shape>
          <o:OLEObject Type="Embed" ProgID="Equation.3" ShapeID="_x0000_i1100" DrawAspect="Content" ObjectID="_1597673945" r:id="rId156"/>
        </w:object>
      </w:r>
      <w:r>
        <w:t xml:space="preserve"> ,  </w:t>
      </w:r>
      <w:r>
        <w:rPr>
          <w:position w:val="-14"/>
        </w:rPr>
        <w:object w:dxaOrig="720" w:dyaOrig="400">
          <v:shape id="_x0000_i1101" type="#_x0000_t75" style="width:36pt;height:20.25pt" o:ole="" fillcolor="window">
            <v:imagedata r:id="rId157" o:title=""/>
          </v:shape>
          <o:OLEObject Type="Embed" ProgID="Equation.3" ShapeID="_x0000_i1101" DrawAspect="Content" ObjectID="_1597673946" r:id="rId158"/>
        </w:object>
      </w:r>
      <w:r>
        <w:t xml:space="preserve"> ,  </w:t>
      </w:r>
      <w:r>
        <w:rPr>
          <w:position w:val="-14"/>
        </w:rPr>
        <w:object w:dxaOrig="720" w:dyaOrig="400">
          <v:shape id="_x0000_i1102" type="#_x0000_t75" style="width:36pt;height:20.25pt" o:ole="" fillcolor="window">
            <v:imagedata r:id="rId159" o:title=""/>
          </v:shape>
          <o:OLEObject Type="Embed" ProgID="Equation.3" ShapeID="_x0000_i1102" DrawAspect="Content" ObjectID="_1597673947" r:id="rId160"/>
        </w:object>
      </w:r>
      <w:r>
        <w:t xml:space="preserve"> ,  </w:t>
      </w:r>
      <w:r>
        <w:rPr>
          <w:position w:val="-14"/>
        </w:rPr>
        <w:object w:dxaOrig="720" w:dyaOrig="400">
          <v:shape id="_x0000_i1103" type="#_x0000_t75" style="width:36pt;height:20.25pt" o:ole="" fillcolor="window">
            <v:imagedata r:id="rId161" o:title=""/>
          </v:shape>
          <o:OLEObject Type="Embed" ProgID="Equation.3" ShapeID="_x0000_i1103" DrawAspect="Content" ObjectID="_1597673948" r:id="rId162"/>
        </w:object>
      </w:r>
      <w:r>
        <w:t xml:space="preserve">.   </w:t>
      </w:r>
      <w:r>
        <w:tab/>
        <w:t>(5.3)</w:t>
      </w:r>
    </w:p>
    <w:p w:rsidR="00000000" w:rsidRDefault="00F90957">
      <w:pPr>
        <w:ind w:left="180"/>
      </w:pPr>
    </w:p>
    <w:p w:rsidR="00000000" w:rsidRDefault="00F90957">
      <w:pPr>
        <w:ind w:left="180"/>
      </w:pPr>
      <w:r>
        <w:t xml:space="preserve">This means that the returns for </w:t>
      </w:r>
      <w:r>
        <w:t>the second half of the period must have been:</w:t>
      </w:r>
    </w:p>
    <w:p w:rsidR="00000000" w:rsidRDefault="00F90957">
      <w:pPr>
        <w:ind w:left="180"/>
      </w:pPr>
    </w:p>
    <w:p w:rsidR="00000000" w:rsidRDefault="00F90957">
      <w:pPr>
        <w:ind w:left="8252" w:hanging="8072"/>
      </w:pPr>
      <w:r>
        <w:rPr>
          <w:position w:val="-14"/>
        </w:rPr>
        <w:object w:dxaOrig="740" w:dyaOrig="400">
          <v:shape id="_x0000_i1104" type="#_x0000_t75" style="width:36.75pt;height:20.25pt" o:ole="" fillcolor="window">
            <v:imagedata r:id="rId163" o:title=""/>
          </v:shape>
          <o:OLEObject Type="Embed" ProgID="Equation.3" ShapeID="_x0000_i1104" DrawAspect="Content" ObjectID="_1597673949" r:id="rId164"/>
        </w:object>
      </w:r>
      <w:r>
        <w:t xml:space="preserve"> ,  </w:t>
      </w:r>
      <w:r>
        <w:rPr>
          <w:position w:val="-14"/>
        </w:rPr>
        <w:object w:dxaOrig="780" w:dyaOrig="400">
          <v:shape id="_x0000_i1105" type="#_x0000_t75" style="width:39pt;height:20.25pt" o:ole="" fillcolor="window">
            <v:imagedata r:id="rId165" o:title=""/>
          </v:shape>
          <o:OLEObject Type="Embed" ProgID="Equation.3" ShapeID="_x0000_i1105" DrawAspect="Content" ObjectID="_1597673950" r:id="rId166"/>
        </w:object>
      </w:r>
      <w:r>
        <w:t xml:space="preserve"> ,  </w:t>
      </w:r>
      <w:r>
        <w:rPr>
          <w:position w:val="-14"/>
        </w:rPr>
        <w:object w:dxaOrig="740" w:dyaOrig="400">
          <v:shape id="_x0000_i1106" type="#_x0000_t75" style="width:36.75pt;height:20.25pt" o:ole="" fillcolor="window">
            <v:imagedata r:id="rId167" o:title=""/>
          </v:shape>
          <o:OLEObject Type="Embed" ProgID="Equation.3" ShapeID="_x0000_i1106" DrawAspect="Content" ObjectID="_1597673951" r:id="rId168"/>
        </w:object>
      </w:r>
      <w:r>
        <w:t xml:space="preserve"> ,  </w:t>
      </w:r>
      <w:r>
        <w:rPr>
          <w:position w:val="-14"/>
        </w:rPr>
        <w:object w:dxaOrig="780" w:dyaOrig="400">
          <v:shape id="_x0000_i1107" type="#_x0000_t75" style="width:39pt;height:20.25pt" o:ole="" fillcolor="window">
            <v:imagedata r:id="rId169" o:title=""/>
          </v:shape>
          <o:OLEObject Type="Embed" ProgID="Equation.3" ShapeID="_x0000_i1107" DrawAspect="Content" ObjectID="_1597673952" r:id="rId170"/>
        </w:object>
      </w:r>
      <w:r>
        <w:t>.</w:t>
      </w:r>
      <w:r>
        <w:tab/>
        <w:t>(5.4)</w:t>
      </w:r>
    </w:p>
    <w:p w:rsidR="00000000" w:rsidRDefault="00F90957">
      <w:pPr>
        <w:ind w:left="180"/>
      </w:pPr>
    </w:p>
    <w:p w:rsidR="00000000" w:rsidRDefault="00F90957">
      <w:pPr>
        <w:ind w:left="180"/>
      </w:pPr>
      <w:r>
        <w:t xml:space="preserve">The portfolio weights at the middle of the period were, </w:t>
      </w:r>
    </w:p>
    <w:p w:rsidR="00000000" w:rsidRDefault="00F90957">
      <w:pPr>
        <w:ind w:left="180"/>
      </w:pPr>
    </w:p>
    <w:p w:rsidR="00000000" w:rsidRDefault="00F90957">
      <w:pPr>
        <w:ind w:left="8252" w:hanging="8072"/>
      </w:pPr>
      <w:r>
        <w:rPr>
          <w:position w:val="-30"/>
        </w:rPr>
        <w:object w:dxaOrig="2240" w:dyaOrig="720">
          <v:shape id="_x0000_i1108" type="#_x0000_t75" style="width:111.75pt;height:36pt" o:ole="" fillcolor="window">
            <v:imagedata r:id="rId171" o:title=""/>
          </v:shape>
          <o:OLEObject Type="Embed" ProgID="Equation.3" ShapeID="_x0000_i1108" DrawAspect="Content" ObjectID="_1597673953" r:id="rId172"/>
        </w:object>
      </w:r>
      <w:r>
        <w:t xml:space="preserve"> , </w:t>
      </w:r>
      <w:r>
        <w:rPr>
          <w:position w:val="-30"/>
        </w:rPr>
        <w:object w:dxaOrig="2240" w:dyaOrig="720">
          <v:shape id="_x0000_i1109" type="#_x0000_t75" style="width:111.75pt;height:36pt" o:ole="" fillcolor="window">
            <v:imagedata r:id="rId173" o:title=""/>
          </v:shape>
          <o:OLEObject Type="Embed" ProgID="Equation.3" ShapeID="_x0000_i1109" DrawAspect="Content" ObjectID="_1597673954" r:id="rId174"/>
        </w:object>
      </w:r>
      <w:r>
        <w:t>.</w:t>
      </w:r>
      <w:r>
        <w:tab/>
        <w:t>(5.5)</w:t>
      </w:r>
    </w:p>
    <w:p w:rsidR="00000000" w:rsidRDefault="00F90957"/>
    <w:p w:rsidR="00000000" w:rsidRDefault="00F90957">
      <w:pPr>
        <w:ind w:left="180"/>
      </w:pPr>
      <w:r>
        <w:t xml:space="preserve">As for the whole period, the excess return of </w:t>
      </w:r>
      <w:r>
        <w:rPr>
          <w:position w:val="-12"/>
        </w:rPr>
        <w:object w:dxaOrig="520" w:dyaOrig="380">
          <v:shape id="_x0000_i1110" type="#_x0000_t75" style="width:26.25pt;height:18.75pt" o:ole="" fillcolor="window">
            <v:imagedata r:id="rId175" o:title=""/>
          </v:shape>
          <o:OLEObject Type="Embed" ProgID="Equation.3" ShapeID="_x0000_i1110" DrawAspect="Content" ObjectID="_1597673955" r:id="rId176"/>
        </w:object>
      </w:r>
      <w:r>
        <w:t xml:space="preserve"> for the first half is attributed to the equity manager’s security selection ability. The difference in equity return between the portfolio and the benchmark leads to </w:t>
      </w:r>
      <w:r>
        <w:t xml:space="preserve">a drift from passive weighting in the first period. By not rebalancing the portfolio we get an excess return of </w:t>
      </w:r>
      <w:r>
        <w:rPr>
          <w:position w:val="-14"/>
        </w:rPr>
        <w:object w:dxaOrig="1320" w:dyaOrig="400">
          <v:shape id="_x0000_i1111" type="#_x0000_t75" style="width:66pt;height:20.25pt" o:ole="" fillcolor="window">
            <v:imagedata r:id="rId177" o:title=""/>
          </v:shape>
          <o:OLEObject Type="Embed" ProgID="Equation.3" ShapeID="_x0000_i1111" DrawAspect="Content" ObjectID="_1597673956" r:id="rId178"/>
        </w:object>
      </w:r>
      <w:r>
        <w:t xml:space="preserve"> in the second period. If </w:t>
      </w:r>
      <w:r>
        <w:rPr>
          <w:position w:val="-12"/>
        </w:rPr>
        <w:object w:dxaOrig="220" w:dyaOrig="360">
          <v:shape id="_x0000_i1112" type="#_x0000_t75" style="width:11.25pt;height:18pt" o:ole="" fillcolor="window">
            <v:imagedata r:id="rId179" o:title=""/>
          </v:shape>
          <o:OLEObject Type="Embed" ProgID="Equation.3" ShapeID="_x0000_i1112" DrawAspect="Content" ObjectID="_1597673957" r:id="rId180"/>
        </w:object>
      </w:r>
      <w:r>
        <w:t xml:space="preserve"> and </w:t>
      </w:r>
      <w:r>
        <w:rPr>
          <w:position w:val="-12"/>
        </w:rPr>
        <w:object w:dxaOrig="220" w:dyaOrig="360">
          <v:shape id="_x0000_i1113" type="#_x0000_t75" style="width:11.25pt;height:18pt" o:ole="" fillcolor="window">
            <v:imagedata r:id="rId181" o:title=""/>
          </v:shape>
          <o:OLEObject Type="Embed" ProgID="Equation.3" ShapeID="_x0000_i1113" DrawAspect="Content" ObjectID="_1597673958" r:id="rId182"/>
        </w:object>
      </w:r>
      <w:r>
        <w:t xml:space="preserve"> are large this excess return might be consi</w:t>
      </w:r>
      <w:r>
        <w:t xml:space="preserve">derable. It is, however, not accounted for by the whole period attribution analysis. </w:t>
      </w:r>
    </w:p>
    <w:p w:rsidR="00000000" w:rsidRDefault="00F90957">
      <w:pPr>
        <w:pStyle w:val="Heading2"/>
      </w:pPr>
      <w:bookmarkStart w:id="23" w:name="_Toc38162683"/>
      <w:r>
        <w:t>5.1 Linking attribution results</w:t>
      </w:r>
      <w:bookmarkEnd w:id="23"/>
    </w:p>
    <w:p w:rsidR="00000000" w:rsidRDefault="00F90957">
      <w:r>
        <w:t xml:space="preserve">  The above example shows that there is an incentive to perform the attribution analysis on short periods. To get an analysis for a longer</w:t>
      </w:r>
      <w:r>
        <w:t xml:space="preserve"> period we need a way of combining the short period results. There is no one or obvious way of doing this. Consider </w:t>
      </w:r>
      <w:r>
        <w:rPr>
          <w:i/>
        </w:rPr>
        <w:t>N</w:t>
      </w:r>
      <w:r>
        <w:t xml:space="preserve"> subsequent periods and assume that the excess return </w:t>
      </w:r>
      <w:r>
        <w:rPr>
          <w:i/>
        </w:rPr>
        <w:t>e</w:t>
      </w:r>
      <w:r>
        <w:rPr>
          <w:i/>
          <w:vertAlign w:val="subscript"/>
        </w:rPr>
        <w:t>t</w:t>
      </w:r>
      <w:r>
        <w:t xml:space="preserve"> for each period </w:t>
      </w:r>
      <w:r>
        <w:rPr>
          <w:i/>
        </w:rPr>
        <w:t>t</w:t>
      </w:r>
      <w:r>
        <w:t xml:space="preserve"> is broken down with respect to some set of factors that explain </w:t>
      </w:r>
      <w:r>
        <w:t xml:space="preserve">all of the excess return. If the excess return for period </w:t>
      </w:r>
      <w:r>
        <w:rPr>
          <w:i/>
        </w:rPr>
        <w:t>t</w:t>
      </w:r>
      <w:r>
        <w:t xml:space="preserve"> due to factor </w:t>
      </w:r>
      <w:r>
        <w:rPr>
          <w:i/>
        </w:rPr>
        <w:t xml:space="preserve">i </w:t>
      </w:r>
      <w:r>
        <w:t xml:space="preserve">is </w:t>
      </w:r>
      <w:r>
        <w:rPr>
          <w:i/>
        </w:rPr>
        <w:t>e</w:t>
      </w:r>
      <w:r>
        <w:rPr>
          <w:i/>
          <w:vertAlign w:val="subscript"/>
        </w:rPr>
        <w:t>t,i</w:t>
      </w:r>
      <w:r>
        <w:rPr>
          <w:i/>
        </w:rPr>
        <w:t xml:space="preserve"> </w:t>
      </w:r>
      <w:r>
        <w:t>we have</w:t>
      </w:r>
    </w:p>
    <w:p w:rsidR="00000000" w:rsidRDefault="00F90957"/>
    <w:p w:rsidR="00000000" w:rsidRDefault="00F90957">
      <w:pPr>
        <w:ind w:left="8252" w:hanging="8252"/>
      </w:pPr>
      <w:r>
        <w:rPr>
          <w:position w:val="-28"/>
        </w:rPr>
        <w:object w:dxaOrig="1080" w:dyaOrig="540">
          <v:shape id="_x0000_i1114" type="#_x0000_t75" style="width:54pt;height:27pt" o:ole="" fillcolor="window">
            <v:imagedata r:id="rId183" o:title=""/>
          </v:shape>
          <o:OLEObject Type="Embed" ProgID="Equation.3" ShapeID="_x0000_i1114" DrawAspect="Content" ObjectID="_1597673959" r:id="rId184"/>
        </w:object>
      </w:r>
      <w:r>
        <w:t xml:space="preserve">.     </w:t>
      </w:r>
      <w:r>
        <w:rPr>
          <w:i/>
        </w:rPr>
        <w:t xml:space="preserve">  </w:t>
      </w:r>
      <w:r>
        <w:t xml:space="preserve">   </w:t>
      </w:r>
      <w:r>
        <w:tab/>
        <w:t>(5.6)</w:t>
      </w:r>
    </w:p>
    <w:p w:rsidR="00000000" w:rsidRDefault="00F90957"/>
    <w:p w:rsidR="00000000" w:rsidRDefault="00F90957">
      <w:r>
        <w:t xml:space="preserve">The problem of combining attribution results arises because we are dealing with discrete returns that compound over time </w:t>
      </w:r>
      <w:r>
        <w:t>according to</w:t>
      </w:r>
    </w:p>
    <w:p w:rsidR="00000000" w:rsidRDefault="00F90957"/>
    <w:p w:rsidR="00000000" w:rsidRDefault="00F90957">
      <w:pPr>
        <w:ind w:left="8252" w:hanging="8252"/>
      </w:pPr>
      <w:r>
        <w:rPr>
          <w:position w:val="-28"/>
        </w:rPr>
        <w:object w:dxaOrig="1920" w:dyaOrig="680">
          <v:shape id="_x0000_i1115" type="#_x0000_t75" style="width:96pt;height:33.75pt" o:ole="" fillcolor="window">
            <v:imagedata r:id="rId185" o:title=""/>
          </v:shape>
          <o:OLEObject Type="Embed" ProgID="Equation.3" ShapeID="_x0000_i1115" DrawAspect="Content" ObjectID="_1597673960" r:id="rId186"/>
        </w:object>
      </w:r>
      <w:r>
        <w:t xml:space="preserve"> , </w:t>
      </w:r>
      <w:r>
        <w:rPr>
          <w:position w:val="-28"/>
        </w:rPr>
        <w:object w:dxaOrig="1920" w:dyaOrig="680">
          <v:shape id="_x0000_i1116" type="#_x0000_t75" style="width:96pt;height:33.75pt" o:ole="" fillcolor="window">
            <v:imagedata r:id="rId187" o:title=""/>
          </v:shape>
          <o:OLEObject Type="Embed" ProgID="Equation.3" ShapeID="_x0000_i1116" DrawAspect="Content" ObjectID="_1597673961" r:id="rId188"/>
        </w:object>
      </w:r>
      <w:r>
        <w:t>.</w:t>
      </w:r>
      <w:r>
        <w:tab/>
        <w:t>(5.7)</w:t>
      </w:r>
    </w:p>
    <w:p w:rsidR="00000000" w:rsidRDefault="00F90957"/>
    <w:p w:rsidR="00000000" w:rsidRDefault="00F90957">
      <w:r>
        <w:t xml:space="preserve">Thus, the excess return </w:t>
      </w:r>
      <w:r>
        <w:rPr>
          <w:i/>
        </w:rPr>
        <w:t>e</w:t>
      </w:r>
      <w:r>
        <w:t xml:space="preserve"> is not equal to the sum of the single-period excess returns,</w:t>
      </w:r>
    </w:p>
    <w:p w:rsidR="00000000" w:rsidRDefault="00F90957"/>
    <w:p w:rsidR="00000000" w:rsidRDefault="00F90957">
      <w:pPr>
        <w:ind w:left="8252" w:hanging="8252"/>
      </w:pPr>
      <w:r>
        <w:rPr>
          <w:position w:val="-28"/>
        </w:rPr>
        <w:object w:dxaOrig="920" w:dyaOrig="680">
          <v:shape id="_x0000_i1117" type="#_x0000_t75" style="width:45.75pt;height:33.75pt" o:ole="" fillcolor="window">
            <v:imagedata r:id="rId189" o:title=""/>
          </v:shape>
          <o:OLEObject Type="Embed" ProgID="Equation.3" ShapeID="_x0000_i1117" DrawAspect="Content" ObjectID="_1597673962" r:id="rId190"/>
        </w:object>
      </w:r>
      <w:r>
        <w:t>.</w:t>
      </w:r>
      <w:r>
        <w:tab/>
        <w:t>(5.8)</w:t>
      </w:r>
    </w:p>
    <w:p w:rsidR="00000000" w:rsidRDefault="00F90957"/>
    <w:p w:rsidR="00000000" w:rsidRDefault="00F90957">
      <w:r>
        <w:t xml:space="preserve">Therefore, if we define the excess return </w:t>
      </w:r>
      <w:r>
        <w:rPr>
          <w:i/>
        </w:rPr>
        <w:t>e</w:t>
      </w:r>
      <w:r>
        <w:rPr>
          <w:i/>
          <w:vertAlign w:val="subscript"/>
        </w:rPr>
        <w:t>i</w:t>
      </w:r>
      <w:r>
        <w:t xml:space="preserve"> attributable to fac</w:t>
      </w:r>
      <w:r>
        <w:t xml:space="preserve">tor </w:t>
      </w:r>
      <w:r>
        <w:rPr>
          <w:i/>
        </w:rPr>
        <w:t xml:space="preserve">i </w:t>
      </w:r>
      <w:r>
        <w:t xml:space="preserve">simply as the sum of the single-period excess returns </w:t>
      </w:r>
      <w:r>
        <w:rPr>
          <w:i/>
        </w:rPr>
        <w:t>e</w:t>
      </w:r>
      <w:r>
        <w:rPr>
          <w:i/>
          <w:vertAlign w:val="subscript"/>
        </w:rPr>
        <w:t>t,i</w:t>
      </w:r>
      <w:r>
        <w:t xml:space="preserve"> from factor </w:t>
      </w:r>
      <w:r>
        <w:rPr>
          <w:i/>
        </w:rPr>
        <w:t xml:space="preserve">i, </w:t>
      </w:r>
      <w:r>
        <w:t xml:space="preserve">we </w:t>
      </w:r>
      <w:r>
        <w:rPr>
          <w:i/>
        </w:rPr>
        <w:t xml:space="preserve">will not </w:t>
      </w:r>
      <w:r>
        <w:t>generally have</w:t>
      </w:r>
    </w:p>
    <w:p w:rsidR="00000000" w:rsidRDefault="00F90957"/>
    <w:p w:rsidR="00000000" w:rsidRDefault="00F90957">
      <w:pPr>
        <w:ind w:left="8252" w:hanging="8252"/>
      </w:pPr>
      <w:r>
        <w:rPr>
          <w:position w:val="-28"/>
        </w:rPr>
        <w:object w:dxaOrig="900" w:dyaOrig="540">
          <v:shape id="_x0000_i1118" type="#_x0000_t75" style="width:45pt;height:27pt" o:ole="" fillcolor="window">
            <v:imagedata r:id="rId191" o:title=""/>
          </v:shape>
          <o:OLEObject Type="Embed" ProgID="Equation.3" ShapeID="_x0000_i1118" DrawAspect="Content" ObjectID="_1597673963" r:id="rId192"/>
        </w:object>
      </w:r>
      <w:r>
        <w:t>.</w:t>
      </w:r>
      <w:r>
        <w:tab/>
        <w:t>(5.9)</w:t>
      </w:r>
    </w:p>
    <w:p w:rsidR="00000000" w:rsidRDefault="00F90957"/>
    <w:p w:rsidR="00000000" w:rsidRDefault="00F90957">
      <w:r>
        <w:t>A method that achieves the above equality, i.e. the excess return over all periods is fully explained by the factors</w:t>
      </w:r>
      <w:r>
        <w:t xml:space="preserve"> used in the single period attribution, was presented by Cariño [1999].</w:t>
      </w:r>
    </w:p>
    <w:p w:rsidR="00000000" w:rsidRDefault="00F90957">
      <w:r>
        <w:t>His idea is to use the continuous compounding returns which are additive over time. For each period</w:t>
      </w:r>
      <w:r>
        <w:rPr>
          <w:i/>
        </w:rPr>
        <w:t xml:space="preserve"> </w:t>
      </w:r>
      <w:r>
        <w:t xml:space="preserve">the factor </w:t>
      </w:r>
      <w:r>
        <w:rPr>
          <w:i/>
        </w:rPr>
        <w:t>k</w:t>
      </w:r>
      <w:r>
        <w:rPr>
          <w:i/>
          <w:vertAlign w:val="subscript"/>
        </w:rPr>
        <w:t>t</w:t>
      </w:r>
      <w:r>
        <w:t xml:space="preserve"> is defined as</w:t>
      </w:r>
    </w:p>
    <w:p w:rsidR="00000000" w:rsidRDefault="00F90957"/>
    <w:p w:rsidR="00000000" w:rsidRDefault="00F90957">
      <w:pPr>
        <w:ind w:left="8252" w:hanging="8252"/>
      </w:pPr>
      <w:r>
        <w:rPr>
          <w:position w:val="-70"/>
        </w:rPr>
        <w:object w:dxaOrig="5860" w:dyaOrig="1520">
          <v:shape id="_x0000_i1119" type="#_x0000_t75" style="width:293.25pt;height:75.75pt" o:ole="" fillcolor="window">
            <v:imagedata r:id="rId193" o:title=""/>
          </v:shape>
          <o:OLEObject Type="Embed" ProgID="Equation.3" ShapeID="_x0000_i1119" DrawAspect="Content" ObjectID="_1597673964" r:id="rId194"/>
        </w:object>
      </w:r>
      <w:r>
        <w:tab/>
        <w:t>(5.10)</w:t>
      </w:r>
    </w:p>
    <w:p w:rsidR="00000000" w:rsidRDefault="00F90957"/>
    <w:p w:rsidR="00000000" w:rsidRDefault="00F90957">
      <w:r>
        <w:t xml:space="preserve">Since </w:t>
      </w:r>
    </w:p>
    <w:p w:rsidR="00000000" w:rsidRDefault="00F90957"/>
    <w:p w:rsidR="00000000" w:rsidRDefault="00F90957">
      <w:pPr>
        <w:ind w:left="8252" w:hanging="8252"/>
      </w:pPr>
      <w:r>
        <w:rPr>
          <w:position w:val="-12"/>
        </w:rPr>
        <w:object w:dxaOrig="780" w:dyaOrig="380">
          <v:shape id="_x0000_i1120" type="#_x0000_t75" style="width:39pt;height:18.75pt" o:ole="" fillcolor="window">
            <v:imagedata r:id="rId195" o:title=""/>
          </v:shape>
          <o:OLEObject Type="Embed" ProgID="Equation.3" ShapeID="_x0000_i1120" DrawAspect="Content" ObjectID="_1597673965" r:id="rId196"/>
        </w:object>
      </w:r>
      <w:r>
        <w:t>=</w:t>
      </w:r>
      <w:r>
        <w:rPr>
          <w:position w:val="-28"/>
        </w:rPr>
        <w:object w:dxaOrig="639" w:dyaOrig="540">
          <v:shape id="_x0000_i1121" type="#_x0000_t75" style="width:32.25pt;height:27pt" o:ole="" fillcolor="window">
            <v:imagedata r:id="rId197" o:title=""/>
          </v:shape>
          <o:OLEObject Type="Embed" ProgID="Equation.3" ShapeID="_x0000_i1121" DrawAspect="Content" ObjectID="_1597673966" r:id="rId198"/>
        </w:object>
      </w:r>
      <w:r>
        <w:t xml:space="preserve"> and</w:t>
      </w:r>
      <w:r>
        <w:tab/>
        <w:t>(5.11)</w:t>
      </w:r>
    </w:p>
    <w:p w:rsidR="00000000" w:rsidRDefault="00F90957">
      <w:pPr>
        <w:ind w:left="8252" w:hanging="8252"/>
      </w:pPr>
      <w:r>
        <w:rPr>
          <w:position w:val="-28"/>
        </w:rPr>
        <w:object w:dxaOrig="4700" w:dyaOrig="680">
          <v:shape id="_x0000_i1122" type="#_x0000_t75" style="width:234.75pt;height:33.75pt" o:ole="" fillcolor="window">
            <v:imagedata r:id="rId199" o:title=""/>
          </v:shape>
          <o:OLEObject Type="Embed" ProgID="Equation.3" ShapeID="_x0000_i1122" DrawAspect="Content" ObjectID="_1597673967" r:id="rId200"/>
        </w:object>
      </w:r>
      <w:r>
        <w:t>,</w:t>
      </w:r>
      <w:r>
        <w:tab/>
        <w:t>(5.12)</w:t>
      </w:r>
    </w:p>
    <w:p w:rsidR="00000000" w:rsidRDefault="00F90957">
      <w:pPr>
        <w:pStyle w:val="Picture"/>
      </w:pPr>
      <w:r>
        <w:t>we have</w:t>
      </w:r>
    </w:p>
    <w:p w:rsidR="00000000" w:rsidRDefault="00F90957"/>
    <w:p w:rsidR="00000000" w:rsidRDefault="00F90957">
      <w:pPr>
        <w:ind w:left="8252" w:hanging="8252"/>
      </w:pPr>
      <w:r>
        <w:rPr>
          <w:position w:val="-28"/>
        </w:rPr>
        <w:object w:dxaOrig="3420" w:dyaOrig="680">
          <v:shape id="_x0000_i1123" type="#_x0000_t75" style="width:171pt;height:33.75pt" o:ole="" fillcolor="window">
            <v:imagedata r:id="rId201" o:title=""/>
          </v:shape>
          <o:OLEObject Type="Embed" ProgID="Equation.3" ShapeID="_x0000_i1123" DrawAspect="Content" ObjectID="_1597673968" r:id="rId202"/>
        </w:object>
      </w:r>
      <w:r>
        <w:t>.</w:t>
      </w:r>
      <w:r>
        <w:tab/>
        <w:t>(5.13)</w:t>
      </w:r>
    </w:p>
    <w:p w:rsidR="00000000" w:rsidRDefault="00F90957"/>
    <w:p w:rsidR="00000000" w:rsidRDefault="00F90957">
      <w:r>
        <w:t xml:space="preserve">The difference we are interested in is </w:t>
      </w:r>
      <w:r>
        <w:rPr>
          <w:position w:val="-4"/>
        </w:rPr>
        <w:object w:dxaOrig="780" w:dyaOrig="300">
          <v:shape id="_x0000_i1124" type="#_x0000_t75" style="width:39pt;height:15pt" o:ole="" fillcolor="window">
            <v:imagedata r:id="rId203" o:title=""/>
          </v:shape>
          <o:OLEObject Type="Embed" ProgID="Equation.3" ShapeID="_x0000_i1124" DrawAspect="Content" ObjectID="_1597673969" r:id="rId204"/>
        </w:object>
      </w:r>
      <w:r>
        <w:t xml:space="preserve"> and therefore we define </w:t>
      </w:r>
    </w:p>
    <w:p w:rsidR="00000000" w:rsidRDefault="00F90957"/>
    <w:p w:rsidR="00000000" w:rsidRDefault="00F90957">
      <w:pPr>
        <w:ind w:left="8252" w:hanging="8252"/>
      </w:pPr>
      <w:r>
        <w:rPr>
          <w:position w:val="-24"/>
        </w:rPr>
        <w:object w:dxaOrig="2620" w:dyaOrig="660">
          <v:shape id="_x0000_i1125" type="#_x0000_t75" style="width:131.25pt;height:33pt" o:ole="" fillcolor="window">
            <v:imagedata r:id="rId205" o:title=""/>
          </v:shape>
          <o:OLEObject Type="Embed" ProgID="Equation.3" ShapeID="_x0000_i1125" DrawAspect="Content" ObjectID="_1597673970" r:id="rId206"/>
        </w:object>
      </w:r>
      <w:r>
        <w:tab/>
        <w:t>(5.14)</w:t>
      </w:r>
    </w:p>
    <w:p w:rsidR="00000000" w:rsidRDefault="00F90957"/>
    <w:p w:rsidR="00000000" w:rsidRDefault="00F90957">
      <w:r>
        <w:t>so that</w:t>
      </w:r>
    </w:p>
    <w:p w:rsidR="00000000" w:rsidRDefault="00F90957"/>
    <w:p w:rsidR="00000000" w:rsidRDefault="00F90957">
      <w:pPr>
        <w:ind w:left="8252" w:hanging="8252"/>
      </w:pPr>
      <w:r>
        <w:rPr>
          <w:position w:val="-28"/>
        </w:rPr>
        <w:object w:dxaOrig="2299" w:dyaOrig="680">
          <v:shape id="_x0000_i1126" type="#_x0000_t75" style="width:114.75pt;height:33.75pt" o:ole="" fillcolor="window">
            <v:imagedata r:id="rId207" o:title=""/>
          </v:shape>
          <o:OLEObject Type="Embed" ProgID="Equation.3" ShapeID="_x0000_i1126" DrawAspect="Content" ObjectID="_1597673971" r:id="rId208"/>
        </w:object>
      </w:r>
      <w:r>
        <w:tab/>
        <w:t>(5.15)</w:t>
      </w:r>
    </w:p>
    <w:p w:rsidR="00000000" w:rsidRDefault="00F90957"/>
    <w:p w:rsidR="00000000" w:rsidRDefault="00F90957">
      <w:r>
        <w:t xml:space="preserve">Now, the excess return due to factor </w:t>
      </w:r>
      <w:r>
        <w:rPr>
          <w:i/>
        </w:rPr>
        <w:t>i</w:t>
      </w:r>
      <w:r>
        <w:t xml:space="preserve"> is defined as</w:t>
      </w:r>
    </w:p>
    <w:p w:rsidR="00000000" w:rsidRDefault="00F90957"/>
    <w:p w:rsidR="00000000" w:rsidRDefault="00F90957">
      <w:pPr>
        <w:ind w:left="8252" w:hanging="8252"/>
      </w:pPr>
      <w:r>
        <w:rPr>
          <w:position w:val="-28"/>
        </w:rPr>
        <w:object w:dxaOrig="1460" w:dyaOrig="680">
          <v:shape id="_x0000_i1127" type="#_x0000_t75" style="width:72.75pt;height:33.75pt" o:ole="" fillcolor="window">
            <v:imagedata r:id="rId209" o:title=""/>
          </v:shape>
          <o:OLEObject Type="Embed" ProgID="Equation.3" ShapeID="_x0000_i1127" DrawAspect="Content" ObjectID="_1597673972" r:id="rId210"/>
        </w:object>
      </w:r>
      <w:r>
        <w:tab/>
        <w:t>(5.16)</w:t>
      </w:r>
    </w:p>
    <w:p w:rsidR="00000000" w:rsidRDefault="00F90957"/>
    <w:p w:rsidR="00000000" w:rsidRDefault="00F90957">
      <w:r>
        <w:t xml:space="preserve">This way the total excess return </w:t>
      </w:r>
      <w:r>
        <w:rPr>
          <w:i/>
        </w:rPr>
        <w:t>e = r</w:t>
      </w:r>
      <w:r>
        <w:rPr>
          <w:i/>
          <w:vertAlign w:val="superscript"/>
        </w:rPr>
        <w:t xml:space="preserve">P </w:t>
      </w:r>
      <w:r>
        <w:rPr>
          <w:i/>
        </w:rPr>
        <w:t>- r</w:t>
      </w:r>
      <w:r>
        <w:rPr>
          <w:i/>
          <w:vertAlign w:val="superscript"/>
        </w:rPr>
        <w:t>B</w:t>
      </w:r>
      <w:r>
        <w:rPr>
          <w:i/>
        </w:rPr>
        <w:t xml:space="preserve"> </w:t>
      </w:r>
      <w:r>
        <w:t xml:space="preserve">is completely explained by the </w:t>
      </w:r>
      <w:r>
        <w:rPr>
          <w:i/>
        </w:rPr>
        <w:t xml:space="preserve">N </w:t>
      </w:r>
      <w:r>
        <w:t>factors. It should be pointed out that this is by no means the “corr</w:t>
      </w:r>
      <w:r>
        <w:t xml:space="preserve">ect” method for linking attribution results over several periods. When dealing with discretely compounding returns, it is difficult, if even possible, to isolate the effect of a single factor in a multi-period analysis. </w:t>
      </w:r>
    </w:p>
    <w:p w:rsidR="00000000" w:rsidRDefault="00F90957">
      <w:pPr>
        <w:pStyle w:val="Heading1"/>
      </w:pPr>
      <w:r>
        <w:br w:type="page"/>
      </w:r>
      <w:bookmarkStart w:id="24" w:name="_Toc38162684"/>
      <w:r>
        <w:t>6  Return Attribution Analysis</w:t>
      </w:r>
      <w:bookmarkEnd w:id="24"/>
    </w:p>
    <w:p w:rsidR="00000000" w:rsidRDefault="00F90957">
      <w:r>
        <w:t>Ret</w:t>
      </w:r>
      <w:r>
        <w:t xml:space="preserve">urn attribution analysis is an </w:t>
      </w:r>
      <w:r>
        <w:rPr>
          <w:i/>
        </w:rPr>
        <w:t xml:space="preserve">ex post </w:t>
      </w:r>
      <w:r>
        <w:t>analysis that tries to express the portfolio return as a sum, where each term is associated with a specific risk factor that the portfolio is exposed to.</w:t>
      </w:r>
    </w:p>
    <w:p w:rsidR="00000000" w:rsidRDefault="00F90957"/>
    <w:p w:rsidR="00000000" w:rsidRDefault="00F90957">
      <w:pPr>
        <w:ind w:left="8280" w:hanging="8280"/>
      </w:pPr>
      <w:r>
        <w:rPr>
          <w:position w:val="-28"/>
        </w:rPr>
        <w:object w:dxaOrig="1120" w:dyaOrig="540">
          <v:shape id="_x0000_i1128" type="#_x0000_t75" style="width:56.25pt;height:27pt" o:ole="" fillcolor="window">
            <v:imagedata r:id="rId211" o:title=""/>
          </v:shape>
          <o:OLEObject Type="Embed" ProgID="Equation.3" ShapeID="_x0000_i1128" DrawAspect="Content" ObjectID="_1597673973" r:id="rId212"/>
        </w:object>
      </w:r>
      <w:r>
        <w:t>.</w:t>
      </w:r>
      <w:r>
        <w:tab/>
        <w:t>(6.1)</w:t>
      </w:r>
    </w:p>
    <w:p w:rsidR="00000000" w:rsidRDefault="00F90957"/>
    <w:p w:rsidR="00000000" w:rsidRDefault="00F90957">
      <w:r>
        <w:t>Thus, the analysis has a conne</w:t>
      </w:r>
      <w:r>
        <w:t xml:space="preserve">ction to factor models that are used to relate the risk and return of a security to a set of common factors that affect the return of similar securities. In the Arbitrage Pricing Theory (APT), developed by Stephen Ross in 1975, the return </w:t>
      </w:r>
      <w:r>
        <w:rPr>
          <w:position w:val="-12"/>
        </w:rPr>
        <w:object w:dxaOrig="220" w:dyaOrig="360">
          <v:shape id="_x0000_i1129" type="#_x0000_t75" style="width:11.25pt;height:18pt" o:ole="" fillcolor="window">
            <v:imagedata r:id="rId213" o:title=""/>
          </v:shape>
          <o:OLEObject Type="Embed" ProgID="Equation.3" ShapeID="_x0000_i1129" DrawAspect="Content" ObjectID="_1597673974" r:id="rId214"/>
        </w:object>
      </w:r>
      <w:r>
        <w:rPr>
          <w:i/>
        </w:rPr>
        <w:t xml:space="preserve"> </w:t>
      </w:r>
      <w:r>
        <w:t xml:space="preserve">of asset </w:t>
      </w:r>
      <w:r>
        <w:rPr>
          <w:i/>
        </w:rPr>
        <w:t xml:space="preserve">i </w:t>
      </w:r>
      <w:r>
        <w:t xml:space="preserve">is given by </w:t>
      </w:r>
    </w:p>
    <w:p w:rsidR="00000000" w:rsidRDefault="00F90957"/>
    <w:p w:rsidR="00000000" w:rsidRDefault="00F90957">
      <w:pPr>
        <w:ind w:left="8252" w:hanging="8252"/>
      </w:pPr>
      <w:r>
        <w:rPr>
          <w:position w:val="-30"/>
        </w:rPr>
        <w:object w:dxaOrig="2400" w:dyaOrig="700">
          <v:shape id="_x0000_i1130" type="#_x0000_t75" style="width:120pt;height:35.25pt" o:ole="" fillcolor="window">
            <v:imagedata r:id="rId215" o:title=""/>
          </v:shape>
          <o:OLEObject Type="Embed" ProgID="Equation.3" ShapeID="_x0000_i1130" DrawAspect="Content" ObjectID="_1597673975" r:id="rId216"/>
        </w:object>
      </w:r>
      <w:r>
        <w:t xml:space="preserve">,    </w:t>
      </w:r>
      <w:r>
        <w:tab/>
        <w:t>(6.2)</w:t>
      </w:r>
    </w:p>
    <w:p w:rsidR="00000000" w:rsidRDefault="00F90957"/>
    <w:p w:rsidR="00000000" w:rsidRDefault="00F90957">
      <w:r>
        <w:t>where tilde (~) denotes a random variable and</w:t>
      </w:r>
    </w:p>
    <w:p w:rsidR="00000000" w:rsidRDefault="00F90957"/>
    <w:p w:rsidR="00000000" w:rsidRDefault="00F90957">
      <w:r>
        <w:rPr>
          <w:position w:val="-12"/>
        </w:rPr>
        <w:object w:dxaOrig="560" w:dyaOrig="360">
          <v:shape id="_x0000_i1131" type="#_x0000_t75" style="width:27.75pt;height:18pt" o:ole="" fillcolor="window">
            <v:imagedata r:id="rId217" o:title=""/>
          </v:shape>
          <o:OLEObject Type="Embed" ProgID="Equation.3" ShapeID="_x0000_i1131" DrawAspect="Content" ObjectID="_1597673976" r:id="rId218"/>
        </w:object>
      </w:r>
      <w:r>
        <w:t xml:space="preserve"> = expected return of asset i</w:t>
      </w:r>
    </w:p>
    <w:p w:rsidR="00000000" w:rsidRDefault="00F90957">
      <w:pPr>
        <w:rPr>
          <w:i/>
        </w:rPr>
      </w:pPr>
      <w:r>
        <w:rPr>
          <w:position w:val="-14"/>
        </w:rPr>
        <w:object w:dxaOrig="279" w:dyaOrig="420">
          <v:shape id="_x0000_i1132" type="#_x0000_t75" style="width:14.25pt;height:21pt" o:ole="" fillcolor="window">
            <v:imagedata r:id="rId219" o:title=""/>
          </v:shape>
          <o:OLEObject Type="Embed" ProgID="Equation.3" ShapeID="_x0000_i1132" DrawAspect="Content" ObjectID="_1597673977" r:id="rId220"/>
        </w:object>
      </w:r>
      <w:r>
        <w:rPr>
          <w:i/>
          <w:vertAlign w:val="subscript"/>
        </w:rPr>
        <w:t xml:space="preserve">       </w:t>
      </w:r>
      <w:r>
        <w:rPr>
          <w:i/>
        </w:rPr>
        <w:t xml:space="preserve">=  </w:t>
      </w:r>
      <w:r>
        <w:t xml:space="preserve">the </w:t>
      </w:r>
      <w:r>
        <w:rPr>
          <w:i/>
        </w:rPr>
        <w:t>j</w:t>
      </w:r>
      <w:r>
        <w:rPr>
          <w:i/>
          <w:vertAlign w:val="superscript"/>
        </w:rPr>
        <w:t>th</w:t>
      </w:r>
      <w:r>
        <w:t xml:space="preserve"> common factor with mean zero </w:t>
      </w:r>
      <w:r>
        <w:rPr>
          <w:i/>
        </w:rPr>
        <w:t xml:space="preserve"> </w:t>
      </w:r>
    </w:p>
    <w:p w:rsidR="00000000" w:rsidRDefault="00F90957">
      <w:r>
        <w:rPr>
          <w:i/>
        </w:rPr>
        <w:sym w:font="Symbol" w:char="F062"/>
      </w:r>
      <w:r>
        <w:rPr>
          <w:i/>
          <w:vertAlign w:val="subscript"/>
        </w:rPr>
        <w:t>ij</w:t>
      </w:r>
      <w:r>
        <w:t xml:space="preserve">      = the s</w:t>
      </w:r>
      <w:r>
        <w:t xml:space="preserve">ensitivity of the return of asset </w:t>
      </w:r>
      <w:r>
        <w:rPr>
          <w:i/>
        </w:rPr>
        <w:t>i</w:t>
      </w:r>
      <w:r>
        <w:t xml:space="preserve"> to the common factor </w:t>
      </w:r>
      <w:r>
        <w:rPr>
          <w:position w:val="-14"/>
        </w:rPr>
        <w:object w:dxaOrig="279" w:dyaOrig="420">
          <v:shape id="_x0000_i1133" type="#_x0000_t75" style="width:14.25pt;height:21pt" o:ole="" fillcolor="window">
            <v:imagedata r:id="rId219" o:title=""/>
          </v:shape>
          <o:OLEObject Type="Embed" ProgID="Equation.3" ShapeID="_x0000_i1133" DrawAspect="Content" ObjectID="_1597673978" r:id="rId221"/>
        </w:object>
      </w:r>
    </w:p>
    <w:p w:rsidR="00000000" w:rsidRDefault="00F90957">
      <w:pPr>
        <w:tabs>
          <w:tab w:val="num" w:pos="720"/>
        </w:tabs>
      </w:pPr>
      <w:r>
        <w:rPr>
          <w:position w:val="-12"/>
        </w:rPr>
        <w:object w:dxaOrig="240" w:dyaOrig="360">
          <v:shape id="_x0000_i1134" type="#_x0000_t75" style="width:12pt;height:18pt" o:ole="" fillcolor="window">
            <v:imagedata r:id="rId222" o:title=""/>
          </v:shape>
          <o:OLEObject Type="Embed" ProgID="Equation.3" ShapeID="_x0000_i1134" DrawAspect="Content" ObjectID="_1597673979" r:id="rId223"/>
        </w:object>
      </w:r>
      <w:r>
        <w:t xml:space="preserve">      = a mean-zero factor, specific for asset </w:t>
      </w:r>
      <w:r>
        <w:rPr>
          <w:i/>
        </w:rPr>
        <w:t>i</w:t>
      </w:r>
      <w:r>
        <w:t xml:space="preserve">, that is uncorrelated with the common factors      </w:t>
      </w:r>
    </w:p>
    <w:p w:rsidR="00000000" w:rsidRDefault="00F90957">
      <w:pPr>
        <w:ind w:left="720"/>
        <w:rPr>
          <w:i/>
          <w:vertAlign w:val="subscript"/>
        </w:rPr>
      </w:pPr>
      <w:r>
        <w:t xml:space="preserve"> and with the specific factors of the other assets.</w:t>
      </w:r>
      <w:r>
        <w:t xml:space="preserve">                             </w:t>
      </w:r>
      <w:r>
        <w:rPr>
          <w:i/>
          <w:vertAlign w:val="subscript"/>
        </w:rPr>
        <w:t xml:space="preserve"> </w:t>
      </w:r>
    </w:p>
    <w:p w:rsidR="00000000" w:rsidRDefault="00F90957"/>
    <w:p w:rsidR="00000000" w:rsidRDefault="00F90957">
      <w:r>
        <w:t xml:space="preserve">For fixed income portfolios, the main sources of risk are the movements of the yield curve. It is therefore natural to define the common factors as different types of yield curve movements. </w:t>
      </w:r>
    </w:p>
    <w:p w:rsidR="00000000" w:rsidRDefault="00F90957">
      <w:r>
        <w:t xml:space="preserve">The value of these factors for a </w:t>
      </w:r>
      <w:r>
        <w:t>given period are obtained by decomposing the yield curve movement for the period with respect to the movements corresponding to the factors. Normally, as in Litterman and Scheinkman (1991), three factors are used to explain the return due to yield curve mo</w:t>
      </w:r>
      <w:r>
        <w:t>vements</w:t>
      </w:r>
      <w:r>
        <w:rPr>
          <w:rStyle w:val="FootnoteReference"/>
        </w:rPr>
        <w:footnoteReference w:customMarkFollows="1" w:id="9"/>
        <w:t>1</w:t>
      </w:r>
      <w:r>
        <w:t>. Litterman and Scheinkman use a statistical method called principal component analysis (PCA) to derive three uncorrelated factors, or yield curve movements. This way the factors are chosen optimally, in the sense that no other set of three uncorre</w:t>
      </w:r>
      <w:r>
        <w:t>lated factors explains as much of the variance of historical return of the bonds used in the derivation of the factors. However, PCA does not always give simple movements that are intuitive for the fixed income managers. If the manager learns that 50% of h</w:t>
      </w:r>
      <w:r>
        <w:t>is return is due to factor one, that information is not worth much to him unless he understands how the factor one movement corresponds to his portfolio strategy, i. e. his distribution of the portfolio along the yield curve. The curve movements that are p</w:t>
      </w:r>
      <w:r>
        <w:t xml:space="preserve">art of the fixed income jargon are called </w:t>
      </w:r>
      <w:r>
        <w:rPr>
          <w:i/>
        </w:rPr>
        <w:t>level</w:t>
      </w:r>
      <w:r>
        <w:t>,</w:t>
      </w:r>
      <w:r>
        <w:rPr>
          <w:i/>
        </w:rPr>
        <w:t xml:space="preserve"> slope </w:t>
      </w:r>
      <w:r>
        <w:t>and</w:t>
      </w:r>
      <w:r>
        <w:rPr>
          <w:i/>
        </w:rPr>
        <w:t xml:space="preserve"> curvature</w:t>
      </w:r>
      <w:r>
        <w:t xml:space="preserve"> or sometimes </w:t>
      </w:r>
      <w:r>
        <w:rPr>
          <w:i/>
        </w:rPr>
        <w:t>shift</w:t>
      </w:r>
      <w:r>
        <w:t xml:space="preserve">, </w:t>
      </w:r>
      <w:r>
        <w:rPr>
          <w:i/>
        </w:rPr>
        <w:t>twist</w:t>
      </w:r>
      <w:r>
        <w:t xml:space="preserve"> and </w:t>
      </w:r>
      <w:r>
        <w:rPr>
          <w:i/>
        </w:rPr>
        <w:t xml:space="preserve">butterfly. </w:t>
      </w:r>
      <w:r>
        <w:t>They are not precisely defined but qualitatively correspond to a parallel shift, a change in steepness and a change in curvature of the yield curv</w:t>
      </w:r>
      <w:r>
        <w:t xml:space="preserve">e as illustrated in figure 6.1.  </w:t>
      </w:r>
    </w:p>
    <w:p w:rsidR="00000000" w:rsidRDefault="00F90957">
      <w:pPr>
        <w:pStyle w:val="Picture"/>
        <w:spacing w:line="360" w:lineRule="auto"/>
      </w:pPr>
    </w:p>
    <w:bookmarkStart w:id="25" w:name="_MON_1038739494"/>
    <w:bookmarkStart w:id="26" w:name="_MON_1038741402"/>
    <w:bookmarkStart w:id="27" w:name="_MON_1038741851"/>
    <w:bookmarkStart w:id="28" w:name="_MON_1038835405"/>
    <w:bookmarkEnd w:id="25"/>
    <w:bookmarkEnd w:id="26"/>
    <w:bookmarkEnd w:id="27"/>
    <w:bookmarkEnd w:id="28"/>
    <w:p w:rsidR="00000000" w:rsidRDefault="00F90957">
      <w:r>
        <w:object w:dxaOrig="6306" w:dyaOrig="4512">
          <v:shape id="_x0000_i1135" type="#_x0000_t75" style="width:288.75pt;height:206.25pt" o:ole="" fillcolor="window">
            <v:imagedata r:id="rId224" o:title=""/>
          </v:shape>
          <o:OLEObject Type="Embed" ProgID="Word.Picture.8" ShapeID="_x0000_i1135" DrawAspect="Content" ObjectID="_1597673980" r:id="rId225"/>
        </w:object>
      </w:r>
    </w:p>
    <w:p w:rsidR="00000000" w:rsidRDefault="00F90957">
      <w:r>
        <w:t>Figure 6.1: The different types of yield curve movement</w:t>
      </w:r>
    </w:p>
    <w:p w:rsidR="00000000" w:rsidRDefault="00F90957">
      <w:pPr>
        <w:pStyle w:val="Heading2"/>
      </w:pPr>
      <w:bookmarkStart w:id="29" w:name="_Toc38162685"/>
      <w:r>
        <w:t>6.1 Price return</w:t>
      </w:r>
      <w:bookmarkEnd w:id="29"/>
    </w:p>
    <w:p w:rsidR="00000000" w:rsidRDefault="00F90957">
      <w:pPr>
        <w:pStyle w:val="Picture"/>
      </w:pPr>
      <w:r>
        <w:t>The most natural division of the return of a bond is into price return and coupon return. The price return is due to cha</w:t>
      </w:r>
      <w:r>
        <w:t xml:space="preserve">nges in the clean price and the coupon return comes from coupon payments and changes in accrued interest. </w:t>
      </w:r>
    </w:p>
    <w:p w:rsidR="00000000" w:rsidRDefault="00F90957">
      <w:pPr>
        <w:pStyle w:val="Picture"/>
      </w:pPr>
      <w:r>
        <w:rPr>
          <w:b/>
        </w:rPr>
        <w:t xml:space="preserve">  </w:t>
      </w:r>
      <w:r>
        <w:t>Clean price changes are a result of the passage of time and yield curve movements. A decomposition of the price return is made by subsequently chan</w:t>
      </w:r>
      <w:r>
        <w:t>ging the yield curve used in the pricing of the bond, where each change corresponds to a factor that affects the clean price of the bond. This decomposition will depend not only on the definition of the factors but also on the yield curve that is used in t</w:t>
      </w:r>
      <w:r>
        <w:t>he pricing of the bonds. We can either use a curve that is given by the yield of the bonds, and some interpolation method for the yields between the maturity grid points, or a zero curve implied by the bonds. In the latter case the factor returns will also</w:t>
      </w:r>
      <w:r>
        <w:t xml:space="preserve"> depend on the method that is used in the derivation of the zero curve.         </w:t>
      </w:r>
    </w:p>
    <w:p w:rsidR="00000000" w:rsidRDefault="00F90957">
      <w:pPr>
        <w:pStyle w:val="Heading3"/>
      </w:pPr>
      <w:bookmarkStart w:id="30" w:name="_Toc38162686"/>
      <w:r>
        <w:t>6.1.1 Accretion and rolldown return</w:t>
      </w:r>
      <w:bookmarkEnd w:id="30"/>
    </w:p>
    <w:p w:rsidR="00000000" w:rsidRDefault="00F90957">
      <w:pPr>
        <w:pStyle w:val="Picture"/>
      </w:pPr>
      <w:r>
        <w:t>The time component of the price return is defined as the return that would be obtained if the curve looked the same at the beginning and en</w:t>
      </w:r>
      <w:r>
        <w:t>d of the period. This means that, for the period [</w:t>
      </w:r>
      <w:r>
        <w:rPr>
          <w:i/>
          <w:iCs/>
        </w:rPr>
        <w:t>t</w:t>
      </w:r>
      <w:r>
        <w:rPr>
          <w:vertAlign w:val="subscript"/>
        </w:rPr>
        <w:t>1</w:t>
      </w:r>
      <w:r>
        <w:t>,</w:t>
      </w:r>
      <w:r>
        <w:rPr>
          <w:i/>
          <w:iCs/>
        </w:rPr>
        <w:t xml:space="preserve"> t</w:t>
      </w:r>
      <w:r>
        <w:rPr>
          <w:vertAlign w:val="subscript"/>
        </w:rPr>
        <w:t>2</w:t>
      </w:r>
      <w:r>
        <w:t xml:space="preserve">], the curve </w:t>
      </w:r>
      <w:r>
        <w:rPr>
          <w:position w:val="-14"/>
        </w:rPr>
        <w:object w:dxaOrig="520" w:dyaOrig="380">
          <v:shape id="_x0000_i1136" type="#_x0000_t75" style="width:26.25pt;height:18.75pt" o:ole="">
            <v:imagedata r:id="rId226" o:title=""/>
          </v:shape>
          <o:OLEObject Type="Embed" ProgID="Equation.3" ShapeID="_x0000_i1136" DrawAspect="Content" ObjectID="_1597673981" r:id="rId227"/>
        </w:object>
      </w:r>
      <w:r>
        <w:t xml:space="preserve"> is translated by the amount </w:t>
      </w:r>
      <w:r>
        <w:rPr>
          <w:i/>
          <w:iCs/>
        </w:rPr>
        <w:t>t</w:t>
      </w:r>
      <w:r>
        <w:rPr>
          <w:i/>
          <w:iCs/>
          <w:vertAlign w:val="subscript"/>
        </w:rPr>
        <w:t>2</w:t>
      </w:r>
      <w:r>
        <w:t>-</w:t>
      </w:r>
      <w:r>
        <w:rPr>
          <w:i/>
          <w:iCs/>
        </w:rPr>
        <w:t>t</w:t>
      </w:r>
      <w:r>
        <w:rPr>
          <w:vertAlign w:val="subscript"/>
        </w:rPr>
        <w:t>1</w:t>
      </w:r>
      <w:r>
        <w:t>:</w:t>
      </w:r>
    </w:p>
    <w:p w:rsidR="00000000" w:rsidRDefault="00F90957">
      <w:pPr>
        <w:pStyle w:val="Picture"/>
      </w:pPr>
    </w:p>
    <w:p w:rsidR="00000000" w:rsidRDefault="00F90957">
      <w:pPr>
        <w:pStyle w:val="Picture"/>
        <w:ind w:left="8252" w:hanging="8252"/>
      </w:pPr>
      <w:r>
        <w:t xml:space="preserve"> </w:t>
      </w:r>
      <w:r>
        <w:rPr>
          <w:position w:val="-14"/>
        </w:rPr>
        <w:object w:dxaOrig="2439" w:dyaOrig="400">
          <v:shape id="_x0000_i1137" type="#_x0000_t75" style="width:122.25pt;height:20.25pt" o:ole="" fillcolor="window">
            <v:imagedata r:id="rId228" o:title=""/>
          </v:shape>
          <o:OLEObject Type="Embed" ProgID="Equation.3" ShapeID="_x0000_i1137" DrawAspect="Content" ObjectID="_1597673982" r:id="rId229"/>
        </w:object>
      </w:r>
      <w:r>
        <w:t xml:space="preserve">. </w:t>
      </w:r>
      <w:r>
        <w:tab/>
        <w:t>(6.3)</w:t>
      </w:r>
    </w:p>
    <w:p w:rsidR="00000000" w:rsidRDefault="00F90957">
      <w:pPr>
        <w:pStyle w:val="Picture"/>
      </w:pPr>
    </w:p>
    <w:p w:rsidR="00000000" w:rsidRDefault="00F90957">
      <w:pPr>
        <w:pStyle w:val="Picture"/>
      </w:pPr>
      <w:r>
        <w:t xml:space="preserve">If  </w:t>
      </w:r>
      <w:r>
        <w:rPr>
          <w:i/>
          <w:iCs/>
        </w:rPr>
        <w:t>P</w:t>
      </w:r>
      <w:r>
        <w:rPr>
          <w:i/>
          <w:iCs/>
          <w:vertAlign w:val="subscript"/>
        </w:rPr>
        <w:t>i</w:t>
      </w:r>
      <w:r>
        <w:rPr>
          <w:vertAlign w:val="subscript"/>
        </w:rPr>
        <w:t>,</w:t>
      </w:r>
      <w:r>
        <w:rPr>
          <w:i/>
          <w:iCs/>
          <w:vertAlign w:val="subscript"/>
        </w:rPr>
        <w:t>t</w:t>
      </w:r>
      <w:r>
        <w:t>(</w:t>
      </w:r>
      <w:r>
        <w:rPr>
          <w:i/>
          <w:iCs/>
        </w:rPr>
        <w:t>Y</w:t>
      </w:r>
      <w:r>
        <w:t>(</w:t>
      </w:r>
      <w:r>
        <w:sym w:font="Symbol" w:char="F0D7"/>
      </w:r>
      <w:r>
        <w:t>))</w:t>
      </w:r>
      <w:r>
        <w:rPr>
          <w:i/>
          <w:iCs/>
        </w:rPr>
        <w:t xml:space="preserve"> </w:t>
      </w:r>
      <w:r>
        <w:t xml:space="preserve">is the clean price of bond </w:t>
      </w:r>
      <w:r>
        <w:rPr>
          <w:i/>
          <w:iCs/>
        </w:rPr>
        <w:t xml:space="preserve">i </w:t>
      </w:r>
      <w:r>
        <w:t xml:space="preserve">at time </w:t>
      </w:r>
      <w:r>
        <w:rPr>
          <w:i/>
          <w:iCs/>
        </w:rPr>
        <w:t>t</w:t>
      </w:r>
      <w:r>
        <w:t xml:space="preserve">, given the yield curve </w:t>
      </w:r>
      <w:r>
        <w:rPr>
          <w:i/>
          <w:iCs/>
        </w:rPr>
        <w:t>Y</w:t>
      </w:r>
      <w:r>
        <w:t>(</w:t>
      </w:r>
      <w:r>
        <w:sym w:font="Symbol" w:char="F0D7"/>
      </w:r>
      <w:r>
        <w:t>), the time c</w:t>
      </w:r>
      <w:r>
        <w:t xml:space="preserve">omponent of the price return for bond </w:t>
      </w:r>
      <w:r>
        <w:rPr>
          <w:i/>
          <w:iCs/>
        </w:rPr>
        <w:t>i</w:t>
      </w:r>
      <w:r>
        <w:t xml:space="preserve"> is:</w:t>
      </w:r>
    </w:p>
    <w:p w:rsidR="00000000" w:rsidRDefault="00F90957">
      <w:pPr>
        <w:pStyle w:val="Picture"/>
      </w:pPr>
    </w:p>
    <w:p w:rsidR="00000000" w:rsidRDefault="00F90957">
      <w:pPr>
        <w:pStyle w:val="Picture"/>
        <w:ind w:left="8252" w:hanging="8252"/>
      </w:pPr>
      <w:r>
        <w:rPr>
          <w:i/>
        </w:rPr>
        <w:t>time component of price return</w:t>
      </w:r>
      <w:r>
        <w:t xml:space="preserve">  = </w:t>
      </w:r>
      <w:r>
        <w:rPr>
          <w:position w:val="-34"/>
        </w:rPr>
        <w:object w:dxaOrig="2140" w:dyaOrig="800">
          <v:shape id="_x0000_i1138" type="#_x0000_t75" style="width:107.25pt;height:39.75pt" o:ole="" fillcolor="window">
            <v:imagedata r:id="rId230" o:title=""/>
          </v:shape>
          <o:OLEObject Type="Embed" ProgID="Equation.3" ShapeID="_x0000_i1138" DrawAspect="Content" ObjectID="_1597673983" r:id="rId231"/>
        </w:object>
      </w:r>
      <w:r>
        <w:t>,</w:t>
      </w:r>
      <w:r>
        <w:tab/>
        <w:t>(6.4)</w:t>
      </w:r>
    </w:p>
    <w:p w:rsidR="00000000" w:rsidRDefault="00F90957">
      <w:pPr>
        <w:pStyle w:val="Picture"/>
      </w:pPr>
    </w:p>
    <w:p w:rsidR="00000000" w:rsidRDefault="00F90957">
      <w:pPr>
        <w:pStyle w:val="Picture"/>
      </w:pPr>
      <w:r>
        <w:t xml:space="preserve">where </w:t>
      </w:r>
      <w:r>
        <w:rPr>
          <w:i/>
        </w:rPr>
        <w:t>GP</w:t>
      </w:r>
      <w:r>
        <w:rPr>
          <w:i/>
          <w:vertAlign w:val="subscript"/>
        </w:rPr>
        <w:t>i,t</w:t>
      </w:r>
      <w:r>
        <w:t xml:space="preserve"> is the gross price of bond</w:t>
      </w:r>
      <w:r>
        <w:rPr>
          <w:i/>
        </w:rPr>
        <w:t xml:space="preserve"> i </w:t>
      </w:r>
      <w:r>
        <w:t xml:space="preserve">at time </w:t>
      </w:r>
      <w:r>
        <w:rPr>
          <w:i/>
        </w:rPr>
        <w:t>t</w:t>
      </w:r>
      <w:r>
        <w:t xml:space="preserve">. The curve will be evaluated at the times of all the cash flows of the bond if </w:t>
      </w:r>
      <w:r>
        <w:rPr>
          <w:i/>
        </w:rPr>
        <w:t>Y</w:t>
      </w:r>
      <w:r>
        <w:t>(</w:t>
      </w:r>
      <w:r>
        <w:sym w:font="Symbol" w:char="F0D7"/>
      </w:r>
      <w:r>
        <w:t>)</w:t>
      </w:r>
      <w:r>
        <w:rPr>
          <w:i/>
        </w:rPr>
        <w:t xml:space="preserve"> </w:t>
      </w:r>
      <w:r>
        <w:t xml:space="preserve">is a zero </w:t>
      </w:r>
      <w:r>
        <w:t xml:space="preserve">curve or only at the time of maturity of the bond if </w:t>
      </w:r>
      <w:r>
        <w:rPr>
          <w:i/>
        </w:rPr>
        <w:t>Y</w:t>
      </w:r>
      <w:r>
        <w:t>(</w:t>
      </w:r>
      <w:r>
        <w:sym w:font="Symbol" w:char="F0D7"/>
      </w:r>
      <w:r>
        <w:t>)</w:t>
      </w:r>
      <w:r>
        <w:rPr>
          <w:i/>
        </w:rPr>
        <w:t xml:space="preserve"> </w:t>
      </w:r>
      <w:r>
        <w:t xml:space="preserve">is the yield of coupon bonds. The time component can be further divided into </w:t>
      </w:r>
      <w:r>
        <w:rPr>
          <w:i/>
        </w:rPr>
        <w:t>accretion</w:t>
      </w:r>
      <w:r>
        <w:t xml:space="preserve"> and </w:t>
      </w:r>
      <w:r>
        <w:rPr>
          <w:i/>
        </w:rPr>
        <w:t>rolldown</w:t>
      </w:r>
      <w:r>
        <w:t xml:space="preserve"> returns. The accretion return is defined as the return that would be obtained if the yield of the </w:t>
      </w:r>
      <w:r>
        <w:t xml:space="preserve">bond at time </w:t>
      </w:r>
      <w:r>
        <w:rPr>
          <w:i/>
        </w:rPr>
        <w:t>t</w:t>
      </w:r>
      <w:r>
        <w:rPr>
          <w:vertAlign w:val="subscript"/>
        </w:rPr>
        <w:t>2</w:t>
      </w:r>
      <w:r>
        <w:t xml:space="preserve"> was the same as at time </w:t>
      </w:r>
      <w:r>
        <w:rPr>
          <w:i/>
        </w:rPr>
        <w:t>t</w:t>
      </w:r>
      <w:r>
        <w:rPr>
          <w:i/>
          <w:vertAlign w:val="subscript"/>
        </w:rPr>
        <w:t>1</w:t>
      </w:r>
      <w:r>
        <w:t xml:space="preserve">. The residual is the rolldown return. For a positively sloping curve, we have </w:t>
      </w:r>
    </w:p>
    <w:p w:rsidR="00000000" w:rsidRDefault="00F90957">
      <w:pPr>
        <w:pStyle w:val="Picture"/>
      </w:pPr>
    </w:p>
    <w:p w:rsidR="00000000" w:rsidRDefault="00F90957">
      <w:pPr>
        <w:pStyle w:val="Picture"/>
        <w:ind w:left="8252" w:hanging="8252"/>
      </w:pPr>
      <w:r>
        <w:t xml:space="preserve"> </w:t>
      </w:r>
      <w:r>
        <w:rPr>
          <w:position w:val="-14"/>
        </w:rPr>
        <w:object w:dxaOrig="3060" w:dyaOrig="380">
          <v:shape id="_x0000_i1139" type="#_x0000_t75" style="width:153pt;height:18.75pt" o:ole="" fillcolor="window">
            <v:imagedata r:id="rId232" o:title=""/>
          </v:shape>
          <o:OLEObject Type="Embed" ProgID="Equation.3" ShapeID="_x0000_i1139" DrawAspect="Content" ObjectID="_1597673984" r:id="rId233"/>
        </w:object>
      </w:r>
      <w:r>
        <w:t>,</w:t>
      </w:r>
      <w:r>
        <w:tab/>
        <w:t>(6.5)</w:t>
      </w:r>
    </w:p>
    <w:p w:rsidR="00000000" w:rsidRDefault="00F90957"/>
    <w:p w:rsidR="00000000" w:rsidRDefault="00F90957">
      <w:r>
        <w:t xml:space="preserve">which means that the yield corresponding to the clean price </w:t>
      </w:r>
      <w:r>
        <w:rPr>
          <w:position w:val="-14"/>
        </w:rPr>
        <w:object w:dxaOrig="1060" w:dyaOrig="380">
          <v:shape id="_x0000_i1140" type="#_x0000_t75" style="width:53.25pt;height:18.75pt" o:ole="" fillcolor="window">
            <v:imagedata r:id="rId234" o:title=""/>
          </v:shape>
          <o:OLEObject Type="Embed" ProgID="Equation.3" ShapeID="_x0000_i1140" DrawAspect="Content" ObjectID="_1597673985" r:id="rId235"/>
        </w:object>
      </w:r>
      <w:r>
        <w:t xml:space="preserve"> will be less tha</w:t>
      </w:r>
      <w:r>
        <w:t xml:space="preserve">n the bond’s yield at time </w:t>
      </w:r>
      <w:r>
        <w:rPr>
          <w:i/>
        </w:rPr>
        <w:t>t</w:t>
      </w:r>
      <w:r>
        <w:rPr>
          <w:vertAlign w:val="subscript"/>
        </w:rPr>
        <w:t>1</w:t>
      </w:r>
      <w:r>
        <w:t xml:space="preserve">, providing a positive rolldown return. </w:t>
      </w:r>
    </w:p>
    <w:p w:rsidR="00000000" w:rsidRDefault="00F90957">
      <w:pPr>
        <w:pStyle w:val="Heading3"/>
      </w:pPr>
      <w:bookmarkStart w:id="31" w:name="_Toc38162687"/>
      <w:r>
        <w:t>6.1.2 Curve return</w:t>
      </w:r>
      <w:bookmarkEnd w:id="31"/>
    </w:p>
    <w:p w:rsidR="00000000" w:rsidRDefault="00F90957">
      <w:r>
        <w:t>We denote the return due to curve movements</w:t>
      </w:r>
      <w:r>
        <w:rPr>
          <w:iCs/>
        </w:rPr>
        <w:t xml:space="preserve"> as </w:t>
      </w:r>
      <w:r>
        <w:rPr>
          <w:i/>
        </w:rPr>
        <w:t>curve return</w:t>
      </w:r>
      <w:r>
        <w:t>. To be meaningful, the decomposition of the curve return should be such that the portfolio manager can unde</w:t>
      </w:r>
      <w:r>
        <w:t xml:space="preserve">rstand the qualitative impact of his strategy on the different return components. Therefore, simple types of yield curve movements, as in fig 6.1, are used. Different models have different definitions of the shift, twist and butterfly factors. For a given </w:t>
      </w:r>
      <w:r>
        <w:t xml:space="preserve">set of factors the decomposition of the total curve movement into the three factor movements can also differ. </w:t>
      </w:r>
    </w:p>
    <w:p w:rsidR="00000000" w:rsidRDefault="00F90957">
      <w:r>
        <w:t xml:space="preserve">  Apart from being intuitive, the factors should be able to explain most of the curve movement. This means that the residual term </w:t>
      </w:r>
      <w:r>
        <w:rPr>
          <w:i/>
        </w:rPr>
        <w:sym w:font="Symbol" w:char="F065"/>
      </w:r>
      <w:r>
        <w:t>(</w:t>
      </w:r>
      <w:r>
        <w:rPr>
          <w:i/>
        </w:rPr>
        <w:t>T</w:t>
      </w:r>
      <w:r>
        <w:t>) in the dec</w:t>
      </w:r>
      <w:r>
        <w:t>omposition,</w:t>
      </w:r>
    </w:p>
    <w:p w:rsidR="00000000" w:rsidRDefault="00F90957"/>
    <w:p w:rsidR="00000000" w:rsidRDefault="00F90957">
      <w:pPr>
        <w:ind w:left="8252" w:hanging="8252"/>
      </w:pPr>
      <w:r>
        <w:rPr>
          <w:position w:val="-14"/>
        </w:rPr>
        <w:object w:dxaOrig="4860" w:dyaOrig="380">
          <v:shape id="_x0000_i1141" type="#_x0000_t75" style="width:243pt;height:18.75pt" o:ole="" fillcolor="window">
            <v:imagedata r:id="rId236" o:title=""/>
          </v:shape>
          <o:OLEObject Type="Embed" ProgID="Equation.3" ShapeID="_x0000_i1141" DrawAspect="Content" ObjectID="_1597673986" r:id="rId237"/>
        </w:object>
      </w:r>
      <w:r>
        <w:t xml:space="preserve">, </w:t>
      </w:r>
      <w:r>
        <w:tab/>
        <w:t>(6.6)</w:t>
      </w:r>
    </w:p>
    <w:p w:rsidR="00000000" w:rsidRDefault="00F90957"/>
    <w:p w:rsidR="00000000" w:rsidRDefault="00F90957">
      <w:r>
        <w:t xml:space="preserve">should be small in relation to the shift, twist and butterfly components </w:t>
      </w:r>
      <w:r>
        <w:rPr>
          <w:i/>
        </w:rPr>
        <w:t>s</w:t>
      </w:r>
      <w:r>
        <w:t>(</w:t>
      </w:r>
      <w:r>
        <w:rPr>
          <w:i/>
        </w:rPr>
        <w:t>T</w:t>
      </w:r>
      <w:r>
        <w:t xml:space="preserve">),  </w:t>
      </w:r>
      <w:r>
        <w:rPr>
          <w:i/>
        </w:rPr>
        <w:t>t</w:t>
      </w:r>
      <w:r>
        <w:t>(</w:t>
      </w:r>
      <w:r>
        <w:rPr>
          <w:i/>
        </w:rPr>
        <w:t>T</w:t>
      </w:r>
      <w:r>
        <w:t xml:space="preserve">) and </w:t>
      </w:r>
      <w:r>
        <w:rPr>
          <w:i/>
        </w:rPr>
        <w:t>b</w:t>
      </w:r>
      <w:r>
        <w:t>(</w:t>
      </w:r>
      <w:r>
        <w:rPr>
          <w:i/>
        </w:rPr>
        <w:t>T</w:t>
      </w:r>
      <w:r>
        <w:t>). The character of the yield curve dynamics is such that most of the curve change is usually explained by the paralle</w:t>
      </w:r>
      <w:r>
        <w:t>l shift component</w:t>
      </w:r>
      <w:r>
        <w:rPr>
          <w:rStyle w:val="FootnoteReference"/>
        </w:rPr>
        <w:footnoteReference w:customMarkFollows="1" w:id="10"/>
        <w:t>2</w:t>
      </w:r>
      <w:r>
        <w:t xml:space="preserve">. </w:t>
      </w:r>
    </w:p>
    <w:p w:rsidR="00000000" w:rsidRDefault="00F90957">
      <w:r>
        <w:t xml:space="preserve">  When the curve decomposition is made the shift return is defined as </w:t>
      </w:r>
    </w:p>
    <w:p w:rsidR="00000000" w:rsidRDefault="00F90957"/>
    <w:p w:rsidR="00000000" w:rsidRDefault="00F90957">
      <w:pPr>
        <w:ind w:left="8252" w:hanging="8252"/>
      </w:pPr>
      <w:r>
        <w:rPr>
          <w:i/>
        </w:rPr>
        <w:t xml:space="preserve">shift return </w:t>
      </w:r>
      <w:r>
        <w:t xml:space="preserve">= </w:t>
      </w:r>
      <w:r>
        <w:rPr>
          <w:position w:val="-34"/>
        </w:rPr>
        <w:object w:dxaOrig="3000" w:dyaOrig="800">
          <v:shape id="_x0000_i1142" type="#_x0000_t75" style="width:150pt;height:39.75pt" o:ole="" fillcolor="window">
            <v:imagedata r:id="rId238" o:title=""/>
          </v:shape>
          <o:OLEObject Type="Embed" ProgID="Equation.3" ShapeID="_x0000_i1142" DrawAspect="Content" ObjectID="_1597673987" r:id="rId239"/>
        </w:object>
      </w:r>
      <w:r>
        <w:t xml:space="preserve">, </w:t>
      </w:r>
      <w:r>
        <w:tab/>
        <w:t>(6.7)</w:t>
      </w:r>
    </w:p>
    <w:p w:rsidR="00000000" w:rsidRDefault="00F90957">
      <w:pPr>
        <w:pStyle w:val="Picture"/>
      </w:pPr>
    </w:p>
    <w:p w:rsidR="00000000" w:rsidRDefault="00F90957">
      <w:pPr>
        <w:pStyle w:val="Picture"/>
      </w:pPr>
      <w:r>
        <w:t>where</w:t>
      </w:r>
    </w:p>
    <w:p w:rsidR="00000000" w:rsidRDefault="00F90957">
      <w:pPr>
        <w:pStyle w:val="Picture"/>
      </w:pPr>
    </w:p>
    <w:p w:rsidR="00000000" w:rsidRDefault="00F90957">
      <w:pPr>
        <w:pStyle w:val="Picture"/>
        <w:ind w:left="8280" w:hanging="8280"/>
      </w:pPr>
      <w:r>
        <w:t xml:space="preserve"> </w:t>
      </w:r>
      <w:r>
        <w:rPr>
          <w:position w:val="-14"/>
        </w:rPr>
        <w:object w:dxaOrig="6340" w:dyaOrig="400">
          <v:shape id="_x0000_i1143" type="#_x0000_t75" style="width:317.25pt;height:20.25pt" o:ole="" fillcolor="window">
            <v:imagedata r:id="rId240" o:title=""/>
          </v:shape>
          <o:OLEObject Type="Embed" ProgID="Equation.3" ShapeID="_x0000_i1143" DrawAspect="Content" ObjectID="_1597673988" r:id="rId241"/>
        </w:object>
      </w:r>
      <w:r>
        <w:t>.</w:t>
      </w:r>
      <w:r>
        <w:tab/>
        <w:t>(6.8)</w:t>
      </w:r>
    </w:p>
    <w:p w:rsidR="00000000" w:rsidRDefault="00F90957">
      <w:pPr>
        <w:pStyle w:val="Picture"/>
      </w:pPr>
    </w:p>
    <w:p w:rsidR="00000000" w:rsidRDefault="00F90957">
      <w:pPr>
        <w:pStyle w:val="Picture"/>
      </w:pPr>
      <w:r>
        <w:t>The other return components are defined in the same manner, for example</w:t>
      </w:r>
    </w:p>
    <w:p w:rsidR="00000000" w:rsidRDefault="00F90957">
      <w:pPr>
        <w:pStyle w:val="Picture"/>
      </w:pPr>
    </w:p>
    <w:p w:rsidR="00000000" w:rsidRDefault="00F90957">
      <w:pPr>
        <w:pStyle w:val="Picture"/>
        <w:ind w:left="8252" w:hanging="8252"/>
      </w:pPr>
      <w:r>
        <w:rPr>
          <w:i/>
        </w:rPr>
        <w:t>tw</w:t>
      </w:r>
      <w:r>
        <w:rPr>
          <w:i/>
        </w:rPr>
        <w:t xml:space="preserve">ist return = </w:t>
      </w:r>
      <w:r>
        <w:rPr>
          <w:position w:val="-34"/>
        </w:rPr>
        <w:object w:dxaOrig="3019" w:dyaOrig="800">
          <v:shape id="_x0000_i1144" type="#_x0000_t75" style="width:150.75pt;height:39.75pt" o:ole="" fillcolor="window">
            <v:imagedata r:id="rId242" o:title=""/>
          </v:shape>
          <o:OLEObject Type="Embed" ProgID="Equation.3" ShapeID="_x0000_i1144" DrawAspect="Content" ObjectID="_1597673989" r:id="rId243"/>
        </w:object>
      </w:r>
      <w:r>
        <w:t>,</w:t>
      </w:r>
      <w:r>
        <w:tab/>
        <w:t>(6.9)</w:t>
      </w:r>
    </w:p>
    <w:p w:rsidR="00000000" w:rsidRDefault="00F90957">
      <w:pPr>
        <w:pStyle w:val="Picture"/>
      </w:pPr>
    </w:p>
    <w:p w:rsidR="00000000" w:rsidRDefault="00F90957">
      <w:pPr>
        <w:pStyle w:val="Picture"/>
      </w:pPr>
      <w:r>
        <w:t xml:space="preserve">where </w:t>
      </w:r>
    </w:p>
    <w:p w:rsidR="00000000" w:rsidRDefault="00F90957">
      <w:pPr>
        <w:pStyle w:val="Picture"/>
      </w:pPr>
    </w:p>
    <w:p w:rsidR="00000000" w:rsidRDefault="00F90957">
      <w:pPr>
        <w:pStyle w:val="Picture"/>
        <w:ind w:left="8252" w:hanging="8252"/>
      </w:pPr>
      <w:r>
        <w:rPr>
          <w:position w:val="-14"/>
        </w:rPr>
        <w:object w:dxaOrig="3300" w:dyaOrig="400">
          <v:shape id="_x0000_i1145" type="#_x0000_t75" style="width:165pt;height:20.25pt" o:ole="" fillcolor="window">
            <v:imagedata r:id="rId244" o:title=""/>
          </v:shape>
          <o:OLEObject Type="Embed" ProgID="Equation.3" ShapeID="_x0000_i1145" DrawAspect="Content" ObjectID="_1597673990" r:id="rId245"/>
        </w:object>
      </w:r>
      <w:r>
        <w:t>.</w:t>
      </w:r>
      <w:r>
        <w:tab/>
        <w:t>(6.10)</w:t>
      </w:r>
    </w:p>
    <w:p w:rsidR="00000000" w:rsidRDefault="00F90957">
      <w:pPr>
        <w:pStyle w:val="Picture"/>
        <w:spacing w:line="360" w:lineRule="auto"/>
      </w:pPr>
    </w:p>
    <w:p w:rsidR="00000000" w:rsidRDefault="00F90957">
      <w:pPr>
        <w:pStyle w:val="Picture"/>
      </w:pPr>
      <w:r>
        <w:t xml:space="preserve">We call the curve return from the residual movement </w:t>
      </w:r>
      <w:r>
        <w:rPr>
          <w:i/>
        </w:rPr>
        <w:sym w:font="Symbol" w:char="F065"/>
      </w:r>
      <w:r>
        <w:t>(</w:t>
      </w:r>
      <w:r>
        <w:rPr>
          <w:i/>
        </w:rPr>
        <w:t>T</w:t>
      </w:r>
      <w:r>
        <w:t xml:space="preserve">) </w:t>
      </w:r>
      <w:r>
        <w:rPr>
          <w:i/>
        </w:rPr>
        <w:t>shape return</w:t>
      </w:r>
      <w:r>
        <w:t>. The shape return is:</w:t>
      </w:r>
    </w:p>
    <w:p w:rsidR="00000000" w:rsidRDefault="00F90957">
      <w:pPr>
        <w:pStyle w:val="Picture"/>
        <w:ind w:left="8252" w:hanging="8252"/>
      </w:pPr>
    </w:p>
    <w:p w:rsidR="00000000" w:rsidRDefault="00F90957">
      <w:pPr>
        <w:pStyle w:val="Picture"/>
        <w:ind w:left="8252" w:hanging="8252"/>
      </w:pPr>
      <w:r>
        <w:rPr>
          <w:i/>
        </w:rPr>
        <w:t xml:space="preserve">shape return </w:t>
      </w:r>
      <w:r>
        <w:t xml:space="preserve">= </w:t>
      </w:r>
      <w:r>
        <w:rPr>
          <w:position w:val="-34"/>
        </w:rPr>
        <w:object w:dxaOrig="2100" w:dyaOrig="800">
          <v:shape id="_x0000_i1146" type="#_x0000_t75" style="width:105pt;height:39.75pt" o:ole="">
            <v:imagedata r:id="rId246" o:title=""/>
          </v:shape>
          <o:OLEObject Type="Embed" ProgID="Equation.3" ShapeID="_x0000_i1146" DrawAspect="Content" ObjectID="_1597673991" r:id="rId247"/>
        </w:object>
      </w:r>
      <w:r>
        <w:t>,</w:t>
      </w:r>
      <w:r>
        <w:rPr>
          <w:i/>
        </w:rPr>
        <w:t xml:space="preserve"> </w:t>
      </w:r>
      <w:r>
        <w:rPr>
          <w:i/>
        </w:rPr>
        <w:tab/>
      </w:r>
      <w:r>
        <w:rPr>
          <w:iCs/>
        </w:rPr>
        <w:t>(6.11)</w:t>
      </w:r>
      <w:r>
        <w:rPr>
          <w:i/>
        </w:rPr>
        <w:t xml:space="preserve"> </w:t>
      </w:r>
    </w:p>
    <w:p w:rsidR="00000000" w:rsidRDefault="00F90957"/>
    <w:p w:rsidR="00000000" w:rsidRDefault="00F90957">
      <w:r>
        <w:t>where</w:t>
      </w:r>
    </w:p>
    <w:p w:rsidR="00000000" w:rsidRDefault="00F90957"/>
    <w:p w:rsidR="00000000" w:rsidRDefault="00F90957">
      <w:r>
        <w:rPr>
          <w:position w:val="-14"/>
        </w:rPr>
        <w:object w:dxaOrig="3560" w:dyaOrig="400">
          <v:shape id="_x0000_i1147" type="#_x0000_t75" style="width:177.75pt;height:20.25pt" o:ole="" fillcolor="window">
            <v:imagedata r:id="rId248" o:title=""/>
          </v:shape>
          <o:OLEObject Type="Embed" ProgID="Equation.3" ShapeID="_x0000_i1147" DrawAspect="Content" ObjectID="_1597673992" r:id="rId249"/>
        </w:object>
      </w:r>
      <w:r>
        <w:t>.</w:t>
      </w:r>
    </w:p>
    <w:p w:rsidR="00000000" w:rsidRDefault="00F90957">
      <w:pPr>
        <w:pStyle w:val="Heading3"/>
        <w:rPr>
          <w:b w:val="0"/>
          <w:bCs w:val="0"/>
        </w:rPr>
      </w:pPr>
    </w:p>
    <w:p w:rsidR="00000000" w:rsidRDefault="00F90957">
      <w:pPr>
        <w:pStyle w:val="Heading3"/>
      </w:pPr>
      <w:bookmarkStart w:id="32" w:name="_Toc38162688"/>
      <w:r>
        <w:t>6.1.3 Spread return</w:t>
      </w:r>
      <w:bookmarkEnd w:id="32"/>
    </w:p>
    <w:p w:rsidR="00000000" w:rsidRDefault="00F90957">
      <w:r>
        <w:t>For bonds with credit risk a part of the price return can also be attributed to the change in spread, see fig 2.1. The spread change can be defined as the residual after the movement of the default free curve has been subtracted f</w:t>
      </w:r>
      <w:r>
        <w:t>rom the total movement of the credit curve. The spread return is then given by</w:t>
      </w:r>
    </w:p>
    <w:p w:rsidR="00000000" w:rsidRDefault="00F90957"/>
    <w:p w:rsidR="00000000" w:rsidRDefault="00F90957">
      <w:pPr>
        <w:ind w:left="8252" w:hanging="8252"/>
      </w:pPr>
      <w:r>
        <w:rPr>
          <w:i/>
        </w:rPr>
        <w:t xml:space="preserve">spread return </w:t>
      </w:r>
      <w:r>
        <w:t xml:space="preserve">= </w:t>
      </w:r>
      <w:r>
        <w:rPr>
          <w:position w:val="-34"/>
        </w:rPr>
        <w:object w:dxaOrig="1680" w:dyaOrig="800">
          <v:shape id="_x0000_i1148" type="#_x0000_t75" style="width:84pt;height:39.75pt" o:ole="" fillcolor="window">
            <v:imagedata r:id="rId250" o:title=""/>
          </v:shape>
          <o:OLEObject Type="Embed" ProgID="Equation.3" ShapeID="_x0000_i1148" DrawAspect="Content" ObjectID="_1597673993" r:id="rId251"/>
        </w:object>
      </w:r>
      <w:r>
        <w:t xml:space="preserve">, </w:t>
      </w:r>
      <w:r>
        <w:tab/>
        <w:t>(6.12)</w:t>
      </w:r>
    </w:p>
    <w:p w:rsidR="00000000" w:rsidRDefault="00F90957"/>
    <w:p w:rsidR="00000000" w:rsidRDefault="00F90957">
      <w:r>
        <w:t>where</w:t>
      </w:r>
    </w:p>
    <w:p w:rsidR="00000000" w:rsidRDefault="00F90957"/>
    <w:p w:rsidR="00000000" w:rsidRDefault="00F90957">
      <w:pPr>
        <w:pStyle w:val="Picture"/>
        <w:ind w:left="8252" w:hanging="8252"/>
        <w:rPr>
          <w:b/>
        </w:rPr>
      </w:pPr>
      <w:r>
        <w:rPr>
          <w:position w:val="-14"/>
        </w:rPr>
        <w:object w:dxaOrig="5000" w:dyaOrig="400">
          <v:shape id="_x0000_i1149" type="#_x0000_t75" style="width:249.75pt;height:20.25pt" o:ole="" fillcolor="window">
            <v:imagedata r:id="rId252" o:title=""/>
          </v:shape>
          <o:OLEObject Type="Embed" ProgID="Equation.3" ShapeID="_x0000_i1149" DrawAspect="Content" ObjectID="_1597673994" r:id="rId253"/>
        </w:object>
      </w:r>
      <w:r>
        <w:t>,</w:t>
      </w:r>
      <w:r>
        <w:tab/>
        <w:t>(6.13)</w:t>
      </w:r>
    </w:p>
    <w:p w:rsidR="00000000" w:rsidRDefault="00F90957">
      <w:pPr>
        <w:pStyle w:val="Picture"/>
        <w:rPr>
          <w:sz w:val="28"/>
        </w:rPr>
      </w:pPr>
    </w:p>
    <w:p w:rsidR="00000000" w:rsidRDefault="00F90957">
      <w:pPr>
        <w:pStyle w:val="Picture"/>
      </w:pPr>
      <w:r>
        <w:t xml:space="preserve">where </w:t>
      </w:r>
      <w:r>
        <w:rPr>
          <w:position w:val="-12"/>
        </w:rPr>
        <w:object w:dxaOrig="520" w:dyaOrig="380">
          <v:shape id="_x0000_i1150" type="#_x0000_t75" style="width:26.25pt;height:18.75pt" o:ole="" fillcolor="window">
            <v:imagedata r:id="rId254" o:title=""/>
          </v:shape>
          <o:OLEObject Type="Embed" ProgID="Equation.3" ShapeID="_x0000_i1150" DrawAspect="Content" ObjectID="_1597673995" r:id="rId255"/>
        </w:object>
      </w:r>
      <w:r>
        <w:t xml:space="preserve"> is the Treasury zero curve at time </w:t>
      </w:r>
      <w:r>
        <w:rPr>
          <w:i/>
        </w:rPr>
        <w:t>t</w:t>
      </w:r>
      <w:r>
        <w:t xml:space="preserve">. The shape return, </w:t>
      </w:r>
      <w:r>
        <w:t xml:space="preserve">i. e. the curve return due to the residual movement </w:t>
      </w:r>
      <w:r>
        <w:rPr>
          <w:i/>
        </w:rPr>
        <w:sym w:font="Symbol" w:char="F065"/>
      </w:r>
      <w:r>
        <w:t>(</w:t>
      </w:r>
      <w:r>
        <w:rPr>
          <w:i/>
        </w:rPr>
        <w:t>T</w:t>
      </w:r>
      <w:r>
        <w:t xml:space="preserve">), is given by </w:t>
      </w:r>
    </w:p>
    <w:p w:rsidR="00000000" w:rsidRDefault="00F90957">
      <w:pPr>
        <w:pStyle w:val="Picture"/>
      </w:pPr>
    </w:p>
    <w:p w:rsidR="00000000" w:rsidRDefault="00F90957">
      <w:pPr>
        <w:pStyle w:val="Picture"/>
        <w:ind w:left="8252" w:hanging="8252"/>
      </w:pPr>
      <w:r>
        <w:rPr>
          <w:i/>
        </w:rPr>
        <w:t>shape return</w:t>
      </w:r>
      <w:r>
        <w:t xml:space="preserve"> = </w:t>
      </w:r>
      <w:r>
        <w:rPr>
          <w:position w:val="-34"/>
        </w:rPr>
        <w:object w:dxaOrig="2460" w:dyaOrig="820">
          <v:shape id="_x0000_i1151" type="#_x0000_t75" style="width:123pt;height:41.25pt" o:ole="">
            <v:imagedata r:id="rId256" o:title=""/>
          </v:shape>
          <o:OLEObject Type="Embed" ProgID="Equation.3" ShapeID="_x0000_i1151" DrawAspect="Content" ObjectID="_1597673996" r:id="rId257"/>
        </w:object>
      </w:r>
      <w:r>
        <w:t>.</w:t>
      </w:r>
      <w:r>
        <w:tab/>
        <w:t>(6.14)</w:t>
      </w:r>
    </w:p>
    <w:p w:rsidR="00000000" w:rsidRDefault="00F90957">
      <w:pPr>
        <w:pStyle w:val="Heading2"/>
      </w:pPr>
      <w:bookmarkStart w:id="33" w:name="_Toc38162689"/>
      <w:r>
        <w:t>6.2 Coupon return</w:t>
      </w:r>
      <w:bookmarkEnd w:id="33"/>
    </w:p>
    <w:p w:rsidR="00000000" w:rsidRDefault="00F90957">
      <w:r>
        <w:t>Coupon return is the return due to coupon payments and changes in accrued interest. The coupon return for the period [</w:t>
      </w:r>
      <w:r>
        <w:rPr>
          <w:i/>
        </w:rPr>
        <w:t>t</w:t>
      </w:r>
      <w:r>
        <w:rPr>
          <w:vertAlign w:val="subscript"/>
        </w:rPr>
        <w:t>1</w:t>
      </w:r>
      <w:r>
        <w:t xml:space="preserve">, </w:t>
      </w:r>
      <w:r>
        <w:rPr>
          <w:i/>
        </w:rPr>
        <w:t>t</w:t>
      </w:r>
      <w:r>
        <w:rPr>
          <w:vertAlign w:val="subscript"/>
        </w:rPr>
        <w:t>2</w:t>
      </w:r>
      <w:r>
        <w:t xml:space="preserve">] is: </w:t>
      </w:r>
    </w:p>
    <w:p w:rsidR="00000000" w:rsidRDefault="00F90957"/>
    <w:p w:rsidR="00000000" w:rsidRDefault="00F90957">
      <w:pPr>
        <w:ind w:left="8252" w:hanging="8252"/>
      </w:pPr>
      <w:r>
        <w:rPr>
          <w:i/>
        </w:rPr>
        <w:t>coupon return</w:t>
      </w:r>
      <w:r>
        <w:t xml:space="preserve"> = </w:t>
      </w:r>
      <w:r>
        <w:rPr>
          <w:position w:val="-34"/>
        </w:rPr>
        <w:object w:dxaOrig="1939" w:dyaOrig="760">
          <v:shape id="_x0000_i1152" type="#_x0000_t75" style="width:96.75pt;height:38.25pt" o:ole="">
            <v:imagedata r:id="rId258" o:title=""/>
          </v:shape>
          <o:OLEObject Type="Embed" ProgID="Equation.2" ShapeID="_x0000_i1152" DrawAspect="Content" ObjectID="_1597673997" r:id="rId259"/>
        </w:object>
      </w:r>
      <w:r>
        <w:t>,</w:t>
      </w:r>
      <w:r>
        <w:tab/>
        <w:t>(6.15)</w:t>
      </w:r>
    </w:p>
    <w:p w:rsidR="00000000" w:rsidRDefault="00F90957"/>
    <w:p w:rsidR="00000000" w:rsidRDefault="00F90957">
      <w:r>
        <w:t xml:space="preserve">where </w:t>
      </w:r>
      <w:r>
        <w:rPr>
          <w:position w:val="-14"/>
        </w:rPr>
        <w:object w:dxaOrig="660" w:dyaOrig="380">
          <v:shape id="_x0000_i1153" type="#_x0000_t75" style="width:33pt;height:18.75pt" o:ole="">
            <v:imagedata r:id="rId260" o:title=""/>
          </v:shape>
          <o:OLEObject Type="Embed" ProgID="Equation.3" ShapeID="_x0000_i1153" DrawAspect="Content" ObjectID="_1597673998" r:id="rId261"/>
        </w:object>
      </w:r>
      <w:r>
        <w:t xml:space="preserve"> is the sum of the coupons recieved from holding bond </w:t>
      </w:r>
      <w:r>
        <w:rPr>
          <w:i/>
        </w:rPr>
        <w:t>i</w:t>
      </w:r>
      <w:r>
        <w:t xml:space="preserve"> during the time interval (</w:t>
      </w:r>
      <w:r>
        <w:rPr>
          <w:i/>
        </w:rPr>
        <w:t>t</w:t>
      </w:r>
      <w:r>
        <w:rPr>
          <w:i/>
          <w:vertAlign w:val="subscript"/>
        </w:rPr>
        <w:t>1</w:t>
      </w:r>
      <w:r>
        <w:t>,</w:t>
      </w:r>
      <w:r>
        <w:rPr>
          <w:i/>
        </w:rPr>
        <w:t xml:space="preserve"> t</w:t>
      </w:r>
      <w:r>
        <w:rPr>
          <w:i/>
          <w:vertAlign w:val="subscript"/>
        </w:rPr>
        <w:t>2</w:t>
      </w:r>
      <w:r>
        <w:t xml:space="preserve">] and </w:t>
      </w:r>
      <w:r>
        <w:rPr>
          <w:position w:val="-14"/>
        </w:rPr>
        <w:object w:dxaOrig="360" w:dyaOrig="380">
          <v:shape id="_x0000_i1154" type="#_x0000_t75" style="width:18pt;height:18.75pt" o:ole="">
            <v:imagedata r:id="rId262" o:title=""/>
          </v:shape>
          <o:OLEObject Type="Embed" ProgID="Equation.3" ShapeID="_x0000_i1154" DrawAspect="Content" ObjectID="_1597673999" r:id="rId263"/>
        </w:object>
      </w:r>
      <w:r>
        <w:t xml:space="preserve"> is the accrued interest of bond </w:t>
      </w:r>
      <w:r>
        <w:rPr>
          <w:i/>
        </w:rPr>
        <w:t xml:space="preserve">i </w:t>
      </w:r>
      <w:r>
        <w:t xml:space="preserve">at time </w:t>
      </w:r>
      <w:r>
        <w:rPr>
          <w:i/>
        </w:rPr>
        <w:t>t</w:t>
      </w:r>
      <w:r>
        <w:t>.</w:t>
      </w:r>
      <w:r>
        <w:rPr>
          <w:i/>
        </w:rPr>
        <w:t xml:space="preserve"> </w:t>
      </w:r>
      <w:r>
        <w:t>If</w:t>
      </w:r>
      <w:r>
        <w:t xml:space="preserve"> the market uses ex-coupon days the same adjustment as in section 4.1 is made:</w:t>
      </w:r>
    </w:p>
    <w:p w:rsidR="00000000" w:rsidRDefault="00F90957"/>
    <w:p w:rsidR="00000000" w:rsidRDefault="00F90957">
      <w:pPr>
        <w:ind w:left="8252" w:hanging="8252"/>
      </w:pPr>
      <w:r>
        <w:rPr>
          <w:i/>
        </w:rPr>
        <w:t>coupon return</w:t>
      </w:r>
      <w:r>
        <w:t xml:space="preserve"> = </w:t>
      </w:r>
      <w:r>
        <w:rPr>
          <w:position w:val="-34"/>
        </w:rPr>
        <w:object w:dxaOrig="3379" w:dyaOrig="760">
          <v:shape id="_x0000_i1155" type="#_x0000_t75" style="width:168.75pt;height:38.25pt" o:ole="">
            <v:imagedata r:id="rId264" o:title=""/>
          </v:shape>
          <o:OLEObject Type="Embed" ProgID="Equation.2" ShapeID="_x0000_i1155" DrawAspect="Content" ObjectID="_1597674000" r:id="rId265"/>
        </w:object>
      </w:r>
      <w:r>
        <w:t>,</w:t>
      </w:r>
      <w:r>
        <w:tab/>
        <w:t>(6.16)</w:t>
      </w:r>
    </w:p>
    <w:p w:rsidR="00000000" w:rsidRDefault="00F90957"/>
    <w:p w:rsidR="00000000" w:rsidRDefault="00F90957">
      <w:r>
        <w:t xml:space="preserve">where </w:t>
      </w:r>
      <w:r>
        <w:rPr>
          <w:i/>
        </w:rPr>
        <w:t>CP</w:t>
      </w:r>
      <w:r>
        <w:rPr>
          <w:i/>
          <w:vertAlign w:val="subscript"/>
        </w:rPr>
        <w:t>i,t</w:t>
      </w:r>
      <w:r>
        <w:rPr>
          <w:i/>
        </w:rPr>
        <w:t xml:space="preserve"> </w:t>
      </w:r>
      <w:r>
        <w:t xml:space="preserve"> is equal to the next coupon if </w:t>
      </w:r>
      <w:r>
        <w:rPr>
          <w:i/>
        </w:rPr>
        <w:t>t</w:t>
      </w:r>
      <w:r>
        <w:t xml:space="preserve"> is less than the coupon date, and the settlement date is larger than or equal to </w:t>
      </w:r>
      <w:r>
        <w:t>the first ex-coupon date</w:t>
      </w:r>
      <w:r>
        <w:rPr>
          <w:rStyle w:val="FootnoteReference"/>
        </w:rPr>
        <w:footnoteReference w:customMarkFollows="1" w:id="11"/>
        <w:t>3</w:t>
      </w:r>
      <w:r>
        <w:t xml:space="preserve">; otherwise </w:t>
      </w:r>
      <w:r>
        <w:rPr>
          <w:i/>
        </w:rPr>
        <w:t>CP</w:t>
      </w:r>
      <w:r>
        <w:rPr>
          <w:i/>
          <w:vertAlign w:val="subscript"/>
        </w:rPr>
        <w:t>i</w:t>
      </w:r>
      <w:r>
        <w:t>,</w:t>
      </w:r>
      <w:r>
        <w:rPr>
          <w:i/>
          <w:iCs/>
          <w:vertAlign w:val="subscript"/>
        </w:rPr>
        <w:t>t</w:t>
      </w:r>
      <w:r>
        <w:rPr>
          <w:vertAlign w:val="subscript"/>
        </w:rPr>
        <w:t xml:space="preserve"> </w:t>
      </w:r>
      <w:r>
        <w:t xml:space="preserve">= 0.  </w:t>
      </w:r>
    </w:p>
    <w:p w:rsidR="00000000" w:rsidRDefault="00F90957">
      <w:r>
        <w:t xml:space="preserve">  Note that the coupon return always is positive and is only subject to default risk, it does not depend on the yield curve movements.</w:t>
      </w:r>
    </w:p>
    <w:p w:rsidR="00000000" w:rsidRDefault="00F90957"/>
    <w:p w:rsidR="00000000" w:rsidRDefault="00F90957"/>
    <w:p w:rsidR="00000000" w:rsidRDefault="00F90957"/>
    <w:p w:rsidR="00000000" w:rsidRDefault="00F90957"/>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260"/>
        <w:gridCol w:w="720"/>
        <w:gridCol w:w="720"/>
        <w:gridCol w:w="1080"/>
        <w:gridCol w:w="900"/>
        <w:gridCol w:w="900"/>
        <w:gridCol w:w="1260"/>
        <w:gridCol w:w="1260"/>
      </w:tblGrid>
      <w:tr w:rsidR="00000000">
        <w:tblPrEx>
          <w:tblCellMar>
            <w:top w:w="0" w:type="dxa"/>
            <w:bottom w:w="0" w:type="dxa"/>
          </w:tblCellMar>
        </w:tblPrEx>
        <w:tc>
          <w:tcPr>
            <w:tcW w:w="9288" w:type="dxa"/>
            <w:gridSpan w:val="9"/>
            <w:shd w:val="clear" w:color="auto" w:fill="D9D9D9"/>
          </w:tcPr>
          <w:p w:rsidR="00000000" w:rsidRDefault="00F90957">
            <w:pPr>
              <w:jc w:val="center"/>
            </w:pPr>
            <w:r>
              <w:t>Total bond return</w:t>
            </w:r>
          </w:p>
        </w:tc>
      </w:tr>
      <w:tr w:rsidR="00000000">
        <w:tblPrEx>
          <w:tblCellMar>
            <w:top w:w="0" w:type="dxa"/>
            <w:bottom w:w="0" w:type="dxa"/>
          </w:tblCellMar>
        </w:tblPrEx>
        <w:trPr>
          <w:cantSplit/>
          <w:trHeight w:val="135"/>
        </w:trPr>
        <w:tc>
          <w:tcPr>
            <w:tcW w:w="6768" w:type="dxa"/>
            <w:gridSpan w:val="7"/>
            <w:shd w:val="clear" w:color="auto" w:fill="D9D9D9"/>
          </w:tcPr>
          <w:p w:rsidR="00000000" w:rsidRDefault="00F90957">
            <w:pPr>
              <w:jc w:val="center"/>
            </w:pPr>
            <w:r>
              <w:t>Price Return</w:t>
            </w:r>
          </w:p>
        </w:tc>
        <w:tc>
          <w:tcPr>
            <w:tcW w:w="2520" w:type="dxa"/>
            <w:gridSpan w:val="2"/>
            <w:shd w:val="clear" w:color="auto" w:fill="D9D9D9"/>
          </w:tcPr>
          <w:p w:rsidR="00000000" w:rsidRDefault="00F90957">
            <w:pPr>
              <w:jc w:val="center"/>
            </w:pPr>
            <w:r>
              <w:t>Coupon Return</w:t>
            </w:r>
          </w:p>
        </w:tc>
      </w:tr>
      <w:tr w:rsidR="00000000">
        <w:tblPrEx>
          <w:tblCellMar>
            <w:top w:w="0" w:type="dxa"/>
            <w:bottom w:w="0" w:type="dxa"/>
          </w:tblCellMar>
        </w:tblPrEx>
        <w:trPr>
          <w:cantSplit/>
          <w:trHeight w:val="258"/>
        </w:trPr>
        <w:tc>
          <w:tcPr>
            <w:tcW w:w="2448" w:type="dxa"/>
            <w:gridSpan w:val="2"/>
            <w:shd w:val="clear" w:color="auto" w:fill="D9D9D9"/>
          </w:tcPr>
          <w:p w:rsidR="00000000" w:rsidRDefault="00F90957">
            <w:pPr>
              <w:jc w:val="center"/>
            </w:pPr>
            <w:r>
              <w:t>Time Return</w:t>
            </w:r>
          </w:p>
        </w:tc>
        <w:tc>
          <w:tcPr>
            <w:tcW w:w="4320" w:type="dxa"/>
            <w:gridSpan w:val="5"/>
          </w:tcPr>
          <w:p w:rsidR="00000000" w:rsidRDefault="00F90957">
            <w:pPr>
              <w:jc w:val="center"/>
            </w:pPr>
            <w:r>
              <w:t>Curve Re</w:t>
            </w:r>
            <w:r>
              <w:t>turn</w:t>
            </w:r>
          </w:p>
        </w:tc>
        <w:tc>
          <w:tcPr>
            <w:tcW w:w="1260" w:type="dxa"/>
            <w:vMerge w:val="restart"/>
          </w:tcPr>
          <w:p w:rsidR="00000000" w:rsidRDefault="00F90957">
            <w:pPr>
              <w:jc w:val="center"/>
            </w:pPr>
            <w:r>
              <w:t>Coupon Payments</w:t>
            </w:r>
          </w:p>
        </w:tc>
        <w:tc>
          <w:tcPr>
            <w:tcW w:w="1260" w:type="dxa"/>
            <w:vMerge w:val="restart"/>
            <w:shd w:val="clear" w:color="auto" w:fill="D9D9D9"/>
          </w:tcPr>
          <w:p w:rsidR="00000000" w:rsidRDefault="00F90957">
            <w:pPr>
              <w:jc w:val="center"/>
            </w:pPr>
            <w:r>
              <w:t>Accrued Coupon change</w:t>
            </w:r>
          </w:p>
        </w:tc>
      </w:tr>
      <w:tr w:rsidR="00000000">
        <w:tblPrEx>
          <w:tblCellMar>
            <w:top w:w="0" w:type="dxa"/>
            <w:bottom w:w="0" w:type="dxa"/>
          </w:tblCellMar>
        </w:tblPrEx>
        <w:trPr>
          <w:cantSplit/>
          <w:trHeight w:val="369"/>
        </w:trPr>
        <w:tc>
          <w:tcPr>
            <w:tcW w:w="1188" w:type="dxa"/>
            <w:shd w:val="clear" w:color="auto" w:fill="D9D9D9"/>
          </w:tcPr>
          <w:p w:rsidR="00000000" w:rsidRDefault="00F90957">
            <w:pPr>
              <w:jc w:val="center"/>
              <w:rPr>
                <w:sz w:val="22"/>
                <w:szCs w:val="22"/>
              </w:rPr>
            </w:pPr>
            <w:r>
              <w:rPr>
                <w:sz w:val="22"/>
                <w:szCs w:val="22"/>
              </w:rPr>
              <w:t>Accretion</w:t>
            </w:r>
          </w:p>
        </w:tc>
        <w:tc>
          <w:tcPr>
            <w:tcW w:w="1260" w:type="dxa"/>
          </w:tcPr>
          <w:p w:rsidR="00000000" w:rsidRDefault="00F90957">
            <w:pPr>
              <w:pStyle w:val="Picture"/>
              <w:jc w:val="center"/>
              <w:rPr>
                <w:sz w:val="22"/>
                <w:szCs w:val="22"/>
              </w:rPr>
            </w:pPr>
            <w:r>
              <w:rPr>
                <w:sz w:val="22"/>
                <w:szCs w:val="22"/>
              </w:rPr>
              <w:t>Rolldown</w:t>
            </w:r>
          </w:p>
        </w:tc>
        <w:tc>
          <w:tcPr>
            <w:tcW w:w="720" w:type="dxa"/>
            <w:shd w:val="clear" w:color="auto" w:fill="D9D9D9"/>
          </w:tcPr>
          <w:p w:rsidR="00000000" w:rsidRDefault="00F90957">
            <w:pPr>
              <w:jc w:val="center"/>
              <w:rPr>
                <w:sz w:val="22"/>
                <w:szCs w:val="22"/>
              </w:rPr>
            </w:pPr>
            <w:r>
              <w:rPr>
                <w:sz w:val="22"/>
                <w:szCs w:val="22"/>
              </w:rPr>
              <w:t>Shift</w:t>
            </w:r>
          </w:p>
        </w:tc>
        <w:tc>
          <w:tcPr>
            <w:tcW w:w="720" w:type="dxa"/>
          </w:tcPr>
          <w:p w:rsidR="00000000" w:rsidRDefault="00F90957">
            <w:pPr>
              <w:jc w:val="center"/>
              <w:rPr>
                <w:sz w:val="22"/>
                <w:szCs w:val="22"/>
              </w:rPr>
            </w:pPr>
            <w:r>
              <w:rPr>
                <w:sz w:val="22"/>
                <w:szCs w:val="22"/>
              </w:rPr>
              <w:t>Twist</w:t>
            </w:r>
          </w:p>
        </w:tc>
        <w:tc>
          <w:tcPr>
            <w:tcW w:w="1080" w:type="dxa"/>
            <w:shd w:val="clear" w:color="auto" w:fill="D9D9D9"/>
          </w:tcPr>
          <w:p w:rsidR="00000000" w:rsidRDefault="00F90957">
            <w:pPr>
              <w:jc w:val="center"/>
              <w:rPr>
                <w:sz w:val="22"/>
                <w:szCs w:val="22"/>
              </w:rPr>
            </w:pPr>
            <w:r>
              <w:rPr>
                <w:sz w:val="22"/>
                <w:szCs w:val="22"/>
              </w:rPr>
              <w:t>Butterfly</w:t>
            </w:r>
          </w:p>
        </w:tc>
        <w:tc>
          <w:tcPr>
            <w:tcW w:w="900" w:type="dxa"/>
          </w:tcPr>
          <w:p w:rsidR="00000000" w:rsidRDefault="00F90957">
            <w:pPr>
              <w:jc w:val="center"/>
              <w:rPr>
                <w:sz w:val="22"/>
                <w:szCs w:val="22"/>
              </w:rPr>
            </w:pPr>
            <w:r>
              <w:rPr>
                <w:sz w:val="22"/>
                <w:szCs w:val="22"/>
              </w:rPr>
              <w:t>Spread</w:t>
            </w:r>
          </w:p>
        </w:tc>
        <w:tc>
          <w:tcPr>
            <w:tcW w:w="900" w:type="dxa"/>
            <w:shd w:val="clear" w:color="auto" w:fill="D9D9D9"/>
          </w:tcPr>
          <w:p w:rsidR="00000000" w:rsidRDefault="00F90957">
            <w:pPr>
              <w:jc w:val="center"/>
              <w:rPr>
                <w:sz w:val="22"/>
                <w:szCs w:val="22"/>
              </w:rPr>
            </w:pPr>
            <w:r>
              <w:rPr>
                <w:sz w:val="22"/>
                <w:szCs w:val="22"/>
              </w:rPr>
              <w:t>Shape</w:t>
            </w:r>
          </w:p>
        </w:tc>
        <w:tc>
          <w:tcPr>
            <w:tcW w:w="1260" w:type="dxa"/>
            <w:vMerge/>
            <w:shd w:val="clear" w:color="auto" w:fill="C0C0C0"/>
          </w:tcPr>
          <w:p w:rsidR="00000000" w:rsidRDefault="00F90957">
            <w:pPr>
              <w:jc w:val="center"/>
            </w:pPr>
          </w:p>
        </w:tc>
        <w:tc>
          <w:tcPr>
            <w:tcW w:w="1260" w:type="dxa"/>
            <w:vMerge/>
            <w:shd w:val="clear" w:color="auto" w:fill="D9D9D9"/>
          </w:tcPr>
          <w:p w:rsidR="00000000" w:rsidRDefault="00F90957">
            <w:pPr>
              <w:jc w:val="center"/>
            </w:pPr>
          </w:p>
        </w:tc>
      </w:tr>
    </w:tbl>
    <w:p w:rsidR="00000000" w:rsidRDefault="00F90957">
      <w:r>
        <w:t xml:space="preserve">Table 6.2  Decomposition of bond return (the size of the buckets does not correspond to their </w:t>
      </w:r>
      <w:r>
        <w:rPr>
          <w:bCs/>
        </w:rPr>
        <w:t>relative contribution to the total return)</w:t>
      </w:r>
    </w:p>
    <w:p w:rsidR="00000000" w:rsidRDefault="00F90957">
      <w:pPr>
        <w:pStyle w:val="Heading2"/>
      </w:pPr>
      <w:bookmarkStart w:id="34" w:name="_Toc38162690"/>
      <w:r>
        <w:t>6.3 The implemente</w:t>
      </w:r>
      <w:r>
        <w:t>d model</w:t>
      </w:r>
      <w:bookmarkEnd w:id="34"/>
    </w:p>
    <w:p w:rsidR="00000000" w:rsidRDefault="00F90957">
      <w:pPr>
        <w:pStyle w:val="Heading3"/>
      </w:pPr>
      <w:bookmarkStart w:id="35" w:name="_Toc38162691"/>
      <w:r>
        <w:t>6.3.1 Deriving the implied zero curve</w:t>
      </w:r>
      <w:bookmarkEnd w:id="35"/>
    </w:p>
    <w:p w:rsidR="00000000" w:rsidRDefault="00F90957">
      <w:pPr>
        <w:pStyle w:val="Picture"/>
      </w:pPr>
      <w:r>
        <w:t xml:space="preserve">The model that has been implemented use implied Treasury zero curves. A residual free model, meaning that the curves give the correct price for all the input bonds (see section 2.3), is used to obtain the zero </w:t>
      </w:r>
      <w:r>
        <w:t xml:space="preserve">curves for the start and end of the measurement period. Let </w:t>
      </w:r>
    </w:p>
    <w:p w:rsidR="00000000" w:rsidRDefault="00F90957">
      <w:pPr>
        <w:pStyle w:val="Picture"/>
      </w:pPr>
    </w:p>
    <w:p w:rsidR="00000000" w:rsidRDefault="00F90957">
      <w:pPr>
        <w:pStyle w:val="Picture"/>
      </w:pPr>
      <w:r>
        <w:rPr>
          <w:position w:val="-12"/>
        </w:rPr>
        <w:object w:dxaOrig="380" w:dyaOrig="380">
          <v:shape id="_x0000_i1156" type="#_x0000_t75" style="width:18.75pt;height:18.75pt" o:ole="">
            <v:imagedata r:id="rId266" o:title=""/>
          </v:shape>
          <o:OLEObject Type="Embed" ProgID="Equation.3" ShapeID="_x0000_i1156" DrawAspect="Content" ObjectID="_1597674001" r:id="rId267"/>
        </w:object>
      </w:r>
      <w:r>
        <w:tab/>
      </w:r>
      <w:r>
        <w:tab/>
      </w:r>
      <w:r>
        <w:tab/>
      </w:r>
      <w:r>
        <w:tab/>
      </w:r>
      <w:r>
        <w:tab/>
      </w:r>
      <w:r>
        <w:rPr>
          <w:i/>
          <w:iCs/>
        </w:rPr>
        <w:t>i</w:t>
      </w:r>
      <w:r>
        <w:t xml:space="preserve"> = 1, 2,..., </w:t>
      </w:r>
      <w:r>
        <w:rPr>
          <w:i/>
          <w:iCs/>
        </w:rPr>
        <w:t>N</w:t>
      </w:r>
    </w:p>
    <w:p w:rsidR="00000000" w:rsidRDefault="00F90957">
      <w:pPr>
        <w:pStyle w:val="Picture"/>
      </w:pPr>
    </w:p>
    <w:p w:rsidR="00000000" w:rsidRDefault="00F90957">
      <w:pPr>
        <w:pStyle w:val="Picture"/>
      </w:pPr>
      <w:r>
        <w:t xml:space="preserve">be the maturities of the </w:t>
      </w:r>
      <w:r>
        <w:rPr>
          <w:i/>
        </w:rPr>
        <w:t>N</w:t>
      </w:r>
      <w:r>
        <w:t xml:space="preserve"> input bonds with </w:t>
      </w:r>
      <w:r>
        <w:rPr>
          <w:i/>
          <w:iCs/>
        </w:rPr>
        <w:t>T</w:t>
      </w:r>
      <w:r>
        <w:rPr>
          <w:i/>
          <w:iCs/>
          <w:vertAlign w:val="subscript"/>
        </w:rPr>
        <w:t>i</w:t>
      </w:r>
      <w:r>
        <w:t xml:space="preserve"> &lt; </w:t>
      </w:r>
      <w:r>
        <w:rPr>
          <w:i/>
          <w:iCs/>
        </w:rPr>
        <w:t>T</w:t>
      </w:r>
      <w:r>
        <w:rPr>
          <w:i/>
          <w:iCs/>
          <w:vertAlign w:val="subscript"/>
        </w:rPr>
        <w:t>j</w:t>
      </w:r>
      <w:r>
        <w:rPr>
          <w:vertAlign w:val="subscript"/>
        </w:rPr>
        <w:t xml:space="preserve"> </w:t>
      </w:r>
      <w:r>
        <w:t xml:space="preserve">if </w:t>
      </w:r>
      <w:r>
        <w:rPr>
          <w:i/>
          <w:iCs/>
        </w:rPr>
        <w:t xml:space="preserve">i </w:t>
      </w:r>
      <w:r>
        <w:t>&lt;</w:t>
      </w:r>
      <w:r>
        <w:rPr>
          <w:i/>
          <w:iCs/>
        </w:rPr>
        <w:t xml:space="preserve"> j</w:t>
      </w:r>
      <w:r>
        <w:t xml:space="preserve">. In general, </w:t>
      </w:r>
      <w:r>
        <w:rPr>
          <w:i/>
        </w:rPr>
        <w:t>N</w:t>
      </w:r>
      <w:r>
        <w:t xml:space="preserve"> parameters are needed to define the curve if all input bonds are to be co</w:t>
      </w:r>
      <w:r>
        <w:t xml:space="preserve">rrectly priced. The parameters are taken to be the value of the zero curve </w:t>
      </w:r>
      <w:r>
        <w:rPr>
          <w:i/>
          <w:iCs/>
        </w:rPr>
        <w:t xml:space="preserve">Y </w:t>
      </w:r>
      <w:r>
        <w:t xml:space="preserve">at the times of maturity of the </w:t>
      </w:r>
      <w:r>
        <w:rPr>
          <w:i/>
          <w:iCs/>
        </w:rPr>
        <w:t>N</w:t>
      </w:r>
      <w:r>
        <w:t xml:space="preserve"> bonds. We denote these values</w:t>
      </w:r>
    </w:p>
    <w:p w:rsidR="00000000" w:rsidRDefault="00F90957">
      <w:pPr>
        <w:pStyle w:val="Picture"/>
      </w:pPr>
    </w:p>
    <w:p w:rsidR="00000000" w:rsidRDefault="00F90957">
      <w:pPr>
        <w:pStyle w:val="Picture"/>
        <w:ind w:left="8252" w:hanging="8252"/>
      </w:pPr>
      <w:r>
        <w:rPr>
          <w:i/>
          <w:iCs/>
          <w:position w:val="-12"/>
        </w:rPr>
        <w:object w:dxaOrig="1180" w:dyaOrig="380">
          <v:shape id="_x0000_i1157" type="#_x0000_t75" style="width:59.25pt;height:18.75pt" o:ole="">
            <v:imagedata r:id="rId268" o:title=""/>
          </v:shape>
          <o:OLEObject Type="Embed" ProgID="Equation.3" ShapeID="_x0000_i1157" DrawAspect="Content" ObjectID="_1597674002" r:id="rId269"/>
        </w:object>
      </w:r>
      <w:r>
        <w:t xml:space="preserve">                                              </w:t>
      </w:r>
      <w:r>
        <w:rPr>
          <w:i/>
          <w:iCs/>
        </w:rPr>
        <w:t>i</w:t>
      </w:r>
      <w:r>
        <w:t xml:space="preserve"> = 1, 2,..., </w:t>
      </w:r>
      <w:r>
        <w:rPr>
          <w:i/>
          <w:iCs/>
        </w:rPr>
        <w:t>N</w:t>
      </w:r>
      <w:r>
        <w:t xml:space="preserve">. </w:t>
      </w:r>
      <w:r>
        <w:tab/>
        <w:t>(6.17)</w:t>
      </w:r>
    </w:p>
    <w:p w:rsidR="00000000" w:rsidRDefault="00F90957">
      <w:pPr>
        <w:pStyle w:val="Picture"/>
        <w:tabs>
          <w:tab w:val="left" w:pos="2340"/>
        </w:tabs>
      </w:pPr>
      <w:r>
        <w:tab/>
      </w:r>
    </w:p>
    <w:p w:rsidR="00000000" w:rsidRDefault="00F90957">
      <w:pPr>
        <w:pStyle w:val="Picture"/>
      </w:pPr>
      <w:r>
        <w:t xml:space="preserve"> An interpolation </w:t>
      </w:r>
      <w:r>
        <w:t>method is used to obtain the curve value at other points. The implementation supports linear, log-linear and Hermitian interpolation. According to Valtonen (1998), Hermitian interpolation gives the best results of the three methods and was therefore used f</w:t>
      </w:r>
      <w:r>
        <w:t xml:space="preserve">or most tests. </w:t>
      </w:r>
    </w:p>
    <w:p w:rsidR="00000000" w:rsidRDefault="00F90957">
      <w:pPr>
        <w:pStyle w:val="Picture"/>
      </w:pPr>
      <w:r>
        <w:t xml:space="preserve">  Denote the parameter vector {</w:t>
      </w:r>
      <w:r>
        <w:rPr>
          <w:i/>
          <w:iCs/>
        </w:rPr>
        <w:t>z</w:t>
      </w:r>
      <w:r>
        <w:rPr>
          <w:i/>
          <w:iCs/>
          <w:vertAlign w:val="subscript"/>
        </w:rPr>
        <w:t>1</w:t>
      </w:r>
      <w:r>
        <w:t>,…,</w:t>
      </w:r>
      <w:r>
        <w:rPr>
          <w:i/>
          <w:iCs/>
        </w:rPr>
        <w:t>z</w:t>
      </w:r>
      <w:r>
        <w:rPr>
          <w:i/>
          <w:iCs/>
          <w:vertAlign w:val="subscript"/>
        </w:rPr>
        <w:t>N</w:t>
      </w:r>
      <w:r>
        <w:t xml:space="preserve">} by </w:t>
      </w:r>
      <w:r>
        <w:rPr>
          <w:b/>
          <w:bCs/>
        </w:rPr>
        <w:t xml:space="preserve">z </w:t>
      </w:r>
      <w:r>
        <w:t xml:space="preserve">and let </w:t>
      </w:r>
      <w:r>
        <w:rPr>
          <w:i/>
          <w:iCs/>
        </w:rPr>
        <w:t>P</w:t>
      </w:r>
      <w:r>
        <w:rPr>
          <w:i/>
          <w:iCs/>
          <w:vertAlign w:val="subscript"/>
        </w:rPr>
        <w:t>i,t</w:t>
      </w:r>
      <w:r>
        <w:t>(</w:t>
      </w:r>
      <w:r>
        <w:rPr>
          <w:b/>
          <w:bCs/>
        </w:rPr>
        <w:t>z)</w:t>
      </w:r>
      <w:r>
        <w:t xml:space="preserve"> be the price of bond </w:t>
      </w:r>
      <w:r>
        <w:rPr>
          <w:i/>
          <w:iCs/>
        </w:rPr>
        <w:t>i</w:t>
      </w:r>
      <w:r>
        <w:t xml:space="preserve"> at time </w:t>
      </w:r>
      <w:r>
        <w:rPr>
          <w:i/>
          <w:iCs/>
        </w:rPr>
        <w:t>t</w:t>
      </w:r>
      <w:r>
        <w:t xml:space="preserve"> implied by the yield-curve given by </w:t>
      </w:r>
      <w:r>
        <w:rPr>
          <w:b/>
          <w:bCs/>
        </w:rPr>
        <w:t>z</w:t>
      </w:r>
      <w:r>
        <w:t xml:space="preserve">. We want to find the parameter values that make the error terms </w:t>
      </w:r>
    </w:p>
    <w:p w:rsidR="00000000" w:rsidRDefault="00F90957">
      <w:pPr>
        <w:pStyle w:val="Picture"/>
      </w:pPr>
    </w:p>
    <w:p w:rsidR="00000000" w:rsidRDefault="00F90957">
      <w:pPr>
        <w:pStyle w:val="Picture"/>
      </w:pPr>
      <w:r>
        <w:rPr>
          <w:position w:val="-14"/>
        </w:rPr>
        <w:object w:dxaOrig="1160" w:dyaOrig="380">
          <v:shape id="_x0000_i1158" type="#_x0000_t75" style="width:57.75pt;height:18.75pt" o:ole="">
            <v:imagedata r:id="rId270" o:title=""/>
          </v:shape>
          <o:OLEObject Type="Embed" ProgID="Equation.3" ShapeID="_x0000_i1158" DrawAspect="Content" ObjectID="_1597674003" r:id="rId271"/>
        </w:object>
      </w:r>
      <w:r>
        <w:t xml:space="preserve">  </w:t>
      </w:r>
      <w:r>
        <w:tab/>
      </w:r>
      <w:r>
        <w:tab/>
      </w:r>
      <w:r>
        <w:tab/>
      </w:r>
      <w:r>
        <w:tab/>
      </w:r>
      <w:r>
        <w:rPr>
          <w:i/>
          <w:iCs/>
        </w:rPr>
        <w:t>i</w:t>
      </w:r>
      <w:r>
        <w:t xml:space="preserve"> = 1, 2,...,</w:t>
      </w:r>
      <w:r>
        <w:t xml:space="preserve"> </w:t>
      </w:r>
      <w:r>
        <w:rPr>
          <w:i/>
          <w:iCs/>
        </w:rPr>
        <w:t>N</w:t>
      </w:r>
    </w:p>
    <w:p w:rsidR="00000000" w:rsidRDefault="00F90957">
      <w:pPr>
        <w:pStyle w:val="Picture"/>
        <w:spacing w:line="360" w:lineRule="auto"/>
      </w:pPr>
    </w:p>
    <w:p w:rsidR="00000000" w:rsidRDefault="00F90957">
      <w:pPr>
        <w:pStyle w:val="Picture"/>
      </w:pPr>
      <w:r>
        <w:t xml:space="preserve">equal to zero or as close to zero as is desired. This is done using the multidimensional Newton-Raphson method.    </w:t>
      </w:r>
    </w:p>
    <w:p w:rsidR="00000000" w:rsidRDefault="00F90957">
      <w:pPr>
        <w:pStyle w:val="Heading3"/>
      </w:pPr>
      <w:bookmarkStart w:id="36" w:name="_Toc38162692"/>
      <w:r>
        <w:t>6.3.2 Defining the curve change components</w:t>
      </w:r>
      <w:bookmarkEnd w:id="36"/>
    </w:p>
    <w:p w:rsidR="00000000" w:rsidRDefault="00F90957">
      <w:r>
        <w:t xml:space="preserve">One way of defining the shift, twist and butterfly movements, is to use a statistical method </w:t>
      </w:r>
      <w:r>
        <w:t xml:space="preserve">called principal component analysis (PCA). To get an idea of how PCA works, consider a vector </w:t>
      </w:r>
      <w:r>
        <w:rPr>
          <w:b/>
        </w:rPr>
        <w:t>x</w:t>
      </w:r>
      <w:r>
        <w:t xml:space="preserve"> of </w:t>
      </w:r>
      <w:r>
        <w:rPr>
          <w:i/>
        </w:rPr>
        <w:t xml:space="preserve">n </w:t>
      </w:r>
      <w:r>
        <w:t xml:space="preserve">stochastic variables that are not uncorrelated. In Appendix A it is shown that this vector can be expressed as </w:t>
      </w:r>
    </w:p>
    <w:p w:rsidR="00000000" w:rsidRDefault="00F90957"/>
    <w:p w:rsidR="00000000" w:rsidRDefault="00F90957">
      <w:pPr>
        <w:ind w:left="8252" w:hanging="8252"/>
      </w:pPr>
      <w:r>
        <w:rPr>
          <w:position w:val="-12"/>
        </w:rPr>
        <w:object w:dxaOrig="2540" w:dyaOrig="360">
          <v:shape id="_x0000_i1159" type="#_x0000_t75" style="width:126.75pt;height:18pt" o:ole="">
            <v:imagedata r:id="rId272" o:title=""/>
          </v:shape>
          <o:OLEObject Type="Embed" ProgID="Equation.2" ShapeID="_x0000_i1159" DrawAspect="Content" ObjectID="_1597674004" r:id="rId273"/>
        </w:object>
      </w:r>
      <w:r>
        <w:t>,</w:t>
      </w:r>
      <w:r>
        <w:tab/>
        <w:t>(6.18)</w:t>
      </w:r>
    </w:p>
    <w:p w:rsidR="00000000" w:rsidRDefault="00F90957"/>
    <w:p w:rsidR="00000000" w:rsidRDefault="00F90957">
      <w:r>
        <w:t>where the</w:t>
      </w:r>
      <w:r>
        <w:t xml:space="preserve"> stochastic variables {</w:t>
      </w:r>
      <w:r>
        <w:rPr>
          <w:i/>
        </w:rPr>
        <w:t>y</w:t>
      </w:r>
      <w:r>
        <w:rPr>
          <w:i/>
          <w:vertAlign w:val="subscript"/>
        </w:rPr>
        <w:t>i</w:t>
      </w:r>
      <w:r>
        <w:rPr>
          <w:i/>
        </w:rPr>
        <w:t>, i</w:t>
      </w:r>
      <w:r>
        <w:t xml:space="preserve"> = 1, 2, …, </w:t>
      </w:r>
      <w:r>
        <w:rPr>
          <w:i/>
        </w:rPr>
        <w:t>n</w:t>
      </w:r>
      <w:r>
        <w:t>} are uncorrelated and the constant vectors {</w:t>
      </w:r>
      <w:r>
        <w:rPr>
          <w:b/>
        </w:rPr>
        <w:t>a</w:t>
      </w:r>
      <w:r>
        <w:rPr>
          <w:vertAlign w:val="subscript"/>
        </w:rPr>
        <w:t>i</w:t>
      </w:r>
      <w:r>
        <w:t xml:space="preserve">, </w:t>
      </w:r>
      <w:r>
        <w:rPr>
          <w:i/>
        </w:rPr>
        <w:t>i</w:t>
      </w:r>
      <w:r>
        <w:t xml:space="preserve"> = 1, 2, …, </w:t>
      </w:r>
      <w:r>
        <w:rPr>
          <w:i/>
        </w:rPr>
        <w:t>n</w:t>
      </w:r>
      <w:r>
        <w:t>} make up an orthonormal basis in R</w:t>
      </w:r>
      <w:r>
        <w:rPr>
          <w:i/>
          <w:vertAlign w:val="superscript"/>
        </w:rPr>
        <w:t>n</w:t>
      </w:r>
      <w:r>
        <w:t xml:space="preserve">. This means that the sum oft he variances of the correlated variables is </w:t>
      </w:r>
    </w:p>
    <w:p w:rsidR="00000000" w:rsidRDefault="00F90957">
      <w:pPr>
        <w:pStyle w:val="NoteHeading"/>
        <w:rPr>
          <w:lang w:val="en-GB"/>
        </w:rPr>
      </w:pPr>
    </w:p>
    <w:p w:rsidR="00000000" w:rsidRDefault="00F90957">
      <w:pPr>
        <w:ind w:left="8252" w:hanging="8252"/>
      </w:pPr>
      <w:r>
        <w:rPr>
          <w:position w:val="-28"/>
        </w:rPr>
        <w:object w:dxaOrig="2360" w:dyaOrig="680">
          <v:shape id="_x0000_i1160" type="#_x0000_t75" style="width:117.75pt;height:33.75pt" o:ole="">
            <v:imagedata r:id="rId274" o:title=""/>
          </v:shape>
          <o:OLEObject Type="Embed" ProgID="Equation.2" ShapeID="_x0000_i1160" DrawAspect="Content" ObjectID="_1597674005" r:id="rId275"/>
        </w:object>
      </w:r>
      <w:r>
        <w:t>.</w:t>
      </w:r>
      <w:r>
        <w:tab/>
        <w:t>(6.19)</w:t>
      </w:r>
    </w:p>
    <w:p w:rsidR="00000000" w:rsidRDefault="00F90957"/>
    <w:p w:rsidR="00000000" w:rsidRDefault="00F90957">
      <w:r>
        <w:t xml:space="preserve">If the </w:t>
      </w:r>
      <w:r>
        <w:t>variables are ordered so that Var(</w:t>
      </w:r>
      <w:r>
        <w:rPr>
          <w:i/>
        </w:rPr>
        <w:t>y</w:t>
      </w:r>
      <w:r>
        <w:rPr>
          <w:i/>
          <w:vertAlign w:val="subscript"/>
        </w:rPr>
        <w:t>i</w:t>
      </w:r>
      <w:r>
        <w:t xml:space="preserve">) </w:t>
      </w:r>
      <w:r>
        <w:sym w:font="Symbol" w:char="F0B3"/>
      </w:r>
      <w:r>
        <w:t xml:space="preserve"> Var(</w:t>
      </w:r>
      <w:r>
        <w:rPr>
          <w:i/>
        </w:rPr>
        <w:t>y</w:t>
      </w:r>
      <w:r>
        <w:rPr>
          <w:i/>
          <w:vertAlign w:val="subscript"/>
        </w:rPr>
        <w:t>j</w:t>
      </w:r>
      <w:r>
        <w:t xml:space="preserve">) for </w:t>
      </w:r>
      <w:r>
        <w:rPr>
          <w:i/>
        </w:rPr>
        <w:t>i</w:t>
      </w:r>
      <w:r>
        <w:t xml:space="preserve"> </w:t>
      </w:r>
      <w:r>
        <w:sym w:font="Symbol" w:char="F0B3"/>
      </w:r>
      <w:r>
        <w:t xml:space="preserve"> </w:t>
      </w:r>
      <w:r>
        <w:rPr>
          <w:i/>
        </w:rPr>
        <w:t>j</w:t>
      </w:r>
      <w:r>
        <w:t xml:space="preserve"> and most of the variance of the </w:t>
      </w:r>
      <w:r>
        <w:rPr>
          <w:i/>
          <w:iCs/>
        </w:rPr>
        <w:t>x</w:t>
      </w:r>
      <w:r>
        <w:rPr>
          <w:i/>
          <w:iCs/>
          <w:vertAlign w:val="subscript"/>
        </w:rPr>
        <w:t>i</w:t>
      </w:r>
      <w:r>
        <w:t xml:space="preserve">:s comes from the </w:t>
      </w:r>
      <w:r>
        <w:rPr>
          <w:i/>
        </w:rPr>
        <w:t>k</w:t>
      </w:r>
      <w:r>
        <w:t xml:space="preserve"> first variables we can approximate </w:t>
      </w:r>
      <w:r>
        <w:rPr>
          <w:b/>
        </w:rPr>
        <w:t xml:space="preserve">x </w:t>
      </w:r>
      <w:r>
        <w:t>by these variables, the principal components, and their corresponding vectors, the principal axes:</w:t>
      </w:r>
    </w:p>
    <w:p w:rsidR="00000000" w:rsidRDefault="00F90957">
      <w:pPr>
        <w:pStyle w:val="NoteHeading"/>
        <w:rPr>
          <w:lang w:val="en-GB"/>
        </w:rPr>
      </w:pPr>
    </w:p>
    <w:p w:rsidR="00000000" w:rsidRDefault="00F90957">
      <w:pPr>
        <w:ind w:left="8252" w:hanging="8252"/>
      </w:pPr>
      <w:r>
        <w:rPr>
          <w:position w:val="-12"/>
        </w:rPr>
        <w:object w:dxaOrig="2840" w:dyaOrig="360">
          <v:shape id="_x0000_i1161" type="#_x0000_t75" style="width:141.75pt;height:18pt" o:ole="">
            <v:imagedata r:id="rId276" o:title=""/>
          </v:shape>
          <o:OLEObject Type="Embed" ProgID="Equation.3" ShapeID="_x0000_i1161" DrawAspect="Content" ObjectID="_1597674006" r:id="rId277"/>
        </w:object>
      </w:r>
      <w:r>
        <w:rPr>
          <w:b/>
          <w:bCs/>
        </w:rPr>
        <w:sym w:font="Symbol" w:char="F065"/>
      </w:r>
      <w:r>
        <w:rPr>
          <w:b/>
          <w:bCs/>
        </w:rPr>
        <w:t xml:space="preserve"> </w:t>
      </w:r>
      <w:r>
        <w:t>,</w:t>
      </w:r>
      <w:r>
        <w:tab/>
        <w:t>(6.20)</w:t>
      </w:r>
    </w:p>
    <w:p w:rsidR="00000000" w:rsidRDefault="00F90957"/>
    <w:p w:rsidR="00000000" w:rsidRDefault="00F90957">
      <w:r>
        <w:t xml:space="preserve">where the residual vector </w:t>
      </w:r>
      <w:r>
        <w:rPr>
          <w:b/>
        </w:rPr>
        <w:sym w:font="Symbol" w:char="F065"/>
      </w:r>
      <w:r>
        <w:t xml:space="preserve"> = </w:t>
      </w:r>
      <w:r>
        <w:rPr>
          <w:b/>
        </w:rPr>
        <w:t>a</w:t>
      </w:r>
      <w:r>
        <w:rPr>
          <w:i/>
          <w:vertAlign w:val="subscript"/>
        </w:rPr>
        <w:t>k</w:t>
      </w:r>
      <w:r>
        <w:rPr>
          <w:vertAlign w:val="subscript"/>
        </w:rPr>
        <w:t>+1</w:t>
      </w:r>
      <w:r>
        <w:rPr>
          <w:i/>
        </w:rPr>
        <w:t>y</w:t>
      </w:r>
      <w:r>
        <w:rPr>
          <w:i/>
          <w:vertAlign w:val="subscript"/>
        </w:rPr>
        <w:t>k</w:t>
      </w:r>
      <w:r>
        <w:rPr>
          <w:vertAlign w:val="subscript"/>
        </w:rPr>
        <w:t>+1</w:t>
      </w:r>
      <w:r>
        <w:t>+…+</w:t>
      </w:r>
      <w:r>
        <w:rPr>
          <w:b/>
        </w:rPr>
        <w:t xml:space="preserve"> a</w:t>
      </w:r>
      <w:r>
        <w:rPr>
          <w:i/>
          <w:vertAlign w:val="subscript"/>
        </w:rPr>
        <w:t>n</w:t>
      </w:r>
      <w:r>
        <w:rPr>
          <w:i/>
        </w:rPr>
        <w:t>y</w:t>
      </w:r>
      <w:r>
        <w:rPr>
          <w:i/>
          <w:vertAlign w:val="subscript"/>
        </w:rPr>
        <w:t>n</w:t>
      </w:r>
      <w:r>
        <w:rPr>
          <w:b/>
        </w:rPr>
        <w:t xml:space="preserve"> </w:t>
      </w:r>
      <w:r>
        <w:rPr>
          <w:bCs/>
        </w:rPr>
        <w:t>i</w:t>
      </w:r>
      <w:r>
        <w:t xml:space="preserve">s orthogonal to </w:t>
      </w:r>
      <w:r>
        <w:rPr>
          <w:b/>
        </w:rPr>
        <w:t xml:space="preserve">x - </w:t>
      </w:r>
      <w:r>
        <w:rPr>
          <w:b/>
        </w:rPr>
        <w:sym w:font="Symbol" w:char="F065"/>
      </w:r>
      <w:r>
        <w:t xml:space="preserve">. By only considering the principal components, the number of variables has been reduced from </w:t>
      </w:r>
      <w:r>
        <w:rPr>
          <w:i/>
        </w:rPr>
        <w:t xml:space="preserve">n </w:t>
      </w:r>
      <w:r>
        <w:t xml:space="preserve">to </w:t>
      </w:r>
      <w:r>
        <w:rPr>
          <w:i/>
        </w:rPr>
        <w:t>k</w:t>
      </w:r>
      <w:r>
        <w:t xml:space="preserve"> while the vectors, or principal axis, {</w:t>
      </w:r>
      <w:r>
        <w:rPr>
          <w:b/>
          <w:iCs/>
        </w:rPr>
        <w:t>a</w:t>
      </w:r>
      <w:r>
        <w:rPr>
          <w:i/>
          <w:vertAlign w:val="subscript"/>
        </w:rPr>
        <w:t>i</w:t>
      </w:r>
      <w:r>
        <w:t xml:space="preserve">, </w:t>
      </w:r>
      <w:r>
        <w:rPr>
          <w:i/>
        </w:rPr>
        <w:t xml:space="preserve"> i </w:t>
      </w:r>
      <w:r>
        <w:t xml:space="preserve">= 1, 2, …, </w:t>
      </w:r>
      <w:r>
        <w:rPr>
          <w:i/>
        </w:rPr>
        <w:t>k</w:t>
      </w:r>
      <w:r>
        <w:t>}</w:t>
      </w:r>
      <w:r>
        <w:rPr>
          <w:i/>
        </w:rPr>
        <w:t xml:space="preserve"> </w:t>
      </w:r>
      <w:r>
        <w:t xml:space="preserve">corresponding to these </w:t>
      </w:r>
      <w:r>
        <w:rPr>
          <w:i/>
        </w:rPr>
        <w:t>k</w:t>
      </w:r>
      <w:r>
        <w:t xml:space="preserve"> variables span a subspace of R</w:t>
      </w:r>
      <w:r>
        <w:rPr>
          <w:i/>
          <w:vertAlign w:val="superscript"/>
        </w:rPr>
        <w:t>n</w:t>
      </w:r>
      <w:r>
        <w:t xml:space="preserve"> that contain most of the variance of </w:t>
      </w:r>
      <w:r>
        <w:rPr>
          <w:b/>
        </w:rPr>
        <w:t>x</w:t>
      </w:r>
      <w:r>
        <w:t xml:space="preserve">.  </w:t>
      </w:r>
    </w:p>
    <w:p w:rsidR="00000000" w:rsidRDefault="00F90957">
      <w:r>
        <w:t xml:space="preserve">  For the purpose of decomposing the yield curve movement, the correlated variables are defined as the movements of the implied Treasury zero curve at pres</w:t>
      </w:r>
      <w:r>
        <w:t>cribed points on the time axis. Let</w:t>
      </w:r>
    </w:p>
    <w:p w:rsidR="00000000" w:rsidRDefault="00F90957"/>
    <w:p w:rsidR="00000000" w:rsidRDefault="00F90957">
      <w:pPr>
        <w:ind w:left="8252" w:hanging="8252"/>
      </w:pPr>
      <w:r>
        <w:rPr>
          <w:position w:val="-14"/>
        </w:rPr>
        <w:object w:dxaOrig="3100" w:dyaOrig="380">
          <v:shape id="_x0000_i1162" type="#_x0000_t75" style="width:155.25pt;height:18.75pt" o:ole="">
            <v:imagedata r:id="rId278" o:title=""/>
          </v:shape>
          <o:OLEObject Type="Embed" ProgID="Equation.3" ShapeID="_x0000_i1162" DrawAspect="Content" ObjectID="_1597674007" r:id="rId279"/>
        </w:object>
      </w:r>
      <w:r>
        <w:tab/>
        <w:t>(6.21)</w:t>
      </w:r>
    </w:p>
    <w:p w:rsidR="00000000" w:rsidRDefault="00F90957"/>
    <w:p w:rsidR="00000000" w:rsidRDefault="00F90957">
      <w:r>
        <w:t xml:space="preserve">be the movement of the zero curve at time </w:t>
      </w:r>
      <w:r>
        <w:rPr>
          <w:i/>
        </w:rPr>
        <w:t>T</w:t>
      </w:r>
      <w:r>
        <w:t xml:space="preserve"> for the period [</w:t>
      </w:r>
      <w:r>
        <w:rPr>
          <w:i/>
        </w:rPr>
        <w:t>t</w:t>
      </w:r>
      <w:r>
        <w:rPr>
          <w:vertAlign w:val="subscript"/>
        </w:rPr>
        <w:t>1</w:t>
      </w:r>
      <w:r>
        <w:t xml:space="preserve">, </w:t>
      </w:r>
      <w:r>
        <w:rPr>
          <w:i/>
        </w:rPr>
        <w:t>t</w:t>
      </w:r>
      <w:r>
        <w:rPr>
          <w:vertAlign w:val="subscript"/>
        </w:rPr>
        <w:t>2</w:t>
      </w:r>
      <w:r>
        <w:t>]. Choose a set of points on the time axis, {</w:t>
      </w:r>
      <w:r>
        <w:rPr>
          <w:i/>
        </w:rPr>
        <w:t>T</w:t>
      </w:r>
      <w:r>
        <w:rPr>
          <w:i/>
          <w:vertAlign w:val="subscript"/>
        </w:rPr>
        <w:t>i</w:t>
      </w:r>
      <w:r>
        <w:t xml:space="preserve"> </w:t>
      </w:r>
      <w:r>
        <w:rPr>
          <w:i/>
        </w:rPr>
        <w:t>i</w:t>
      </w:r>
      <w:r>
        <w:t xml:space="preserve"> = 1, 2, …, </w:t>
      </w:r>
      <w:r>
        <w:rPr>
          <w:i/>
        </w:rPr>
        <w:t>n</w:t>
      </w:r>
      <w:r>
        <w:t>} and consider the vector</w:t>
      </w:r>
    </w:p>
    <w:p w:rsidR="00000000" w:rsidRDefault="00F90957"/>
    <w:p w:rsidR="00000000" w:rsidRDefault="00F90957">
      <w:pPr>
        <w:ind w:left="8252" w:hanging="8252"/>
      </w:pPr>
      <w:r>
        <w:rPr>
          <w:position w:val="-86"/>
        </w:rPr>
        <w:object w:dxaOrig="1579" w:dyaOrig="1840">
          <v:shape id="_x0000_i1163" type="#_x0000_t75" style="width:78.75pt;height:92.25pt" o:ole="">
            <v:imagedata r:id="rId280" o:title=""/>
          </v:shape>
          <o:OLEObject Type="Embed" ProgID="Equation.3" ShapeID="_x0000_i1163" DrawAspect="Content" ObjectID="_1597674008" r:id="rId281"/>
        </w:object>
      </w:r>
      <w:r>
        <w:t>.</w:t>
      </w:r>
      <w:r>
        <w:tab/>
        <w:t>(6.22)</w:t>
      </w:r>
    </w:p>
    <w:p w:rsidR="00000000" w:rsidRDefault="00F90957"/>
    <w:p w:rsidR="00000000" w:rsidRDefault="00F90957">
      <w:r>
        <w:t>Now, the uncorrelated variables {</w:t>
      </w:r>
      <w:r>
        <w:rPr>
          <w:i/>
        </w:rPr>
        <w:t>y</w:t>
      </w:r>
      <w:r>
        <w:rPr>
          <w:i/>
          <w:vertAlign w:val="subscript"/>
        </w:rPr>
        <w:t>i</w:t>
      </w:r>
      <w:r>
        <w:t xml:space="preserve">, </w:t>
      </w:r>
      <w:r>
        <w:rPr>
          <w:i/>
        </w:rPr>
        <w:t xml:space="preserve"> i </w:t>
      </w:r>
      <w:r>
        <w:t xml:space="preserve">= 1, 2, …, </w:t>
      </w:r>
      <w:r>
        <w:rPr>
          <w:i/>
        </w:rPr>
        <w:t>k</w:t>
      </w:r>
      <w:r>
        <w:t>} and the orthogonal vectors {</w:t>
      </w:r>
      <w:r>
        <w:rPr>
          <w:b/>
          <w:iCs/>
        </w:rPr>
        <w:t>a</w:t>
      </w:r>
      <w:r>
        <w:rPr>
          <w:i/>
          <w:vertAlign w:val="subscript"/>
        </w:rPr>
        <w:t>i</w:t>
      </w:r>
      <w:r>
        <w:t xml:space="preserve">, </w:t>
      </w:r>
      <w:r>
        <w:rPr>
          <w:i/>
        </w:rPr>
        <w:t xml:space="preserve"> i </w:t>
      </w:r>
      <w:r>
        <w:t xml:space="preserve">= 1, 2, …, </w:t>
      </w:r>
      <w:r>
        <w:rPr>
          <w:i/>
        </w:rPr>
        <w:t>k</w:t>
      </w:r>
      <w:r>
        <w:t xml:space="preserve">} are defined as described in Appendix A and the vector </w:t>
      </w:r>
      <w:r>
        <w:sym w:font="Symbol" w:char="F044"/>
      </w:r>
      <w:r>
        <w:rPr>
          <w:b/>
        </w:rPr>
        <w:t>Y</w:t>
      </w:r>
      <w:r>
        <w:t xml:space="preserve"> is expressed as</w:t>
      </w:r>
    </w:p>
    <w:p w:rsidR="00000000" w:rsidRDefault="00F90957"/>
    <w:p w:rsidR="00000000" w:rsidRDefault="00F90957">
      <w:pPr>
        <w:ind w:left="8252" w:hanging="8252"/>
      </w:pPr>
      <w:r>
        <w:rPr>
          <w:position w:val="-12"/>
        </w:rPr>
        <w:object w:dxaOrig="2820" w:dyaOrig="360">
          <v:shape id="_x0000_i1164" type="#_x0000_t75" style="width:141pt;height:18pt" o:ole="">
            <v:imagedata r:id="rId282" o:title=""/>
          </v:shape>
          <o:OLEObject Type="Embed" ProgID="Equation.3" ShapeID="_x0000_i1164" DrawAspect="Content" ObjectID="_1597674009" r:id="rId283"/>
        </w:object>
      </w:r>
      <w:r>
        <w:t>.</w:t>
      </w:r>
      <w:r>
        <w:tab/>
        <w:t>(6.23)</w:t>
      </w:r>
    </w:p>
    <w:p w:rsidR="00000000" w:rsidRDefault="00F90957"/>
    <w:p w:rsidR="00000000" w:rsidRDefault="00F90957">
      <w:pPr>
        <w:rPr>
          <w:b/>
        </w:rPr>
      </w:pPr>
      <w:r>
        <w:t xml:space="preserve">The dynamics of the yield curve is such that </w:t>
      </w:r>
      <w:r>
        <w:t xml:space="preserve">it is sufficient to consider the first three terms when decomposing the yield curve movement. Loosely speaking, most of the variance of </w:t>
      </w:r>
      <w:r>
        <w:sym w:font="Symbol" w:char="F044"/>
      </w:r>
      <w:r>
        <w:rPr>
          <w:b/>
        </w:rPr>
        <w:t xml:space="preserve">Y </w:t>
      </w:r>
    </w:p>
    <w:p w:rsidR="00000000" w:rsidRDefault="00F90957">
      <w:pPr>
        <w:rPr>
          <w:b/>
        </w:rPr>
      </w:pPr>
    </w:p>
    <w:p w:rsidR="00000000" w:rsidRDefault="00F90957"/>
    <w:p w:rsidR="00000000" w:rsidRDefault="00F90957">
      <w:r>
        <w:rPr>
          <w:noProof/>
          <w:lang w:val="en-US"/>
        </w:rPr>
        <w:drawing>
          <wp:inline distT="0" distB="0" distL="0" distR="0">
            <wp:extent cx="2743200" cy="2743200"/>
            <wp:effectExtent l="0" t="0" r="0" b="0"/>
            <wp:docPr id="141" name="Object 14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4"/>
              </a:graphicData>
            </a:graphic>
          </wp:inline>
        </w:drawing>
      </w:r>
      <w:r>
        <w:t xml:space="preserve">    </w:t>
      </w:r>
      <w:r>
        <w:rPr>
          <w:noProof/>
          <w:lang w:val="en-US"/>
        </w:rPr>
        <w:drawing>
          <wp:inline distT="0" distB="0" distL="0" distR="0">
            <wp:extent cx="2667000" cy="2743200"/>
            <wp:effectExtent l="0" t="0" r="0" b="0"/>
            <wp:docPr id="142" name="Object 14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5"/>
              </a:graphicData>
            </a:graphic>
          </wp:inline>
        </w:drawing>
      </w:r>
    </w:p>
    <w:tbl>
      <w:tblPr>
        <w:tblW w:w="0" w:type="auto"/>
        <w:tblInd w:w="108" w:type="dxa"/>
        <w:tblBorders>
          <w:insideH w:val="single" w:sz="4" w:space="0" w:color="auto"/>
        </w:tblBorders>
        <w:tblLook w:val="0000" w:firstRow="0" w:lastRow="0" w:firstColumn="0" w:lastColumn="0" w:noHBand="0" w:noVBand="0"/>
      </w:tblPr>
      <w:tblGrid>
        <w:gridCol w:w="4680"/>
        <w:gridCol w:w="3960"/>
      </w:tblGrid>
      <w:tr w:rsidR="00000000">
        <w:tblPrEx>
          <w:tblCellMar>
            <w:top w:w="0" w:type="dxa"/>
            <w:bottom w:w="0" w:type="dxa"/>
          </w:tblCellMar>
        </w:tblPrEx>
        <w:tc>
          <w:tcPr>
            <w:tcW w:w="4680" w:type="dxa"/>
          </w:tcPr>
          <w:p w:rsidR="00000000" w:rsidRDefault="00F90957">
            <w:r>
              <w:rPr>
                <w:sz w:val="22"/>
              </w:rPr>
              <w:t>Figure 6.3: The principal axes of the daily zero curv</w:t>
            </w:r>
            <w:r>
              <w:rPr>
                <w:sz w:val="22"/>
              </w:rPr>
              <w:t>e movement. Based on a data sample of quotes from Jan 1, 2000 to September 18, 2000.</w:t>
            </w:r>
          </w:p>
        </w:tc>
        <w:tc>
          <w:tcPr>
            <w:tcW w:w="3960" w:type="dxa"/>
          </w:tcPr>
          <w:p w:rsidR="00000000" w:rsidRDefault="00F90957">
            <w:r>
              <w:t>Figure 6.4 Principal axes based on quotes from June 1, 1998 to December 1, 1998.</w:t>
            </w:r>
          </w:p>
        </w:tc>
      </w:tr>
    </w:tbl>
    <w:p w:rsidR="00000000" w:rsidRDefault="00F90957">
      <w:pPr>
        <w:ind w:left="4680" w:hanging="4680"/>
      </w:pPr>
    </w:p>
    <w:p w:rsidR="00000000" w:rsidRDefault="00F90957">
      <w:r>
        <w:t>is along the first principal axis and we define this axis as the shift movement. The sec</w:t>
      </w:r>
      <w:r>
        <w:t xml:space="preserve">ond and third principal axes are defined as the twist and butterfly movements, respectively. </w:t>
      </w:r>
    </w:p>
    <w:p w:rsidR="00000000" w:rsidRDefault="00F90957">
      <w:r>
        <w:t xml:space="preserve">  As the distribution of the zero curve movement </w:t>
      </w:r>
      <w:r>
        <w:sym w:font="Symbol" w:char="F044"/>
      </w:r>
      <w:r>
        <w:rPr>
          <w:i/>
        </w:rPr>
        <w:t>Y</w:t>
      </w:r>
      <w:r>
        <w:t>(</w:t>
      </w:r>
      <w:r>
        <w:rPr>
          <w:i/>
        </w:rPr>
        <w:t>T</w:t>
      </w:r>
      <w:r>
        <w:rPr>
          <w:i/>
          <w:vertAlign w:val="subscript"/>
        </w:rPr>
        <w:t>i</w:t>
      </w:r>
      <w:r>
        <w:t>)</w:t>
      </w:r>
      <w:r>
        <w:rPr>
          <w:i/>
        </w:rPr>
        <w:t xml:space="preserve"> </w:t>
      </w:r>
      <w:r>
        <w:t>is not known, a data sample of implied zero curves is used to calculate the principal axes and components.</w:t>
      </w:r>
      <w:r>
        <w:t xml:space="preserve"> Figure 6.3 shows the shift, twist and butterfly vectors for one day zero curve movements at the points 1, 2 , 3, …, 10 years. Notice the similarity to figure 6.1. The vectors are based on zero curves from January 2, 2000 to February 25, 2000 implied by th</w:t>
      </w:r>
      <w:r>
        <w:t xml:space="preserve">e quotes on Swedish government bonds. If another data sample is used, the principal axes might not look as nice as in Figure 6.3. Figure 6.4 shows the axes for the period June 1, 1998 to December 1, 1998. Since it is important that the vectors have simple </w:t>
      </w:r>
      <w:r>
        <w:t xml:space="preserve">characteristics, the implemented model does not use PCA. Instead, three orthonormal vectors are chosen ad hoc. The zero curve movement at </w:t>
      </w:r>
      <w:r>
        <w:rPr>
          <w:i/>
          <w:iCs/>
        </w:rPr>
        <w:t>n</w:t>
      </w:r>
      <w:r>
        <w:t xml:space="preserve"> equidistant points, {</w:t>
      </w:r>
      <w:r>
        <w:rPr>
          <w:i/>
          <w:iCs/>
        </w:rPr>
        <w:t>T</w:t>
      </w:r>
      <w:r>
        <w:rPr>
          <w:i/>
          <w:iCs/>
          <w:vertAlign w:val="subscript"/>
        </w:rPr>
        <w:t>i</w:t>
      </w:r>
      <w:r>
        <w:t xml:space="preserve"> = </w:t>
      </w:r>
      <w:r>
        <w:rPr>
          <w:i/>
          <w:iCs/>
        </w:rPr>
        <w:t>T</w:t>
      </w:r>
      <w:r>
        <w:rPr>
          <w:vertAlign w:val="subscript"/>
        </w:rPr>
        <w:t xml:space="preserve">1 </w:t>
      </w:r>
      <w:r>
        <w:t>+ (</w:t>
      </w:r>
      <w:r>
        <w:rPr>
          <w:i/>
          <w:iCs/>
        </w:rPr>
        <w:t>i</w:t>
      </w:r>
      <w:r>
        <w:t xml:space="preserve"> - 1)(</w:t>
      </w:r>
      <w:r>
        <w:rPr>
          <w:i/>
          <w:iCs/>
        </w:rPr>
        <w:t>T</w:t>
      </w:r>
      <w:r>
        <w:rPr>
          <w:i/>
          <w:iCs/>
          <w:vertAlign w:val="subscript"/>
        </w:rPr>
        <w:t>n</w:t>
      </w:r>
      <w:r>
        <w:t xml:space="preserve"> – </w:t>
      </w:r>
      <w:r>
        <w:rPr>
          <w:i/>
          <w:iCs/>
        </w:rPr>
        <w:t>T</w:t>
      </w:r>
      <w:r>
        <w:rPr>
          <w:vertAlign w:val="subscript"/>
        </w:rPr>
        <w:t>1</w:t>
      </w:r>
      <w:r>
        <w:t>)/(</w:t>
      </w:r>
      <w:r>
        <w:rPr>
          <w:i/>
          <w:iCs/>
        </w:rPr>
        <w:t>n</w:t>
      </w:r>
      <w:r>
        <w:t xml:space="preserve"> – 1), </w:t>
      </w:r>
      <w:r>
        <w:rPr>
          <w:i/>
          <w:iCs/>
        </w:rPr>
        <w:t>i</w:t>
      </w:r>
      <w:r>
        <w:t xml:space="preserve"> = 1, 2, ..., </w:t>
      </w:r>
      <w:r>
        <w:rPr>
          <w:i/>
          <w:iCs/>
        </w:rPr>
        <w:t>n</w:t>
      </w:r>
      <w:r>
        <w:t>} is studied. Figure 6.5 shows these vector</w:t>
      </w:r>
      <w:r>
        <w:t xml:space="preserve">s for </w:t>
      </w:r>
      <w:r>
        <w:rPr>
          <w:i/>
          <w:iCs/>
        </w:rPr>
        <w:t>n</w:t>
      </w:r>
      <w:r>
        <w:t xml:space="preserve"> = 10 with the first point at 1 year and the last point at 10 years. Generally, the shift, twist and butterfly vectors are defined as</w:t>
      </w:r>
      <w:r>
        <w:rPr>
          <w:rStyle w:val="FootnoteReference"/>
        </w:rPr>
        <w:footnoteReference w:customMarkFollows="1" w:id="12"/>
        <w:t>3</w:t>
      </w:r>
    </w:p>
    <w:p w:rsidR="00000000" w:rsidRDefault="00F90957"/>
    <w:p w:rsidR="00000000" w:rsidRDefault="00F90957">
      <w:pPr>
        <w:ind w:left="8252" w:hanging="8252"/>
      </w:pPr>
      <w:r>
        <w:rPr>
          <w:position w:val="-104"/>
        </w:rPr>
        <w:object w:dxaOrig="1800" w:dyaOrig="2200">
          <v:shape id="_x0000_i1167" type="#_x0000_t75" style="width:87pt;height:106.5pt" o:ole="">
            <v:imagedata r:id="rId286" o:title=""/>
          </v:shape>
          <o:OLEObject Type="Embed" ProgID="Equation.3" ShapeID="_x0000_i1167" DrawAspect="Content" ObjectID="_1597674010" r:id="rId287"/>
        </w:object>
      </w:r>
      <w:r>
        <w:t xml:space="preserve">, </w:t>
      </w:r>
      <w:r>
        <w:tab/>
        <w:t>(6.24)</w:t>
      </w:r>
    </w:p>
    <w:p w:rsidR="00000000" w:rsidRDefault="00F90957">
      <w:pPr>
        <w:ind w:left="8252" w:hanging="8252"/>
      </w:pPr>
      <w:r>
        <w:rPr>
          <w:b/>
          <w:bCs/>
        </w:rPr>
        <w:sym w:font="Symbol" w:char="F074"/>
      </w:r>
      <w:r>
        <w:t xml:space="preserve"> </w:t>
      </w:r>
      <w:r>
        <w:rPr>
          <w:position w:val="-128"/>
        </w:rPr>
        <w:object w:dxaOrig="4940" w:dyaOrig="2680">
          <v:shape id="_x0000_i1168" type="#_x0000_t75" style="width:244.5pt;height:133.5pt" o:ole="">
            <v:imagedata r:id="rId288" o:title=""/>
          </v:shape>
          <o:OLEObject Type="Embed" ProgID="Equation.3" ShapeID="_x0000_i1168" DrawAspect="Content" ObjectID="_1597674011" r:id="rId289"/>
        </w:object>
      </w:r>
      <w:r>
        <w:t xml:space="preserve"> and</w:t>
      </w:r>
      <w:r>
        <w:tab/>
        <w:t xml:space="preserve">(6.25) </w:t>
      </w:r>
    </w:p>
    <w:p w:rsidR="00000000" w:rsidRDefault="00F90957"/>
    <w:p w:rsidR="00000000" w:rsidRDefault="00F90957">
      <w:pPr>
        <w:ind w:left="8252" w:hanging="8252"/>
      </w:pPr>
      <w:r>
        <w:rPr>
          <w:position w:val="-236"/>
        </w:rPr>
        <w:object w:dxaOrig="6160" w:dyaOrig="4840">
          <v:shape id="_x0000_i1169" type="#_x0000_t75" style="width:291.75pt;height:230.25pt" o:ole="">
            <v:imagedata r:id="rId290" o:title=""/>
          </v:shape>
          <o:OLEObject Type="Embed" ProgID="Equation.3" ShapeID="_x0000_i1169" DrawAspect="Content" ObjectID="_1597674012" r:id="rId291"/>
        </w:object>
      </w:r>
      <w:r>
        <w:t>,</w:t>
      </w:r>
      <w:r>
        <w:tab/>
        <w:t>(6.26)</w:t>
      </w:r>
    </w:p>
    <w:p w:rsidR="00000000" w:rsidRDefault="00F90957"/>
    <w:p w:rsidR="00000000" w:rsidRDefault="00F90957">
      <w:r>
        <w:rPr>
          <w:noProof/>
          <w:lang w:val="en-US"/>
        </w:rPr>
        <w:drawing>
          <wp:inline distT="0" distB="0" distL="0" distR="0">
            <wp:extent cx="4543425" cy="2828925"/>
            <wp:effectExtent l="0" t="0" r="0" b="0"/>
            <wp:docPr id="146" name="Object 14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2"/>
              </a:graphicData>
            </a:graphic>
          </wp:inline>
        </w:drawing>
      </w:r>
    </w:p>
    <w:p w:rsidR="00000000" w:rsidRDefault="00F90957">
      <w:r>
        <w:t>Figure 6.5: The shift, twist and butterfly vectors (not normalized) for 10 equidistant points between one year and ten years.</w:t>
      </w:r>
    </w:p>
    <w:p w:rsidR="00000000" w:rsidRDefault="00F90957"/>
    <w:p w:rsidR="00000000" w:rsidRDefault="00F90957">
      <w:r>
        <w:t xml:space="preserve">The idea is to express the vector </w:t>
      </w:r>
      <w:r>
        <w:sym w:font="Symbol" w:char="F044"/>
      </w:r>
      <w:r>
        <w:rPr>
          <w:b/>
          <w:bCs/>
        </w:rPr>
        <w:t>Y</w:t>
      </w:r>
      <w:r>
        <w:t xml:space="preserve"> consisting of the yield curve movements at the </w:t>
      </w:r>
      <w:r>
        <w:rPr>
          <w:i/>
          <w:iCs/>
        </w:rPr>
        <w:t>n</w:t>
      </w:r>
      <w:r>
        <w:t xml:space="preserve"> points, {</w:t>
      </w:r>
      <w:r>
        <w:rPr>
          <w:i/>
          <w:iCs/>
        </w:rPr>
        <w:t>T</w:t>
      </w:r>
      <w:r>
        <w:rPr>
          <w:i/>
          <w:iCs/>
          <w:vertAlign w:val="subscript"/>
        </w:rPr>
        <w:t>i</w:t>
      </w:r>
      <w:r>
        <w:t xml:space="preserve">, </w:t>
      </w:r>
      <w:r>
        <w:rPr>
          <w:i/>
          <w:iCs/>
        </w:rPr>
        <w:t>i</w:t>
      </w:r>
      <w:r>
        <w:t xml:space="preserve"> = 1, 2,</w:t>
      </w:r>
      <w:r>
        <w:t xml:space="preserve"> …, </w:t>
      </w:r>
      <w:r>
        <w:rPr>
          <w:i/>
          <w:iCs/>
        </w:rPr>
        <w:t>n</w:t>
      </w:r>
      <w:r>
        <w:t xml:space="preserve">}, as a linear combination of </w:t>
      </w:r>
      <w:r>
        <w:rPr>
          <w:b/>
          <w:bCs/>
        </w:rPr>
        <w:t>s</w:t>
      </w:r>
      <w:r>
        <w:t xml:space="preserve">, </w:t>
      </w:r>
      <w:r>
        <w:rPr>
          <w:b/>
          <w:bCs/>
        </w:rPr>
        <w:sym w:font="Symbol" w:char="F074"/>
      </w:r>
      <w:r>
        <w:t xml:space="preserve"> and </w:t>
      </w:r>
      <w:r>
        <w:rPr>
          <w:b/>
          <w:bCs/>
        </w:rPr>
        <w:t>b</w:t>
      </w:r>
      <w:r>
        <w:t xml:space="preserve"> and a residual vector </w:t>
      </w:r>
      <w:r>
        <w:rPr>
          <w:b/>
          <w:bCs/>
        </w:rPr>
        <w:sym w:font="Symbol" w:char="F065"/>
      </w:r>
      <w:r>
        <w:t xml:space="preserve">: </w:t>
      </w:r>
    </w:p>
    <w:p w:rsidR="00000000" w:rsidRDefault="00F90957"/>
    <w:p w:rsidR="00000000" w:rsidRDefault="00F90957">
      <w:pPr>
        <w:ind w:left="8252" w:hanging="8252"/>
      </w:pPr>
      <w:r>
        <w:rPr>
          <w:position w:val="-86"/>
        </w:rPr>
        <w:object w:dxaOrig="2320" w:dyaOrig="1840">
          <v:shape id="_x0000_i1171" type="#_x0000_t75" style="width:116.25pt;height:92.25pt" o:ole="">
            <v:imagedata r:id="rId293" o:title=""/>
          </v:shape>
          <o:OLEObject Type="Embed" ProgID="Equation.3" ShapeID="_x0000_i1171" DrawAspect="Content" ObjectID="_1597674013" r:id="rId294"/>
        </w:object>
      </w:r>
      <w:r>
        <w:rPr>
          <w:b/>
          <w:bCs/>
        </w:rPr>
        <w:sym w:font="Symbol" w:char="F074"/>
      </w:r>
      <w:r>
        <w:rPr>
          <w:i/>
          <w:iCs/>
        </w:rPr>
        <w:t>y</w:t>
      </w:r>
      <w:r>
        <w:rPr>
          <w:i/>
          <w:iCs/>
          <w:vertAlign w:val="subscript"/>
        </w:rPr>
        <w:sym w:font="Symbol" w:char="F074"/>
      </w:r>
      <w:r>
        <w:rPr>
          <w:vertAlign w:val="subscript"/>
        </w:rPr>
        <w:t xml:space="preserve"> </w:t>
      </w:r>
      <w:r>
        <w:rPr>
          <w:position w:val="-12"/>
        </w:rPr>
        <w:object w:dxaOrig="800" w:dyaOrig="360">
          <v:shape id="_x0000_i1172" type="#_x0000_t75" style="width:39.75pt;height:18pt" o:ole="">
            <v:imagedata r:id="rId295" o:title=""/>
          </v:shape>
          <o:OLEObject Type="Embed" ProgID="Equation.3" ShapeID="_x0000_i1172" DrawAspect="Content" ObjectID="_1597674014" r:id="rId296"/>
        </w:object>
      </w:r>
      <w:r>
        <w:t xml:space="preserve"> </w:t>
      </w:r>
      <w:r>
        <w:rPr>
          <w:b/>
          <w:bCs/>
        </w:rPr>
        <w:sym w:font="Symbol" w:char="F065"/>
      </w:r>
      <w:r>
        <w:t>.</w:t>
      </w:r>
      <w:r>
        <w:tab/>
        <w:t>(6.27)</w:t>
      </w:r>
    </w:p>
    <w:p w:rsidR="00000000" w:rsidRDefault="00F90957"/>
    <w:p w:rsidR="00000000" w:rsidRDefault="00F90957">
      <w:r>
        <w:t xml:space="preserve">It is natural to let </w:t>
      </w:r>
      <w:r>
        <w:rPr>
          <w:b/>
          <w:bCs/>
        </w:rPr>
        <w:t>s</w:t>
      </w:r>
      <w:r>
        <w:rPr>
          <w:i/>
          <w:iCs/>
        </w:rPr>
        <w:t>y</w:t>
      </w:r>
      <w:r>
        <w:rPr>
          <w:i/>
          <w:iCs/>
          <w:vertAlign w:val="subscript"/>
        </w:rPr>
        <w:t>s</w:t>
      </w:r>
      <w:r>
        <w:t xml:space="preserve"> +</w:t>
      </w:r>
      <w:r>
        <w:rPr>
          <w:b/>
          <w:bCs/>
        </w:rPr>
        <w:t xml:space="preserve"> </w:t>
      </w:r>
      <w:r>
        <w:rPr>
          <w:b/>
          <w:bCs/>
        </w:rPr>
        <w:sym w:font="Symbol" w:char="F074"/>
      </w:r>
      <w:r>
        <w:rPr>
          <w:i/>
          <w:iCs/>
        </w:rPr>
        <w:t>y</w:t>
      </w:r>
      <w:r>
        <w:rPr>
          <w:i/>
          <w:iCs/>
          <w:vertAlign w:val="subscript"/>
        </w:rPr>
        <w:t>t</w:t>
      </w:r>
      <w:r>
        <w:t xml:space="preserve"> +</w:t>
      </w:r>
      <w:r>
        <w:rPr>
          <w:b/>
          <w:bCs/>
        </w:rPr>
        <w:t xml:space="preserve"> b</w:t>
      </w:r>
      <w:r>
        <w:rPr>
          <w:i/>
          <w:iCs/>
        </w:rPr>
        <w:t>y</w:t>
      </w:r>
      <w:r>
        <w:rPr>
          <w:i/>
          <w:iCs/>
          <w:vertAlign w:val="subscript"/>
        </w:rPr>
        <w:t>b</w:t>
      </w:r>
      <w:r>
        <w:t xml:space="preserve"> be the projection of </w:t>
      </w:r>
      <w:r>
        <w:sym w:font="Symbol" w:char="F044"/>
      </w:r>
      <w:r>
        <w:rPr>
          <w:b/>
          <w:bCs/>
        </w:rPr>
        <w:t>Y</w:t>
      </w:r>
      <w:r>
        <w:t xml:space="preserve"> onto the subspace of R</w:t>
      </w:r>
      <w:r>
        <w:rPr>
          <w:vertAlign w:val="superscript"/>
        </w:rPr>
        <w:t>n</w:t>
      </w:r>
      <w:r>
        <w:t xml:space="preserve"> that is spanned by </w:t>
      </w:r>
      <w:r>
        <w:rPr>
          <w:b/>
          <w:bCs/>
        </w:rPr>
        <w:t>s</w:t>
      </w:r>
      <w:r>
        <w:t>,</w:t>
      </w:r>
      <w:r>
        <w:rPr>
          <w:b/>
          <w:bCs/>
        </w:rPr>
        <w:t xml:space="preserve"> </w:t>
      </w:r>
      <w:r>
        <w:rPr>
          <w:b/>
          <w:bCs/>
        </w:rPr>
        <w:sym w:font="Symbol" w:char="F074"/>
      </w:r>
      <w:r>
        <w:t xml:space="preserve"> and</w:t>
      </w:r>
      <w:r>
        <w:rPr>
          <w:b/>
          <w:bCs/>
        </w:rPr>
        <w:t xml:space="preserve"> b</w:t>
      </w:r>
      <w:r>
        <w:t>. Since</w:t>
      </w:r>
      <w:r>
        <w:t xml:space="preserve"> these vectors are orthonormal, this means that the variables </w:t>
      </w:r>
      <w:r>
        <w:rPr>
          <w:i/>
          <w:iCs/>
        </w:rPr>
        <w:t>y</w:t>
      </w:r>
      <w:r>
        <w:rPr>
          <w:i/>
          <w:iCs/>
          <w:vertAlign w:val="subscript"/>
        </w:rPr>
        <w:t>s</w:t>
      </w:r>
      <w:r>
        <w:t>,</w:t>
      </w:r>
      <w:r>
        <w:rPr>
          <w:vertAlign w:val="subscript"/>
        </w:rPr>
        <w:t xml:space="preserve"> </w:t>
      </w:r>
      <w:r>
        <w:rPr>
          <w:i/>
          <w:iCs/>
        </w:rPr>
        <w:t>y</w:t>
      </w:r>
      <w:r>
        <w:rPr>
          <w:i/>
          <w:iCs/>
          <w:vertAlign w:val="subscript"/>
        </w:rPr>
        <w:t>t</w:t>
      </w:r>
      <w:r>
        <w:t xml:space="preserve"> and </w:t>
      </w:r>
      <w:r>
        <w:rPr>
          <w:i/>
          <w:iCs/>
        </w:rPr>
        <w:t>y</w:t>
      </w:r>
      <w:r>
        <w:rPr>
          <w:i/>
          <w:iCs/>
          <w:vertAlign w:val="subscript"/>
        </w:rPr>
        <w:t>b</w:t>
      </w:r>
      <w:r>
        <w:t xml:space="preserve"> should be defined as follows:</w:t>
      </w:r>
    </w:p>
    <w:p w:rsidR="00000000" w:rsidRDefault="00F90957"/>
    <w:p w:rsidR="00000000" w:rsidRDefault="00F90957">
      <w:pPr>
        <w:ind w:left="8252" w:hanging="8252"/>
      </w:pPr>
      <w:r>
        <w:rPr>
          <w:position w:val="-12"/>
        </w:rPr>
        <w:object w:dxaOrig="1120" w:dyaOrig="360">
          <v:shape id="_x0000_i1173" type="#_x0000_t75" style="width:56.25pt;height:18pt" o:ole="">
            <v:imagedata r:id="rId297" o:title=""/>
          </v:shape>
          <o:OLEObject Type="Embed" ProgID="Equation.3" ShapeID="_x0000_i1173" DrawAspect="Content" ObjectID="_1597674015" r:id="rId298"/>
        </w:object>
      </w:r>
      <w:r>
        <w:t xml:space="preserve">, </w:t>
      </w:r>
      <w:r>
        <w:rPr>
          <w:position w:val="-12"/>
        </w:rPr>
        <w:object w:dxaOrig="960" w:dyaOrig="360">
          <v:shape id="_x0000_i1174" type="#_x0000_t75" style="width:48pt;height:18pt" o:ole="">
            <v:imagedata r:id="rId299" o:title=""/>
          </v:shape>
          <o:OLEObject Type="Embed" ProgID="Equation.3" ShapeID="_x0000_i1174" DrawAspect="Content" ObjectID="_1597674016" r:id="rId300"/>
        </w:object>
      </w:r>
      <w:r>
        <w:rPr>
          <w:b/>
          <w:bCs/>
        </w:rPr>
        <w:sym w:font="Symbol" w:char="F074"/>
      </w:r>
      <w:r>
        <w:t xml:space="preserve"> and </w:t>
      </w:r>
      <w:r>
        <w:rPr>
          <w:position w:val="-12"/>
        </w:rPr>
        <w:object w:dxaOrig="1160" w:dyaOrig="360">
          <v:shape id="_x0000_i1175" type="#_x0000_t75" style="width:57.75pt;height:18pt" o:ole="">
            <v:imagedata r:id="rId301" o:title=""/>
          </v:shape>
          <o:OLEObject Type="Embed" ProgID="Equation.3" ShapeID="_x0000_i1175" DrawAspect="Content" ObjectID="_1597674017" r:id="rId302"/>
        </w:object>
      </w:r>
      <w:r>
        <w:t>.</w:t>
      </w:r>
      <w:r>
        <w:tab/>
        <w:t>(6.28)</w:t>
      </w:r>
    </w:p>
    <w:p w:rsidR="00000000" w:rsidRDefault="00F90957"/>
    <w:p w:rsidR="00000000" w:rsidRDefault="00F90957">
      <w:r>
        <w:t>The trade-off for not using PCA is that these variables in gen</w:t>
      </w:r>
      <w:r>
        <w:t xml:space="preserve">eral will not be uncorrelated. Correlation measurements have been carried out and the results are presented in the next section. </w:t>
      </w:r>
    </w:p>
    <w:p w:rsidR="00000000" w:rsidRDefault="00F90957">
      <w:r>
        <w:t xml:space="preserve">   When the vector has been decomposed according to (6.27) and (6.28), the shift twist and butterfly components are used to de</w:t>
      </w:r>
      <w:r>
        <w:t xml:space="preserve">fine the corresponding components of the whole curve movement. First, the shift function </w:t>
      </w:r>
      <w:r>
        <w:rPr>
          <w:i/>
          <w:iCs/>
        </w:rPr>
        <w:t xml:space="preserve">s </w:t>
      </w:r>
      <w:r>
        <w:t>is constant:</w:t>
      </w:r>
    </w:p>
    <w:p w:rsidR="00000000" w:rsidRDefault="00F90957"/>
    <w:p w:rsidR="00000000" w:rsidRDefault="00F90957">
      <w:pPr>
        <w:ind w:left="8252" w:hanging="8252"/>
      </w:pPr>
      <w:r>
        <w:rPr>
          <w:position w:val="-12"/>
        </w:rPr>
        <w:object w:dxaOrig="960" w:dyaOrig="360">
          <v:shape id="_x0000_i1176" type="#_x0000_t75" style="width:48pt;height:18pt" o:ole="">
            <v:imagedata r:id="rId303" o:title=""/>
          </v:shape>
          <o:OLEObject Type="Embed" ProgID="Equation.3" ShapeID="_x0000_i1176" DrawAspect="Content" ObjectID="_1597674018" r:id="rId304"/>
        </w:object>
      </w:r>
      <w:r>
        <w:t xml:space="preserve">                                                </w:t>
      </w:r>
      <w:r>
        <w:rPr>
          <w:position w:val="-10"/>
        </w:rPr>
        <w:object w:dxaOrig="999" w:dyaOrig="340">
          <v:shape id="_x0000_i1177" type="#_x0000_t75" style="width:50.25pt;height:17.25pt" o:ole="">
            <v:imagedata r:id="rId305" o:title=""/>
          </v:shape>
          <o:OLEObject Type="Embed" ProgID="Equation.3" ShapeID="_x0000_i1177" DrawAspect="Content" ObjectID="_1597674019" r:id="rId306"/>
        </w:object>
      </w:r>
      <w:r>
        <w:t>.</w:t>
      </w:r>
      <w:r>
        <w:tab/>
        <w:t>(6.29)</w:t>
      </w:r>
    </w:p>
    <w:p w:rsidR="00000000" w:rsidRDefault="00F90957"/>
    <w:p w:rsidR="00000000" w:rsidRDefault="00F90957">
      <w:r>
        <w:t>The twist function is a straight line that cros</w:t>
      </w:r>
      <w:r>
        <w:t>ses the time axis at (</w:t>
      </w:r>
      <w:r>
        <w:rPr>
          <w:i/>
          <w:iCs/>
        </w:rPr>
        <w:t>T</w:t>
      </w:r>
      <w:r>
        <w:rPr>
          <w:i/>
          <w:iCs/>
          <w:vertAlign w:val="subscript"/>
        </w:rPr>
        <w:t>n</w:t>
      </w:r>
      <w:r>
        <w:t xml:space="preserve"> + </w:t>
      </w:r>
      <w:r>
        <w:rPr>
          <w:i/>
          <w:iCs/>
        </w:rPr>
        <w:t>T</w:t>
      </w:r>
      <w:r>
        <w:rPr>
          <w:vertAlign w:val="subscript"/>
        </w:rPr>
        <w:t>1</w:t>
      </w:r>
      <w:r>
        <w:t xml:space="preserve">)/2. The slope of the line is </w:t>
      </w:r>
    </w:p>
    <w:p w:rsidR="00000000" w:rsidRDefault="00F90957"/>
    <w:p w:rsidR="00000000" w:rsidRDefault="00F90957">
      <w:pPr>
        <w:ind w:left="8252" w:hanging="8252"/>
      </w:pPr>
      <w:r>
        <w:rPr>
          <w:position w:val="-30"/>
        </w:rPr>
        <w:object w:dxaOrig="1620" w:dyaOrig="700">
          <v:shape id="_x0000_i1178" type="#_x0000_t75" style="width:81pt;height:35.25pt" o:ole="">
            <v:imagedata r:id="rId307" o:title=""/>
          </v:shape>
          <o:OLEObject Type="Embed" ProgID="Equation.3" ShapeID="_x0000_i1178" DrawAspect="Content" ObjectID="_1597674020" r:id="rId308"/>
        </w:object>
      </w:r>
      <w:r>
        <w:t>.</w:t>
      </w:r>
      <w:r>
        <w:tab/>
        <w:t>(6.30)</w:t>
      </w:r>
    </w:p>
    <w:p w:rsidR="00000000" w:rsidRDefault="00F90957">
      <w:pPr>
        <w:tabs>
          <w:tab w:val="left" w:pos="1665"/>
        </w:tabs>
      </w:pPr>
      <w:r>
        <w:tab/>
      </w:r>
    </w:p>
    <w:p w:rsidR="00000000" w:rsidRDefault="00F90957">
      <w:r>
        <w:t>Thus, the twist function is</w:t>
      </w:r>
    </w:p>
    <w:p w:rsidR="00000000" w:rsidRDefault="00F90957"/>
    <w:p w:rsidR="00000000" w:rsidRDefault="00F90957">
      <w:pPr>
        <w:ind w:left="8252" w:hanging="8252"/>
      </w:pPr>
      <w:r>
        <w:rPr>
          <w:position w:val="-24"/>
        </w:rPr>
        <w:object w:dxaOrig="2240" w:dyaOrig="639">
          <v:shape id="_x0000_i1179" type="#_x0000_t75" style="width:111.75pt;height:32.25pt" o:ole="">
            <v:imagedata r:id="rId309" o:title=""/>
          </v:shape>
          <o:OLEObject Type="Embed" ProgID="Equation.3" ShapeID="_x0000_i1179" DrawAspect="Content" ObjectID="_1597674021" r:id="rId310"/>
        </w:object>
      </w:r>
      <w:r>
        <w:t xml:space="preserve">                          </w:t>
      </w:r>
      <w:r>
        <w:rPr>
          <w:position w:val="-10"/>
        </w:rPr>
        <w:object w:dxaOrig="999" w:dyaOrig="340">
          <v:shape id="_x0000_i1180" type="#_x0000_t75" style="width:50.25pt;height:17.25pt" o:ole="">
            <v:imagedata r:id="rId311" o:title=""/>
          </v:shape>
          <o:OLEObject Type="Embed" ProgID="Equation.3" ShapeID="_x0000_i1180" DrawAspect="Content" ObjectID="_1597674022" r:id="rId312"/>
        </w:object>
      </w:r>
      <w:r>
        <w:t>.</w:t>
      </w:r>
      <w:r>
        <w:tab/>
        <w:t>(6.31)</w:t>
      </w:r>
    </w:p>
    <w:p w:rsidR="00000000" w:rsidRDefault="00F90957">
      <w:pPr>
        <w:pStyle w:val="Picture"/>
      </w:pPr>
    </w:p>
    <w:p w:rsidR="00000000" w:rsidRDefault="00F90957">
      <w:r>
        <w:t>Finally, the butterfly function is a piecewise lin</w:t>
      </w:r>
      <w:r>
        <w:t>ear function with a peak at (</w:t>
      </w:r>
      <w:r>
        <w:rPr>
          <w:i/>
          <w:iCs/>
        </w:rPr>
        <w:t>T</w:t>
      </w:r>
      <w:r>
        <w:rPr>
          <w:vertAlign w:val="subscript"/>
        </w:rPr>
        <w:t>1</w:t>
      </w:r>
      <w:r>
        <w:t xml:space="preserve"> + </w:t>
      </w:r>
      <w:r>
        <w:rPr>
          <w:i/>
          <w:iCs/>
        </w:rPr>
        <w:t>T</w:t>
      </w:r>
      <w:r>
        <w:rPr>
          <w:i/>
          <w:iCs/>
          <w:vertAlign w:val="subscript"/>
        </w:rPr>
        <w:t>n</w:t>
      </w:r>
      <w:r>
        <w:t>)/2:</w:t>
      </w:r>
    </w:p>
    <w:p w:rsidR="00000000" w:rsidRDefault="00F90957"/>
    <w:p w:rsidR="00000000" w:rsidRDefault="00F90957">
      <w:pPr>
        <w:ind w:left="8252" w:hanging="8252"/>
      </w:pPr>
      <w:r>
        <w:rPr>
          <w:position w:val="-68"/>
          <w:sz w:val="22"/>
        </w:rPr>
        <w:object w:dxaOrig="6540" w:dyaOrig="1480">
          <v:shape id="_x0000_i1181" type="#_x0000_t75" style="width:327pt;height:74.25pt" o:ole="">
            <v:imagedata r:id="rId313" o:title=""/>
          </v:shape>
          <o:OLEObject Type="Embed" ProgID="Equation.3" ShapeID="_x0000_i1181" DrawAspect="Content" ObjectID="_1597674023" r:id="rId314"/>
        </w:object>
      </w:r>
      <w:r>
        <w:t>,</w:t>
      </w:r>
      <w:r>
        <w:tab/>
        <w:t>(6.32)</w:t>
      </w:r>
    </w:p>
    <w:p w:rsidR="00000000" w:rsidRDefault="00F90957">
      <w:pPr>
        <w:rPr>
          <w:sz w:val="22"/>
        </w:rPr>
      </w:pPr>
    </w:p>
    <w:p w:rsidR="00000000" w:rsidRDefault="00F90957">
      <w:pPr>
        <w:pStyle w:val="Picture"/>
      </w:pPr>
      <w:r>
        <w:t>where</w:t>
      </w:r>
    </w:p>
    <w:p w:rsidR="00000000" w:rsidRDefault="00F90957">
      <w:pPr>
        <w:rPr>
          <w:sz w:val="22"/>
        </w:rPr>
      </w:pPr>
    </w:p>
    <w:p w:rsidR="00000000" w:rsidRDefault="00F90957">
      <w:pPr>
        <w:ind w:left="8252" w:hanging="8252"/>
      </w:pPr>
      <w:r>
        <w:rPr>
          <w:position w:val="-30"/>
        </w:rPr>
        <w:object w:dxaOrig="1800" w:dyaOrig="700">
          <v:shape id="_x0000_i1182" type="#_x0000_t75" style="width:90pt;height:35.25pt" o:ole="">
            <v:imagedata r:id="rId315" o:title=""/>
          </v:shape>
          <o:OLEObject Type="Embed" ProgID="Equation.3" ShapeID="_x0000_i1182" DrawAspect="Content" ObjectID="_1597674024" r:id="rId316"/>
        </w:object>
      </w:r>
      <w:r>
        <w:t>.</w:t>
      </w:r>
      <w:r>
        <w:tab/>
        <w:t>(6.33)</w:t>
      </w:r>
    </w:p>
    <w:p w:rsidR="00000000" w:rsidRDefault="00F90957"/>
    <w:p w:rsidR="00000000" w:rsidRDefault="00F90957">
      <w:r>
        <w:t xml:space="preserve">Figure 6.6 shows the shift, twist and butterfly functions for </w:t>
      </w:r>
      <w:r>
        <w:rPr>
          <w:i/>
          <w:iCs/>
        </w:rPr>
        <w:t>y</w:t>
      </w:r>
      <w:r>
        <w:rPr>
          <w:i/>
          <w:iCs/>
          <w:vertAlign w:val="subscript"/>
        </w:rPr>
        <w:t>s</w:t>
      </w:r>
      <w:r>
        <w:rPr>
          <w:vertAlign w:val="subscript"/>
        </w:rPr>
        <w:t xml:space="preserve"> </w:t>
      </w:r>
      <w:r>
        <w:t xml:space="preserve">= </w:t>
      </w:r>
      <w:r>
        <w:rPr>
          <w:i/>
          <w:iCs/>
        </w:rPr>
        <w:t>y</w:t>
      </w:r>
      <w:r>
        <w:rPr>
          <w:i/>
          <w:iCs/>
          <w:vertAlign w:val="subscript"/>
        </w:rPr>
        <w:sym w:font="Symbol" w:char="F074"/>
      </w:r>
      <w:r>
        <w:rPr>
          <w:i/>
          <w:iCs/>
        </w:rPr>
        <w:t xml:space="preserve"> </w:t>
      </w:r>
      <w:r>
        <w:t xml:space="preserve">= </w:t>
      </w:r>
      <w:r>
        <w:rPr>
          <w:i/>
          <w:iCs/>
        </w:rPr>
        <w:t>y</w:t>
      </w:r>
      <w:r>
        <w:rPr>
          <w:i/>
          <w:iCs/>
          <w:vertAlign w:val="subscript"/>
        </w:rPr>
        <w:t>b</w:t>
      </w:r>
      <w:r>
        <w:rPr>
          <w:i/>
          <w:iCs/>
        </w:rPr>
        <w:t xml:space="preserve"> </w:t>
      </w:r>
      <w:r>
        <w:t>= 1.</w:t>
      </w:r>
    </w:p>
    <w:p w:rsidR="00000000" w:rsidRDefault="00F90957"/>
    <w:p w:rsidR="00000000" w:rsidRDefault="00F90957">
      <w:r>
        <w:rPr>
          <w:noProof/>
          <w:lang w:val="en-US"/>
        </w:rPr>
        <w:drawing>
          <wp:inline distT="0" distB="0" distL="0" distR="0">
            <wp:extent cx="4543425" cy="2828925"/>
            <wp:effectExtent l="0" t="0" r="0" b="0"/>
            <wp:docPr id="159" name="Object 15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7"/>
              </a:graphicData>
            </a:graphic>
          </wp:inline>
        </w:drawing>
      </w:r>
    </w:p>
    <w:p w:rsidR="00000000" w:rsidRDefault="00F90957">
      <w:r>
        <w:t>Figure 6.6: The shift, twist an</w:t>
      </w:r>
      <w:r>
        <w:t xml:space="preserve">d butterfly curves based on the vectors in figure 6.5 with </w:t>
      </w:r>
    </w:p>
    <w:p w:rsidR="00000000" w:rsidRDefault="00F90957">
      <w:pPr>
        <w:rPr>
          <w:lang w:val="es-PR"/>
        </w:rPr>
      </w:pPr>
      <w:r>
        <w:t xml:space="preserve">                 </w:t>
      </w:r>
      <w:r>
        <w:rPr>
          <w:i/>
          <w:iCs/>
          <w:lang w:val="es-PR"/>
        </w:rPr>
        <w:t>y</w:t>
      </w:r>
      <w:r>
        <w:rPr>
          <w:i/>
          <w:iCs/>
          <w:vertAlign w:val="subscript"/>
          <w:lang w:val="es-PR"/>
        </w:rPr>
        <w:t>s</w:t>
      </w:r>
      <w:r>
        <w:rPr>
          <w:vertAlign w:val="subscript"/>
          <w:lang w:val="es-PR"/>
        </w:rPr>
        <w:t xml:space="preserve"> </w:t>
      </w:r>
      <w:r>
        <w:rPr>
          <w:lang w:val="es-PR"/>
        </w:rPr>
        <w:t xml:space="preserve">= </w:t>
      </w:r>
      <w:r>
        <w:rPr>
          <w:i/>
          <w:iCs/>
          <w:lang w:val="es-PR"/>
        </w:rPr>
        <w:t>y</w:t>
      </w:r>
      <w:r>
        <w:rPr>
          <w:i/>
          <w:iCs/>
          <w:vertAlign w:val="subscript"/>
        </w:rPr>
        <w:sym w:font="Symbol" w:char="F074"/>
      </w:r>
      <w:r>
        <w:rPr>
          <w:i/>
          <w:iCs/>
          <w:lang w:val="es-PR"/>
        </w:rPr>
        <w:t xml:space="preserve"> </w:t>
      </w:r>
      <w:r>
        <w:rPr>
          <w:lang w:val="es-PR"/>
        </w:rPr>
        <w:t xml:space="preserve">= </w:t>
      </w:r>
      <w:r>
        <w:rPr>
          <w:i/>
          <w:iCs/>
          <w:lang w:val="es-PR"/>
        </w:rPr>
        <w:t>y</w:t>
      </w:r>
      <w:r>
        <w:rPr>
          <w:i/>
          <w:iCs/>
          <w:vertAlign w:val="subscript"/>
          <w:lang w:val="es-PR"/>
        </w:rPr>
        <w:t>b</w:t>
      </w:r>
      <w:r>
        <w:rPr>
          <w:i/>
          <w:iCs/>
          <w:lang w:val="es-PR"/>
        </w:rPr>
        <w:t xml:space="preserve"> </w:t>
      </w:r>
      <w:r>
        <w:rPr>
          <w:lang w:val="es-PR"/>
        </w:rPr>
        <w:t>= 1.</w:t>
      </w:r>
    </w:p>
    <w:p w:rsidR="00000000" w:rsidRDefault="00F90957">
      <w:pPr>
        <w:rPr>
          <w:lang w:val="es-PR"/>
        </w:rPr>
      </w:pPr>
    </w:p>
    <w:p w:rsidR="00000000" w:rsidRDefault="00F90957">
      <w:pPr>
        <w:pStyle w:val="NoteHeading"/>
        <w:rPr>
          <w:lang w:val="en-GB"/>
        </w:rPr>
      </w:pPr>
      <w:r>
        <w:rPr>
          <w:lang w:val="en-GB"/>
        </w:rPr>
        <w:t>These functions represent movements of the zero curve and are used to define the curves resulting from these movements.  The shift curve is obtained by adding t</w:t>
      </w:r>
      <w:r>
        <w:rPr>
          <w:lang w:val="en-GB"/>
        </w:rPr>
        <w:t>he constant shift function to the original curve at the maturity grid points.</w:t>
      </w:r>
    </w:p>
    <w:p w:rsidR="00000000" w:rsidRDefault="00F90957">
      <w:pPr>
        <w:pStyle w:val="NoteHeading"/>
        <w:rPr>
          <w:lang w:val="en-GB"/>
        </w:rPr>
      </w:pPr>
    </w:p>
    <w:p w:rsidR="00000000" w:rsidRDefault="00F90957">
      <w:pPr>
        <w:pStyle w:val="NoteHeading"/>
        <w:ind w:left="8252" w:hanging="8252"/>
        <w:rPr>
          <w:lang w:val="en-GB"/>
        </w:rPr>
      </w:pPr>
      <w:r>
        <w:rPr>
          <w:position w:val="-14"/>
        </w:rPr>
        <w:object w:dxaOrig="4340" w:dyaOrig="400">
          <v:shape id="_x0000_i1184" type="#_x0000_t75" style="width:216.75pt;height:20.25pt" o:ole="">
            <v:imagedata r:id="rId318" o:title=""/>
          </v:shape>
          <o:OLEObject Type="Embed" ProgID="Equation.3" ShapeID="_x0000_i1184" DrawAspect="Content" ObjectID="_1597674025" r:id="rId319"/>
        </w:object>
      </w:r>
      <w:r>
        <w:rPr>
          <w:lang w:val="en-GB"/>
        </w:rPr>
        <w:t xml:space="preserve">            </w:t>
      </w:r>
      <w:r>
        <w:rPr>
          <w:i/>
          <w:iCs/>
          <w:lang w:val="en-GB"/>
        </w:rPr>
        <w:t>i</w:t>
      </w:r>
      <w:r>
        <w:rPr>
          <w:lang w:val="en-GB"/>
        </w:rPr>
        <w:t xml:space="preserve"> = 1, 2, …, </w:t>
      </w:r>
      <w:r>
        <w:rPr>
          <w:i/>
          <w:iCs/>
          <w:lang w:val="en-GB"/>
        </w:rPr>
        <w:t>N</w:t>
      </w:r>
      <w:r>
        <w:rPr>
          <w:lang w:val="en-GB"/>
        </w:rPr>
        <w:t>.</w:t>
      </w:r>
      <w:r>
        <w:rPr>
          <w:lang w:val="en-GB"/>
        </w:rPr>
        <w:tab/>
        <w:t>(6.34)</w:t>
      </w:r>
    </w:p>
    <w:p w:rsidR="00000000" w:rsidRDefault="00F90957">
      <w:pPr>
        <w:pStyle w:val="NoteHeading"/>
        <w:rPr>
          <w:lang w:val="en-GB"/>
        </w:rPr>
      </w:pPr>
    </w:p>
    <w:p w:rsidR="00000000" w:rsidRDefault="00F90957">
      <w:pPr>
        <w:pStyle w:val="Picture"/>
      </w:pPr>
      <w:r>
        <w:t xml:space="preserve">Interpolation is used to get the curve value at other points. This means that the shift will not be exactly parallel, </w:t>
      </w:r>
      <w:r>
        <w:t xml:space="preserve">unless we use linear interpolation, but in most cases the difference </w:t>
      </w:r>
    </w:p>
    <w:p w:rsidR="00000000" w:rsidRDefault="00F90957"/>
    <w:p w:rsidR="00000000" w:rsidRDefault="00F90957">
      <w:r>
        <w:rPr>
          <w:position w:val="-14"/>
        </w:rPr>
        <w:object w:dxaOrig="1480" w:dyaOrig="400">
          <v:shape id="_x0000_i1185" type="#_x0000_t75" style="width:74.25pt;height:20.25pt" o:ole="">
            <v:imagedata r:id="rId320" o:title=""/>
          </v:shape>
          <o:OLEObject Type="Embed" ProgID="Equation.3" ShapeID="_x0000_i1185" DrawAspect="Content" ObjectID="_1597674026" r:id="rId321"/>
        </w:object>
      </w:r>
    </w:p>
    <w:p w:rsidR="00000000" w:rsidRDefault="00F90957"/>
    <w:p w:rsidR="00000000" w:rsidRDefault="00F90957">
      <w:pPr>
        <w:pStyle w:val="NoteHeading"/>
        <w:rPr>
          <w:lang w:val="en-GB"/>
        </w:rPr>
      </w:pPr>
      <w:r>
        <w:rPr>
          <w:lang w:val="en-GB"/>
        </w:rPr>
        <w:t xml:space="preserve">is close to s for </w:t>
      </w:r>
      <w:r>
        <w:rPr>
          <w:i/>
          <w:iCs/>
          <w:lang w:val="en-GB"/>
        </w:rPr>
        <w:t>t</w:t>
      </w:r>
      <w:r>
        <w:rPr>
          <w:lang w:val="en-GB"/>
        </w:rPr>
        <w:t xml:space="preserve"> &lt; </w:t>
      </w:r>
      <w:r>
        <w:rPr>
          <w:i/>
          <w:iCs/>
          <w:lang w:val="en-GB"/>
        </w:rPr>
        <w:t>T</w:t>
      </w:r>
      <w:r>
        <w:rPr>
          <w:i/>
          <w:iCs/>
          <w:vertAlign w:val="subscript"/>
          <w:lang w:val="en-GB"/>
        </w:rPr>
        <w:t>N</w:t>
      </w:r>
      <w:r>
        <w:rPr>
          <w:lang w:val="en-GB"/>
        </w:rPr>
        <w:t xml:space="preserve">. The shift curve is then translated to get the curve used for pricing bonds at time </w:t>
      </w:r>
      <w:r>
        <w:rPr>
          <w:i/>
          <w:iCs/>
          <w:lang w:val="en-GB"/>
        </w:rPr>
        <w:t>t</w:t>
      </w:r>
      <w:r>
        <w:rPr>
          <w:i/>
          <w:iCs/>
          <w:vertAlign w:val="subscript"/>
          <w:lang w:val="en-GB"/>
        </w:rPr>
        <w:t>2</w:t>
      </w:r>
      <w:r>
        <w:rPr>
          <w:lang w:val="en-GB"/>
        </w:rPr>
        <w:t xml:space="preserve">. </w:t>
      </w:r>
    </w:p>
    <w:p w:rsidR="00000000" w:rsidRDefault="00F90957"/>
    <w:p w:rsidR="00000000" w:rsidRDefault="00F90957">
      <w:pPr>
        <w:ind w:left="8252" w:hanging="8252"/>
      </w:pPr>
      <w:r>
        <w:rPr>
          <w:position w:val="-14"/>
        </w:rPr>
        <w:object w:dxaOrig="2520" w:dyaOrig="400">
          <v:shape id="_x0000_i1186" type="#_x0000_t75" style="width:126pt;height:20.25pt" o:ole="">
            <v:imagedata r:id="rId322" o:title=""/>
          </v:shape>
          <o:OLEObject Type="Embed" ProgID="Equation.3" ShapeID="_x0000_i1186" DrawAspect="Content" ObjectID="_1597674027" r:id="rId323"/>
        </w:object>
      </w:r>
      <w:r>
        <w:t xml:space="preserve">                 </w:t>
      </w:r>
      <w:r>
        <w:rPr>
          <w:position w:val="-12"/>
          <w:sz w:val="16"/>
        </w:rPr>
        <w:object w:dxaOrig="1040" w:dyaOrig="360">
          <v:shape id="_x0000_i1187" type="#_x0000_t75" style="width:51.75pt;height:18pt" o:ole="">
            <v:imagedata r:id="rId324" o:title=""/>
          </v:shape>
          <o:OLEObject Type="Embed" ProgID="Equation.3" ShapeID="_x0000_i1187" DrawAspect="Content" ObjectID="_1597674028" r:id="rId325"/>
        </w:object>
      </w:r>
      <w:r>
        <w:t>.</w:t>
      </w:r>
      <w:r>
        <w:tab/>
        <w:t>(6.35)</w:t>
      </w:r>
    </w:p>
    <w:p w:rsidR="00000000" w:rsidRDefault="00F90957"/>
    <w:p w:rsidR="00000000" w:rsidRDefault="00F90957">
      <w:r>
        <w:t xml:space="preserve">The twist and butterfly curves are obtained in the same manner. For example, the twist curve is obtained by translating the curve </w:t>
      </w:r>
      <w:r>
        <w:rPr>
          <w:position w:val="-14"/>
        </w:rPr>
        <w:object w:dxaOrig="760" w:dyaOrig="400">
          <v:shape id="_x0000_i1188" type="#_x0000_t75" style="width:38.25pt;height:20.25pt" o:ole="">
            <v:imagedata r:id="rId326" o:title=""/>
          </v:shape>
          <o:OLEObject Type="Embed" ProgID="Equation.3" ShapeID="_x0000_i1188" DrawAspect="Content" ObjectID="_1597674029" r:id="rId327"/>
        </w:object>
      </w:r>
      <w:r>
        <w:t xml:space="preserve">, which has grid point values </w:t>
      </w:r>
    </w:p>
    <w:p w:rsidR="00000000" w:rsidRDefault="00F90957"/>
    <w:p w:rsidR="00000000" w:rsidRDefault="00F90957">
      <w:pPr>
        <w:pStyle w:val="NoteHeading"/>
        <w:ind w:left="8252" w:hanging="8252"/>
        <w:rPr>
          <w:lang w:val="en-GB"/>
        </w:rPr>
      </w:pPr>
      <w:r>
        <w:rPr>
          <w:position w:val="-14"/>
        </w:rPr>
        <w:object w:dxaOrig="3140" w:dyaOrig="400">
          <v:shape id="_x0000_i1189" type="#_x0000_t75" style="width:156.75pt;height:20.25pt" o:ole="">
            <v:imagedata r:id="rId328" o:title=""/>
          </v:shape>
          <o:OLEObject Type="Embed" ProgID="Equation.3" ShapeID="_x0000_i1189" DrawAspect="Content" ObjectID="_1597674030" r:id="rId329"/>
        </w:object>
      </w:r>
      <w:r>
        <w:rPr>
          <w:lang w:val="en-GB"/>
        </w:rPr>
        <w:t xml:space="preserve">                    </w:t>
      </w:r>
      <w:r>
        <w:rPr>
          <w:lang w:val="en-GB"/>
        </w:rPr>
        <w:t xml:space="preserve">  </w:t>
      </w:r>
      <w:r>
        <w:rPr>
          <w:i/>
          <w:iCs/>
          <w:lang w:val="en-GB"/>
        </w:rPr>
        <w:t>i</w:t>
      </w:r>
      <w:r>
        <w:rPr>
          <w:lang w:val="en-GB"/>
        </w:rPr>
        <w:t xml:space="preserve"> = 1, 2, …, </w:t>
      </w:r>
      <w:r>
        <w:rPr>
          <w:i/>
          <w:iCs/>
          <w:lang w:val="en-GB"/>
        </w:rPr>
        <w:t>N</w:t>
      </w:r>
      <w:r>
        <w:rPr>
          <w:lang w:val="en-GB"/>
        </w:rPr>
        <w:t>:</w:t>
      </w:r>
      <w:r>
        <w:rPr>
          <w:lang w:val="en-GB"/>
        </w:rPr>
        <w:tab/>
        <w:t xml:space="preserve">(6.36) </w:t>
      </w:r>
    </w:p>
    <w:p w:rsidR="00000000" w:rsidRDefault="00F90957"/>
    <w:p w:rsidR="00000000" w:rsidRDefault="00F90957">
      <w:pPr>
        <w:ind w:left="8252" w:hanging="8252"/>
      </w:pPr>
      <w:r>
        <w:rPr>
          <w:position w:val="-14"/>
        </w:rPr>
        <w:object w:dxaOrig="2540" w:dyaOrig="400">
          <v:shape id="_x0000_i1190" type="#_x0000_t75" style="width:126.75pt;height:20.25pt" o:ole="">
            <v:imagedata r:id="rId330" o:title=""/>
          </v:shape>
          <o:OLEObject Type="Embed" ProgID="Equation.3" ShapeID="_x0000_i1190" DrawAspect="Content" ObjectID="_1597674031" r:id="rId331"/>
        </w:object>
      </w:r>
      <w:r>
        <w:t xml:space="preserve">                       </w:t>
      </w:r>
      <w:r>
        <w:rPr>
          <w:position w:val="-12"/>
          <w:sz w:val="16"/>
        </w:rPr>
        <w:object w:dxaOrig="999" w:dyaOrig="360">
          <v:shape id="_x0000_i1191" type="#_x0000_t75" style="width:50.25pt;height:18pt" o:ole="">
            <v:imagedata r:id="rId332" o:title=""/>
          </v:shape>
          <o:OLEObject Type="Embed" ProgID="Equation.3" ShapeID="_x0000_i1191" DrawAspect="Content" ObjectID="_1597674032" r:id="rId333"/>
        </w:object>
      </w:r>
      <w:r>
        <w:t>.</w:t>
      </w:r>
      <w:r>
        <w:tab/>
        <w:t>(6.37)</w:t>
      </w:r>
    </w:p>
    <w:p w:rsidR="00000000" w:rsidRDefault="00F90957"/>
    <w:p w:rsidR="00000000" w:rsidRDefault="00F90957">
      <w:r>
        <w:t>Using the shift, twist and butterfly curves in the pricing of a bond, the return due to the corresponding curve movements can be calculated. For examp</w:t>
      </w:r>
      <w:r>
        <w:t xml:space="preserve">le, the butterfly return of bond </w:t>
      </w:r>
      <w:r>
        <w:rPr>
          <w:i/>
          <w:iCs/>
        </w:rPr>
        <w:t>i</w:t>
      </w:r>
      <w:r>
        <w:t xml:space="preserve"> is:</w:t>
      </w:r>
    </w:p>
    <w:p w:rsidR="00000000" w:rsidRDefault="00F90957">
      <w:pPr>
        <w:rPr>
          <w:i/>
          <w:iCs/>
        </w:rPr>
      </w:pPr>
    </w:p>
    <w:p w:rsidR="00000000" w:rsidRDefault="00F90957">
      <w:pPr>
        <w:ind w:left="8252" w:hanging="8252"/>
      </w:pPr>
      <w:r>
        <w:rPr>
          <w:i/>
          <w:iCs/>
        </w:rPr>
        <w:t>butterfly return</w:t>
      </w:r>
      <w:r>
        <w:t xml:space="preserve"> = </w:t>
      </w:r>
      <w:r>
        <w:rPr>
          <w:position w:val="-34"/>
        </w:rPr>
        <w:object w:dxaOrig="2960" w:dyaOrig="800">
          <v:shape id="_x0000_i1192" type="#_x0000_t75" style="width:147.75pt;height:39.75pt" o:ole="">
            <v:imagedata r:id="rId334" o:title=""/>
          </v:shape>
          <o:OLEObject Type="Embed" ProgID="Equation.3" ShapeID="_x0000_i1192" DrawAspect="Content" ObjectID="_1597674033" r:id="rId335"/>
        </w:object>
      </w:r>
      <w:r>
        <w:t>.</w:t>
      </w:r>
      <w:r>
        <w:tab/>
        <w:t>(6.38)</w:t>
      </w:r>
    </w:p>
    <w:p w:rsidR="00000000" w:rsidRDefault="00F90957"/>
    <w:p w:rsidR="00000000" w:rsidRDefault="00F90957">
      <w:r>
        <w:t xml:space="preserve">  When dealing with credit curves the total curve movement is decomposed into Treasury curve movement and spread change. The definitions of the shift, twist and but</w:t>
      </w:r>
      <w:r>
        <w:t>terfly components are therefore as above, i. e. based on the Treasury curves. The curve used in the calculation of the shift return of the credit bonds is obtained in the same manner as the Treasury shift curve. First, the shift value is added to credit cu</w:t>
      </w:r>
      <w:r>
        <w:t>rve</w:t>
      </w:r>
      <w:r>
        <w:rPr>
          <w:i/>
          <w:iCs/>
        </w:rPr>
        <w:t xml:space="preserve"> </w:t>
      </w:r>
      <w:r>
        <w:t>at the maturity grid points,</w:t>
      </w:r>
    </w:p>
    <w:p w:rsidR="00000000" w:rsidRDefault="00F90957"/>
    <w:p w:rsidR="00000000" w:rsidRDefault="00F90957">
      <w:pPr>
        <w:ind w:left="8252" w:hanging="8252"/>
      </w:pPr>
      <w:r>
        <w:rPr>
          <w:position w:val="-14"/>
        </w:rPr>
        <w:object w:dxaOrig="2360" w:dyaOrig="400">
          <v:shape id="_x0000_i1193" type="#_x0000_t75" style="width:117.75pt;height:20.25pt" o:ole="">
            <v:imagedata r:id="rId336" o:title=""/>
          </v:shape>
          <o:OLEObject Type="Embed" ProgID="Equation.3" ShapeID="_x0000_i1193" DrawAspect="Content" ObjectID="_1597674034" r:id="rId337"/>
        </w:object>
      </w:r>
      <w:r>
        <w:t xml:space="preserve">                             </w:t>
      </w:r>
      <w:r>
        <w:rPr>
          <w:i/>
          <w:iCs/>
        </w:rPr>
        <w:t>i</w:t>
      </w:r>
      <w:r>
        <w:t xml:space="preserve"> = 1, 2, …,</w:t>
      </w:r>
      <w:r>
        <w:rPr>
          <w:i/>
          <w:iCs/>
        </w:rPr>
        <w:t>m</w:t>
      </w:r>
      <w:r>
        <w:t xml:space="preserve">,  </w:t>
      </w:r>
      <w:r>
        <w:tab/>
        <w:t xml:space="preserve">(6.39) </w:t>
      </w:r>
      <w:r>
        <w:rPr>
          <w:i/>
          <w:iCs/>
        </w:rPr>
        <w:t xml:space="preserve">  </w:t>
      </w:r>
    </w:p>
    <w:p w:rsidR="00000000" w:rsidRDefault="00F90957"/>
    <w:p w:rsidR="00000000" w:rsidRDefault="00F90957">
      <w:r>
        <w:t xml:space="preserve">where the </w:t>
      </w:r>
      <w:r>
        <w:rPr>
          <w:i/>
          <w:iCs/>
        </w:rPr>
        <w:t>T</w:t>
      </w:r>
      <w:r>
        <w:rPr>
          <w:i/>
          <w:iCs/>
          <w:vertAlign w:val="subscript"/>
        </w:rPr>
        <w:t>i</w:t>
      </w:r>
      <w:r>
        <w:t xml:space="preserve">:s are the maturities of the </w:t>
      </w:r>
      <w:r>
        <w:rPr>
          <w:i/>
          <w:iCs/>
        </w:rPr>
        <w:t xml:space="preserve">m </w:t>
      </w:r>
      <w:r>
        <w:t>input bonds used in the derivation of the credit curve. The resulting curve is then translated:</w:t>
      </w:r>
    </w:p>
    <w:p w:rsidR="00000000" w:rsidRDefault="00F90957"/>
    <w:p w:rsidR="00000000" w:rsidRDefault="00F90957">
      <w:pPr>
        <w:ind w:left="8252" w:hanging="8252"/>
      </w:pPr>
      <w:r>
        <w:rPr>
          <w:position w:val="-14"/>
        </w:rPr>
        <w:object w:dxaOrig="2520" w:dyaOrig="400">
          <v:shape id="_x0000_i1194" type="#_x0000_t75" style="width:126pt;height:20.25pt" o:ole="">
            <v:imagedata r:id="rId322" o:title=""/>
          </v:shape>
          <o:OLEObject Type="Embed" ProgID="Equation.3" ShapeID="_x0000_i1194" DrawAspect="Content" ObjectID="_1597674035" r:id="rId338"/>
        </w:object>
      </w:r>
      <w:r>
        <w:t xml:space="preserve">                         </w:t>
      </w:r>
      <w:r>
        <w:rPr>
          <w:position w:val="-12"/>
          <w:sz w:val="16"/>
        </w:rPr>
        <w:object w:dxaOrig="999" w:dyaOrig="360">
          <v:shape id="_x0000_i1195" type="#_x0000_t75" style="width:50.25pt;height:18pt" o:ole="">
            <v:imagedata r:id="rId332" o:title=""/>
          </v:shape>
          <o:OLEObject Type="Embed" ProgID="Equation.3" ShapeID="_x0000_i1195" DrawAspect="Content" ObjectID="_1597674036" r:id="rId339"/>
        </w:object>
      </w:r>
      <w:r>
        <w:t>.</w:t>
      </w:r>
      <w:r>
        <w:tab/>
        <w:t>(6.40)</w:t>
      </w:r>
    </w:p>
    <w:p w:rsidR="00000000" w:rsidRDefault="00F90957"/>
    <w:p w:rsidR="00000000" w:rsidRDefault="00F90957">
      <w:r>
        <w:t>To obtain the curve used in the calculation of the spread and shape return (see section 6.1.3), the Treasury curve movement is added to the credit curve at the grid points:</w:t>
      </w:r>
    </w:p>
    <w:p w:rsidR="00000000" w:rsidRDefault="00F90957"/>
    <w:p w:rsidR="00000000" w:rsidRDefault="00F90957">
      <w:pPr>
        <w:ind w:left="8252" w:hanging="8252"/>
      </w:pPr>
      <w:r>
        <w:rPr>
          <w:position w:val="-14"/>
        </w:rPr>
        <w:object w:dxaOrig="5160" w:dyaOrig="400">
          <v:shape id="_x0000_i1196" type="#_x0000_t75" style="width:258pt;height:20.25pt" o:ole="" fillcolor="window">
            <v:imagedata r:id="rId340" o:title=""/>
          </v:shape>
          <o:OLEObject Type="Embed" ProgID="Equation.3" ShapeID="_x0000_i1196" DrawAspect="Content" ObjectID="_1597674037" r:id="rId341"/>
        </w:object>
      </w:r>
      <w:r>
        <w:t xml:space="preserve">.      </w:t>
      </w:r>
      <w:r>
        <w:rPr>
          <w:i/>
          <w:iCs/>
        </w:rPr>
        <w:t>i</w:t>
      </w:r>
      <w:r>
        <w:t xml:space="preserve"> = 1, 2, …, </w:t>
      </w:r>
      <w:r>
        <w:rPr>
          <w:i/>
          <w:iCs/>
        </w:rPr>
        <w:t>m</w:t>
      </w:r>
      <w:r>
        <w:tab/>
        <w:t>(6.41)</w:t>
      </w:r>
    </w:p>
    <w:p w:rsidR="00000000" w:rsidRDefault="00F90957"/>
    <w:p w:rsidR="00000000" w:rsidRDefault="00F90957">
      <w:r>
        <w:t xml:space="preserve">(6.12) and (6.14) are then used to calculate the two return components. </w:t>
      </w:r>
    </w:p>
    <w:p w:rsidR="00000000" w:rsidRDefault="00F90957">
      <w:pPr>
        <w:pStyle w:val="Heading2"/>
      </w:pPr>
      <w:bookmarkStart w:id="37" w:name="_Toc38162693"/>
      <w:r>
        <w:t>6.4 Results</w:t>
      </w:r>
      <w:bookmarkEnd w:id="37"/>
    </w:p>
    <w:p w:rsidR="00000000" w:rsidRDefault="00F90957">
      <w:r>
        <w:t>The model described in the previous section has been tested on data from the Swedish bond market for the period January 1</w:t>
      </w:r>
      <w:r>
        <w:t>, 1995, to October 11, 2000. Handelsbanken’s bond index for the Swedish government bonds was used in the derivation of the Treasury zero curve. A problem with the derivation method is that it will not work if two or more of the input bonds have the same ma</w:t>
      </w:r>
      <w:r>
        <w:t>turity. If that was the case, only one of those bonds was used to obtain the curve, which therefore will not give the correct price for the other bonds with that maturity. This normally resulted in large rolldown and shape returns when applying the model t</w:t>
      </w:r>
      <w:r>
        <w:t xml:space="preserve">o those bonds.  </w:t>
      </w:r>
    </w:p>
    <w:p w:rsidR="00000000" w:rsidRDefault="00F90957">
      <w:r>
        <w:t xml:space="preserve">  Figure 6.7 shows the quotes and data for the Swedish government bonds for September 5, 1998, and October 5, 1998. The implied zero curves based on this data are shown in Figure 6.8. The bond SGB1041 is somewhat isolated having a maturity</w:t>
      </w:r>
      <w:r>
        <w:t xml:space="preserve"> more than five years later than the next longest bond. This can make it difficult to decide where to position the last point, </w:t>
      </w:r>
      <w:r>
        <w:rPr>
          <w:i/>
          <w:iCs/>
        </w:rPr>
        <w:t>T</w:t>
      </w:r>
      <w:r>
        <w:rPr>
          <w:i/>
          <w:iCs/>
          <w:vertAlign w:val="subscript"/>
        </w:rPr>
        <w:t>n</w:t>
      </w:r>
      <w:r>
        <w:t xml:space="preserve">, of the </w:t>
      </w:r>
      <w:r>
        <w:rPr>
          <w:i/>
        </w:rPr>
        <w:t>n</w:t>
      </w:r>
      <w:r>
        <w:t xml:space="preserve"> points that are used when defining the shift, twist and butterfly movements.</w:t>
      </w:r>
    </w:p>
    <w:tbl>
      <w:tblPr>
        <w:tblpPr w:leftFromText="181" w:rightFromText="181" w:vertAnchor="text" w:tblpY="1"/>
        <w:tblOverlap w:val="never"/>
        <w:tblW w:w="4680" w:type="dxa"/>
        <w:shd w:val="clear" w:color="auto" w:fill="F3F3F3"/>
        <w:tblLayout w:type="fixed"/>
        <w:tblCellMar>
          <w:left w:w="0" w:type="dxa"/>
          <w:right w:w="0" w:type="dxa"/>
        </w:tblCellMar>
        <w:tblLook w:val="0000" w:firstRow="0" w:lastRow="0" w:firstColumn="0" w:lastColumn="0" w:noHBand="0" w:noVBand="0"/>
      </w:tblPr>
      <w:tblGrid>
        <w:gridCol w:w="1016"/>
        <w:gridCol w:w="1056"/>
        <w:gridCol w:w="808"/>
        <w:gridCol w:w="900"/>
        <w:gridCol w:w="900"/>
      </w:tblGrid>
      <w:tr w:rsidR="00000000">
        <w:trPr>
          <w:trHeight w:val="255"/>
        </w:trPr>
        <w:tc>
          <w:tcPr>
            <w:tcW w:w="1016"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BondName</w:t>
            </w:r>
          </w:p>
        </w:tc>
        <w:tc>
          <w:tcPr>
            <w:tcW w:w="1056"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Maturity</w:t>
            </w:r>
          </w:p>
        </w:tc>
        <w:tc>
          <w:tcPr>
            <w:tcW w:w="808"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Coupon</w:t>
            </w:r>
          </w:p>
        </w:tc>
        <w:tc>
          <w:tcPr>
            <w:tcW w:w="900" w:type="dxa"/>
            <w:shd w:val="clear" w:color="auto" w:fill="D9D9D9"/>
            <w:noWrap/>
            <w:vAlign w:val="bottom"/>
          </w:tcPr>
          <w:p w:rsidR="00000000" w:rsidRDefault="00F90957">
            <w:pPr>
              <w:jc w:val="center"/>
              <w:rPr>
                <w:rFonts w:ascii="Arial" w:hAnsi="Arial" w:cs="Arial"/>
                <w:sz w:val="20"/>
                <w:szCs w:val="20"/>
                <w:lang w:val="fr-FR"/>
              </w:rPr>
            </w:pPr>
            <w:r>
              <w:rPr>
                <w:rFonts w:ascii="Arial" w:hAnsi="Arial" w:cs="Arial"/>
                <w:sz w:val="20"/>
                <w:szCs w:val="20"/>
                <w:lang w:val="fr-FR"/>
              </w:rPr>
              <w:t>Quote</w:t>
            </w:r>
          </w:p>
          <w:p w:rsidR="00000000" w:rsidRDefault="00F90957">
            <w:pPr>
              <w:jc w:val="center"/>
              <w:rPr>
                <w:rFonts w:ascii="Arial" w:eastAsia="Arial Unicode MS" w:hAnsi="Arial" w:cs="Arial"/>
                <w:sz w:val="20"/>
                <w:szCs w:val="20"/>
                <w:lang w:val="fr-FR"/>
              </w:rPr>
            </w:pPr>
            <w:r>
              <w:rPr>
                <w:rFonts w:ascii="Arial" w:hAnsi="Arial" w:cs="Arial"/>
                <w:sz w:val="20"/>
                <w:szCs w:val="20"/>
                <w:lang w:val="fr-FR"/>
              </w:rPr>
              <w:t xml:space="preserve"> 98-09-0</w:t>
            </w:r>
            <w:r>
              <w:rPr>
                <w:rFonts w:ascii="Arial" w:hAnsi="Arial" w:cs="Arial"/>
                <w:sz w:val="20"/>
                <w:szCs w:val="20"/>
                <w:lang w:val="fr-FR"/>
              </w:rPr>
              <w:t>5</w:t>
            </w:r>
          </w:p>
        </w:tc>
        <w:tc>
          <w:tcPr>
            <w:tcW w:w="900" w:type="dxa"/>
            <w:shd w:val="clear" w:color="auto" w:fill="D9D9D9"/>
            <w:noWrap/>
            <w:vAlign w:val="bottom"/>
          </w:tcPr>
          <w:p w:rsidR="00000000" w:rsidRDefault="00F90957">
            <w:pPr>
              <w:jc w:val="center"/>
              <w:rPr>
                <w:rFonts w:ascii="Arial" w:hAnsi="Arial" w:cs="Arial"/>
                <w:sz w:val="20"/>
                <w:szCs w:val="20"/>
                <w:lang w:val="fr-FR"/>
              </w:rPr>
            </w:pPr>
            <w:r>
              <w:rPr>
                <w:rFonts w:ascii="Arial" w:hAnsi="Arial" w:cs="Arial"/>
                <w:sz w:val="20"/>
                <w:szCs w:val="20"/>
                <w:lang w:val="fr-FR"/>
              </w:rPr>
              <w:t xml:space="preserve">Quote </w:t>
            </w:r>
          </w:p>
          <w:p w:rsidR="00000000" w:rsidRDefault="00F90957">
            <w:pPr>
              <w:jc w:val="center"/>
              <w:rPr>
                <w:rFonts w:ascii="Arial" w:eastAsia="Arial Unicode MS" w:hAnsi="Arial" w:cs="Arial"/>
                <w:sz w:val="20"/>
                <w:szCs w:val="20"/>
                <w:lang w:val="fr-FR"/>
              </w:rPr>
            </w:pPr>
            <w:r>
              <w:rPr>
                <w:rFonts w:ascii="Arial" w:hAnsi="Arial" w:cs="Arial"/>
                <w:sz w:val="20"/>
                <w:szCs w:val="20"/>
                <w:lang w:val="fr-FR"/>
              </w:rPr>
              <w:t>98-10-05</w:t>
            </w:r>
          </w:p>
        </w:tc>
      </w:tr>
      <w:tr w:rsidR="00000000">
        <w:trPr>
          <w:trHeight w:val="255"/>
        </w:trPr>
        <w:tc>
          <w:tcPr>
            <w:tcW w:w="1016" w:type="dxa"/>
            <w:shd w:val="clear" w:color="auto" w:fill="F3F3F3"/>
            <w:noWrap/>
            <w:vAlign w:val="bottom"/>
          </w:tcPr>
          <w:p w:rsidR="00000000" w:rsidRDefault="00F90957">
            <w:pPr>
              <w:rPr>
                <w:rFonts w:ascii="Arial" w:eastAsia="Arial Unicode MS" w:hAnsi="Arial" w:cs="Arial"/>
                <w:sz w:val="20"/>
                <w:szCs w:val="20"/>
                <w:lang w:val="fr-FR"/>
              </w:rPr>
            </w:pPr>
            <w:r>
              <w:rPr>
                <w:rFonts w:ascii="Arial" w:hAnsi="Arial" w:cs="Arial"/>
                <w:sz w:val="20"/>
                <w:szCs w:val="20"/>
                <w:lang w:val="fr-FR"/>
              </w:rPr>
              <w:t>SGB1036</w:t>
            </w:r>
          </w:p>
        </w:tc>
        <w:tc>
          <w:tcPr>
            <w:tcW w:w="1056"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2000-05-05</w:t>
            </w:r>
          </w:p>
        </w:tc>
        <w:tc>
          <w:tcPr>
            <w:tcW w:w="808"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10,25</w:t>
            </w:r>
          </w:p>
        </w:tc>
        <w:tc>
          <w:tcPr>
            <w:tcW w:w="900"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4,375</w:t>
            </w:r>
          </w:p>
        </w:tc>
        <w:tc>
          <w:tcPr>
            <w:tcW w:w="900"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4,295</w:t>
            </w:r>
          </w:p>
        </w:tc>
      </w:tr>
      <w:tr w:rsidR="00000000">
        <w:trPr>
          <w:trHeight w:val="255"/>
        </w:trPr>
        <w:tc>
          <w:tcPr>
            <w:tcW w:w="1016" w:type="dxa"/>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SGB1030</w:t>
            </w:r>
          </w:p>
        </w:tc>
        <w:tc>
          <w:tcPr>
            <w:tcW w:w="1056"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2001-06-15</w:t>
            </w:r>
          </w:p>
        </w:tc>
        <w:tc>
          <w:tcPr>
            <w:tcW w:w="808"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13</w:t>
            </w:r>
          </w:p>
        </w:tc>
        <w:tc>
          <w:tcPr>
            <w:tcW w:w="900"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4,475</w:t>
            </w:r>
          </w:p>
        </w:tc>
        <w:tc>
          <w:tcPr>
            <w:tcW w:w="900"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4,335</w:t>
            </w:r>
          </w:p>
        </w:tc>
      </w:tr>
      <w:tr w:rsidR="00000000">
        <w:trPr>
          <w:trHeight w:val="255"/>
        </w:trPr>
        <w:tc>
          <w:tcPr>
            <w:tcW w:w="1016" w:type="dxa"/>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SGB1039</w:t>
            </w:r>
          </w:p>
        </w:tc>
        <w:tc>
          <w:tcPr>
            <w:tcW w:w="1056"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2002-04-12</w:t>
            </w:r>
          </w:p>
        </w:tc>
        <w:tc>
          <w:tcPr>
            <w:tcW w:w="808"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5,5</w:t>
            </w:r>
          </w:p>
        </w:tc>
        <w:tc>
          <w:tcPr>
            <w:tcW w:w="900"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4,545</w:t>
            </w:r>
          </w:p>
        </w:tc>
        <w:tc>
          <w:tcPr>
            <w:tcW w:w="900"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4,34</w:t>
            </w:r>
          </w:p>
        </w:tc>
      </w:tr>
      <w:tr w:rsidR="00000000">
        <w:trPr>
          <w:trHeight w:val="255"/>
        </w:trPr>
        <w:tc>
          <w:tcPr>
            <w:tcW w:w="1016" w:type="dxa"/>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SGB1033</w:t>
            </w:r>
          </w:p>
        </w:tc>
        <w:tc>
          <w:tcPr>
            <w:tcW w:w="1056"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2003-05-05</w:t>
            </w:r>
          </w:p>
        </w:tc>
        <w:tc>
          <w:tcPr>
            <w:tcW w:w="808"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10,25</w:t>
            </w:r>
          </w:p>
        </w:tc>
        <w:tc>
          <w:tcPr>
            <w:tcW w:w="900"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4,635</w:t>
            </w:r>
          </w:p>
        </w:tc>
        <w:tc>
          <w:tcPr>
            <w:tcW w:w="900"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4,37</w:t>
            </w:r>
          </w:p>
        </w:tc>
      </w:tr>
      <w:tr w:rsidR="00000000">
        <w:trPr>
          <w:trHeight w:val="255"/>
        </w:trPr>
        <w:tc>
          <w:tcPr>
            <w:tcW w:w="1016" w:type="dxa"/>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SGB1042</w:t>
            </w:r>
          </w:p>
        </w:tc>
        <w:tc>
          <w:tcPr>
            <w:tcW w:w="1056"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2004-01-15</w:t>
            </w:r>
          </w:p>
        </w:tc>
        <w:tc>
          <w:tcPr>
            <w:tcW w:w="808"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5</w:t>
            </w:r>
          </w:p>
        </w:tc>
        <w:tc>
          <w:tcPr>
            <w:tcW w:w="900"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4,705</w:t>
            </w:r>
          </w:p>
        </w:tc>
        <w:tc>
          <w:tcPr>
            <w:tcW w:w="900"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4,39</w:t>
            </w:r>
          </w:p>
        </w:tc>
      </w:tr>
      <w:tr w:rsidR="00000000">
        <w:trPr>
          <w:trHeight w:val="255"/>
        </w:trPr>
        <w:tc>
          <w:tcPr>
            <w:tcW w:w="1016" w:type="dxa"/>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SGB1035</w:t>
            </w:r>
          </w:p>
        </w:tc>
        <w:tc>
          <w:tcPr>
            <w:tcW w:w="1056"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2005-02-09</w:t>
            </w:r>
          </w:p>
        </w:tc>
        <w:tc>
          <w:tcPr>
            <w:tcW w:w="808"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6</w:t>
            </w:r>
          </w:p>
        </w:tc>
        <w:tc>
          <w:tcPr>
            <w:tcW w:w="900"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4,785</w:t>
            </w:r>
          </w:p>
        </w:tc>
        <w:tc>
          <w:tcPr>
            <w:tcW w:w="900"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4,43</w:t>
            </w:r>
          </w:p>
        </w:tc>
      </w:tr>
      <w:tr w:rsidR="00000000">
        <w:trPr>
          <w:trHeight w:val="255"/>
        </w:trPr>
        <w:tc>
          <w:tcPr>
            <w:tcW w:w="1016" w:type="dxa"/>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SGB1038</w:t>
            </w:r>
          </w:p>
        </w:tc>
        <w:tc>
          <w:tcPr>
            <w:tcW w:w="1056"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2006-10-25</w:t>
            </w:r>
          </w:p>
        </w:tc>
        <w:tc>
          <w:tcPr>
            <w:tcW w:w="808"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6,5</w:t>
            </w:r>
          </w:p>
        </w:tc>
        <w:tc>
          <w:tcPr>
            <w:tcW w:w="900"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4,8</w:t>
            </w:r>
            <w:r>
              <w:rPr>
                <w:rFonts w:ascii="Arial" w:hAnsi="Arial" w:cs="Arial"/>
                <w:sz w:val="20"/>
                <w:szCs w:val="20"/>
                <w:lang w:val="sv-SE"/>
              </w:rPr>
              <w:t>75</w:t>
            </w:r>
          </w:p>
        </w:tc>
        <w:tc>
          <w:tcPr>
            <w:tcW w:w="900"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4,495</w:t>
            </w:r>
          </w:p>
        </w:tc>
      </w:tr>
      <w:tr w:rsidR="00000000">
        <w:trPr>
          <w:trHeight w:val="255"/>
        </w:trPr>
        <w:tc>
          <w:tcPr>
            <w:tcW w:w="1016" w:type="dxa"/>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SGB1037</w:t>
            </w:r>
          </w:p>
        </w:tc>
        <w:tc>
          <w:tcPr>
            <w:tcW w:w="1056"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2007-08-15</w:t>
            </w:r>
          </w:p>
        </w:tc>
        <w:tc>
          <w:tcPr>
            <w:tcW w:w="808"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8</w:t>
            </w:r>
          </w:p>
        </w:tc>
        <w:tc>
          <w:tcPr>
            <w:tcW w:w="900"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4,875</w:t>
            </w:r>
          </w:p>
        </w:tc>
        <w:tc>
          <w:tcPr>
            <w:tcW w:w="900"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4,49</w:t>
            </w:r>
          </w:p>
        </w:tc>
      </w:tr>
      <w:tr w:rsidR="00000000">
        <w:trPr>
          <w:trHeight w:val="255"/>
        </w:trPr>
        <w:tc>
          <w:tcPr>
            <w:tcW w:w="1016" w:type="dxa"/>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SGB1040</w:t>
            </w:r>
          </w:p>
        </w:tc>
        <w:tc>
          <w:tcPr>
            <w:tcW w:w="1056"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2008-05-05</w:t>
            </w:r>
          </w:p>
        </w:tc>
        <w:tc>
          <w:tcPr>
            <w:tcW w:w="808"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6,5</w:t>
            </w:r>
          </w:p>
        </w:tc>
        <w:tc>
          <w:tcPr>
            <w:tcW w:w="900"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4,925</w:t>
            </w:r>
          </w:p>
        </w:tc>
        <w:tc>
          <w:tcPr>
            <w:tcW w:w="900" w:type="dxa"/>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4,555</w:t>
            </w:r>
          </w:p>
        </w:tc>
      </w:tr>
      <w:tr w:rsidR="00000000">
        <w:trPr>
          <w:trHeight w:val="255"/>
        </w:trPr>
        <w:tc>
          <w:tcPr>
            <w:tcW w:w="1016" w:type="dxa"/>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SGB1043</w:t>
            </w:r>
          </w:p>
        </w:tc>
        <w:tc>
          <w:tcPr>
            <w:tcW w:w="1056"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2009-01-28</w:t>
            </w:r>
          </w:p>
        </w:tc>
        <w:tc>
          <w:tcPr>
            <w:tcW w:w="808"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5</w:t>
            </w:r>
          </w:p>
        </w:tc>
        <w:tc>
          <w:tcPr>
            <w:tcW w:w="900"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4,965</w:t>
            </w:r>
          </w:p>
        </w:tc>
        <w:tc>
          <w:tcPr>
            <w:tcW w:w="900"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4,605</w:t>
            </w:r>
          </w:p>
        </w:tc>
      </w:tr>
      <w:tr w:rsidR="00000000">
        <w:trPr>
          <w:trHeight w:val="255"/>
        </w:trPr>
        <w:tc>
          <w:tcPr>
            <w:tcW w:w="1016" w:type="dxa"/>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SGB1034</w:t>
            </w:r>
          </w:p>
        </w:tc>
        <w:tc>
          <w:tcPr>
            <w:tcW w:w="1056"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2009-04-20</w:t>
            </w:r>
          </w:p>
        </w:tc>
        <w:tc>
          <w:tcPr>
            <w:tcW w:w="808"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9</w:t>
            </w:r>
          </w:p>
        </w:tc>
        <w:tc>
          <w:tcPr>
            <w:tcW w:w="900"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4,935</w:t>
            </w:r>
          </w:p>
        </w:tc>
        <w:tc>
          <w:tcPr>
            <w:tcW w:w="900"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4,57</w:t>
            </w:r>
          </w:p>
        </w:tc>
      </w:tr>
      <w:tr w:rsidR="00000000">
        <w:trPr>
          <w:trHeight w:val="255"/>
        </w:trPr>
        <w:tc>
          <w:tcPr>
            <w:tcW w:w="1016" w:type="dxa"/>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SGB1041</w:t>
            </w:r>
          </w:p>
        </w:tc>
        <w:tc>
          <w:tcPr>
            <w:tcW w:w="1056"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2014-05-05</w:t>
            </w:r>
          </w:p>
        </w:tc>
        <w:tc>
          <w:tcPr>
            <w:tcW w:w="808"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6,75</w:t>
            </w:r>
          </w:p>
        </w:tc>
        <w:tc>
          <w:tcPr>
            <w:tcW w:w="900"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5,16</w:t>
            </w:r>
          </w:p>
        </w:tc>
        <w:tc>
          <w:tcPr>
            <w:tcW w:w="900"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4,84</w:t>
            </w:r>
          </w:p>
        </w:tc>
      </w:tr>
    </w:tbl>
    <w:p w:rsidR="00000000" w:rsidRDefault="00F90957">
      <w:r>
        <w:rPr>
          <w:noProof/>
          <w:lang w:val="en-US"/>
        </w:rPr>
        <w:drawing>
          <wp:inline distT="0" distB="0" distL="0" distR="0">
            <wp:extent cx="2714625" cy="2247900"/>
            <wp:effectExtent l="0" t="0" r="0" b="0"/>
            <wp:docPr id="173" name="Object 17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2"/>
              </a:graphicData>
            </a:graphic>
          </wp:inline>
        </w:drawing>
      </w:r>
      <w:r>
        <w:t xml:space="preserve">Table 6.7: Data and quotes for the Swedish     </w:t>
      </w:r>
      <w:r>
        <w:t xml:space="preserve">         Figure 6.8: Implied zero curves based on government bonds in the HMSA index.                    the data in figure 6.7</w:t>
      </w:r>
    </w:p>
    <w:p w:rsidR="00000000" w:rsidRDefault="00F90957">
      <w:pPr>
        <w:pStyle w:val="NoteHeading"/>
        <w:rPr>
          <w:lang w:val="en-GB"/>
        </w:rPr>
      </w:pPr>
    </w:p>
    <w:p w:rsidR="00000000" w:rsidRDefault="00F90957">
      <w:r>
        <w:t xml:space="preserve">In most of the testing, the first point, </w:t>
      </w:r>
      <w:r>
        <w:rPr>
          <w:i/>
          <w:iCs/>
        </w:rPr>
        <w:t>T</w:t>
      </w:r>
      <w:r>
        <w:rPr>
          <w:i/>
          <w:iCs/>
          <w:vertAlign w:val="subscript"/>
        </w:rPr>
        <w:t>1</w:t>
      </w:r>
      <w:r>
        <w:t>, was set at two years. As a rule, the last point should not be later than the lates</w:t>
      </w:r>
      <w:r>
        <w:t xml:space="preserve">t maturity of the bonds used in the derivation of the zero curve. Otherwise, the value </w:t>
      </w:r>
      <w:r>
        <w:sym w:font="Symbol" w:char="F044"/>
      </w:r>
      <w:r>
        <w:rPr>
          <w:i/>
          <w:iCs/>
        </w:rPr>
        <w:t>Y</w:t>
      </w:r>
      <w:r>
        <w:t>(</w:t>
      </w:r>
      <w:r>
        <w:rPr>
          <w:i/>
          <w:iCs/>
        </w:rPr>
        <w:t>T</w:t>
      </w:r>
      <w:r>
        <w:rPr>
          <w:i/>
          <w:iCs/>
          <w:vertAlign w:val="subscript"/>
        </w:rPr>
        <w:t>n</w:t>
      </w:r>
      <w:r>
        <w:t>) will be obtained through extrapolation, something that should be avoided.</w:t>
      </w:r>
    </w:p>
    <w:p w:rsidR="00000000" w:rsidRDefault="00F90957">
      <w:r>
        <w:t xml:space="preserve">  Figure 6.9 shows the results of a return attribution analysis based on the data in fig</w:t>
      </w:r>
      <w:r>
        <w:t xml:space="preserve">ure 6.7 with </w:t>
      </w:r>
      <w:r>
        <w:rPr>
          <w:i/>
          <w:iCs/>
        </w:rPr>
        <w:t>T</w:t>
      </w:r>
      <w:r>
        <w:rPr>
          <w:vertAlign w:val="subscript"/>
        </w:rPr>
        <w:t>1</w:t>
      </w:r>
      <w:r>
        <w:t xml:space="preserve"> at two years, </w:t>
      </w:r>
      <w:r>
        <w:rPr>
          <w:i/>
          <w:iCs/>
        </w:rPr>
        <w:t>T</w:t>
      </w:r>
      <w:r>
        <w:rPr>
          <w:i/>
          <w:iCs/>
          <w:vertAlign w:val="subscript"/>
        </w:rPr>
        <w:t>n</w:t>
      </w:r>
      <w:r>
        <w:t xml:space="preserve"> at ten years and a total number of points of ten. The figures for the HMSA index are based on the nominal outstanding amount (as given by this index) of each bond. Notice the relatively large residual return, or shape retur</w:t>
      </w:r>
      <w:r>
        <w:t xml:space="preserve">n, of the bond SGB1041. This is a result of only considering the movement of the curve up to the ten-year point when defining the shift, twist and butterfly components. The twist and butterfly returns for SGB1041 are also relatively large due to this. If, </w:t>
      </w:r>
      <w:r>
        <w:t xml:space="preserve">instead, </w:t>
      </w:r>
      <w:r>
        <w:rPr>
          <w:i/>
          <w:iCs/>
        </w:rPr>
        <w:t>T</w:t>
      </w:r>
      <w:r>
        <w:rPr>
          <w:vertAlign w:val="subscript"/>
        </w:rPr>
        <w:t>10</w:t>
      </w:r>
      <w:r>
        <w:rPr>
          <w:i/>
          <w:iCs/>
        </w:rPr>
        <w:t xml:space="preserve"> </w:t>
      </w:r>
      <w:r>
        <w:t>is set at the time of maturity of SGB1041, the analysis gives the results shown in figure 6.10. The twist, butterfly and residual returns for SGB1041 have decreased at the expense of a larger residual return for most of the other bonds (in ter</w:t>
      </w:r>
      <w:r>
        <w:t>ms of absolute value). Only three bonds have a positive twist return – a result of the twist function being positive before the point (</w:t>
      </w:r>
      <w:r>
        <w:rPr>
          <w:i/>
          <w:iCs/>
        </w:rPr>
        <w:t>T</w:t>
      </w:r>
      <w:r>
        <w:rPr>
          <w:vertAlign w:val="subscript"/>
        </w:rPr>
        <w:t>10</w:t>
      </w:r>
      <w:r>
        <w:t xml:space="preserve"> – </w:t>
      </w:r>
      <w:r>
        <w:rPr>
          <w:i/>
          <w:iCs/>
        </w:rPr>
        <w:t>T</w:t>
      </w:r>
      <w:r>
        <w:rPr>
          <w:vertAlign w:val="subscript"/>
        </w:rPr>
        <w:t>1</w:t>
      </w:r>
      <w:r>
        <w:t>)/2, which now is further away on the time axis. The differences between the two analysises means that it is impo</w:t>
      </w:r>
      <w:r>
        <w:t>rtant to consider which bonds one are interested in when doing the analysis.</w:t>
      </w:r>
    </w:p>
    <w:p w:rsidR="00000000" w:rsidRDefault="00F90957">
      <w:r>
        <w:t xml:space="preserve">  </w:t>
      </w:r>
    </w:p>
    <w:tbl>
      <w:tblPr>
        <w:tblW w:w="8475" w:type="dxa"/>
        <w:shd w:val="clear" w:color="auto" w:fill="F3F3F3"/>
        <w:tblCellMar>
          <w:left w:w="0" w:type="dxa"/>
          <w:right w:w="0" w:type="dxa"/>
        </w:tblCellMar>
        <w:tblLook w:val="0000" w:firstRow="0" w:lastRow="0" w:firstColumn="0" w:lastColumn="0" w:noHBand="0" w:noVBand="0"/>
      </w:tblPr>
      <w:tblGrid>
        <w:gridCol w:w="1061"/>
        <w:gridCol w:w="891"/>
        <w:gridCol w:w="880"/>
        <w:gridCol w:w="838"/>
        <w:gridCol w:w="838"/>
        <w:gridCol w:w="838"/>
        <w:gridCol w:w="838"/>
        <w:gridCol w:w="838"/>
        <w:gridCol w:w="838"/>
        <w:gridCol w:w="775"/>
      </w:tblGrid>
      <w:tr w:rsidR="00000000">
        <w:trPr>
          <w:trHeight w:val="242"/>
        </w:trPr>
        <w:tc>
          <w:tcPr>
            <w:tcW w:w="1045"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BondName</w:t>
            </w:r>
          </w:p>
        </w:tc>
        <w:tc>
          <w:tcPr>
            <w:tcW w:w="875"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Accretion</w:t>
            </w:r>
          </w:p>
        </w:tc>
        <w:tc>
          <w:tcPr>
            <w:tcW w:w="864"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Rolldown</w:t>
            </w:r>
          </w:p>
        </w:tc>
        <w:tc>
          <w:tcPr>
            <w:tcW w:w="822"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Shift</w:t>
            </w:r>
          </w:p>
        </w:tc>
        <w:tc>
          <w:tcPr>
            <w:tcW w:w="822"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Twist</w:t>
            </w:r>
          </w:p>
        </w:tc>
        <w:tc>
          <w:tcPr>
            <w:tcW w:w="822"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Butterfly</w:t>
            </w:r>
          </w:p>
        </w:tc>
        <w:tc>
          <w:tcPr>
            <w:tcW w:w="822"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Shape</w:t>
            </w:r>
          </w:p>
        </w:tc>
        <w:tc>
          <w:tcPr>
            <w:tcW w:w="822"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Total Price Return</w:t>
            </w:r>
          </w:p>
        </w:tc>
        <w:tc>
          <w:tcPr>
            <w:tcW w:w="822"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Coupon</w:t>
            </w:r>
          </w:p>
        </w:tc>
        <w:tc>
          <w:tcPr>
            <w:tcW w:w="759"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Total Return</w:t>
            </w:r>
          </w:p>
        </w:tc>
      </w:tr>
      <w:tr w:rsidR="00000000">
        <w:trPr>
          <w:trHeight w:val="242"/>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SGB1036</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-0,37%</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0,45%</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-0,24%</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-0,11%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-0,26%</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0,71%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0,45%</w:t>
            </w:r>
          </w:p>
        </w:tc>
      </w:tr>
      <w:tr w:rsidR="00000000">
        <w:trPr>
          <w:trHeight w:val="242"/>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SGB1030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-0,47</w:t>
            </w:r>
            <w:r>
              <w:rPr>
                <w:rFonts w:ascii="Arial" w:hAnsi="Arial" w:cs="Arial"/>
                <w:sz w:val="20"/>
                <w:szCs w:val="20"/>
                <w:lang w:val="sv-SE"/>
              </w:rPr>
              <w:t>%</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0,73%</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-0,29%</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-0,10%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-0,02%</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-0,15%</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0,81%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0,66%</w:t>
            </w:r>
          </w:p>
        </w:tc>
      </w:tr>
      <w:tr w:rsidR="00000000">
        <w:trPr>
          <w:trHeight w:val="242"/>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SGB1039</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-0,06%</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0,99%</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-0,30%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-0,04%</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-0,02%</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0,58%</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0,41%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0,98%</w:t>
            </w:r>
          </w:p>
        </w:tc>
      </w:tr>
      <w:tr w:rsidR="00000000">
        <w:trPr>
          <w:trHeight w:val="242"/>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SGB1033</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-0,28%</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0,02%</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1,17%</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-0,24%</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0,07%</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-0,05%</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0,70%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0,63%</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1,33%</w:t>
            </w:r>
          </w:p>
        </w:tc>
      </w:tr>
      <w:tr w:rsidR="00000000">
        <w:trPr>
          <w:trHeight w:val="242"/>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SGB1042</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1,42%</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-0,16%</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0,20%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-0,07%</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1,39%</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0,37%</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1,76%</w:t>
            </w:r>
          </w:p>
        </w:tc>
      </w:tr>
      <w:tr w:rsidR="00000000">
        <w:trPr>
          <w:trHeight w:val="242"/>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w:t>
            </w:r>
            <w:r>
              <w:rPr>
                <w:rFonts w:ascii="Arial" w:hAnsi="Arial" w:cs="Arial"/>
                <w:sz w:val="20"/>
                <w:szCs w:val="20"/>
                <w:lang w:val="sv-SE"/>
              </w:rPr>
              <w:t>B1035</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-0,06%</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1,63%</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0,28%</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-0,10%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1,76%</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0,42%</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2,19%</w:t>
            </w:r>
          </w:p>
        </w:tc>
      </w:tr>
      <w:tr w:rsidR="00000000">
        <w:trPr>
          <w:trHeight w:val="242"/>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SGB1038</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-0,06%</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1,93%</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0,32%</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0,06%</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2,24%</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0,43%</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2,68%</w:t>
            </w:r>
          </w:p>
        </w:tc>
      </w:tr>
      <w:tr w:rsidR="00000000">
        <w:trPr>
          <w:trHeight w:val="242"/>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SGB1037</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-0,14%</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2,11%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0,49%</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-0,08%</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0,04%</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2,42%</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0,51%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2,93%</w:t>
            </w:r>
          </w:p>
        </w:tc>
      </w:tr>
      <w:tr w:rsidR="00000000">
        <w:trPr>
          <w:trHeight w:val="242"/>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SGB1040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-0,07%</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0,03%</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2,28%</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0,73%</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-0,24%</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-0,13%</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2,59%</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0,44%</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3,0</w:t>
            </w:r>
            <w:r>
              <w:rPr>
                <w:rFonts w:ascii="Arial" w:hAnsi="Arial" w:cs="Arial"/>
                <w:sz w:val="20"/>
                <w:szCs w:val="20"/>
                <w:lang w:val="sv-SE"/>
              </w:rPr>
              <w:t>3%</w:t>
            </w:r>
          </w:p>
        </w:tc>
      </w:tr>
      <w:tr w:rsidR="00000000">
        <w:trPr>
          <w:trHeight w:val="242"/>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SGB1043</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2,48%</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1,02%</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-0,45%</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-0,23%</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2,82%</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0,38%</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3,19%</w:t>
            </w:r>
          </w:p>
        </w:tc>
      </w:tr>
      <w:tr w:rsidR="00000000">
        <w:trPr>
          <w:trHeight w:val="242"/>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SGB1034</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-0,14%</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-0,02%</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2,30%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0,88%</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-0,40%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-0,10%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2,51%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0,51%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3,03%</w:t>
            </w:r>
          </w:p>
        </w:tc>
      </w:tr>
      <w:tr w:rsidR="00000000">
        <w:trPr>
          <w:trHeight w:val="242"/>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SGB1041</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-0,05%</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0,07%</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3,18%</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2,78%</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-1,96%</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-0,86%</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3,16%</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0,44%</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3,60%</w:t>
            </w:r>
          </w:p>
        </w:tc>
      </w:tr>
      <w:tr w:rsidR="00000000">
        <w:trPr>
          <w:trHeight w:val="242"/>
        </w:trPr>
        <w:tc>
          <w:tcPr>
            <w:tcW w:w="0" w:type="auto"/>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 </w:t>
            </w:r>
          </w:p>
        </w:tc>
        <w:tc>
          <w:tcPr>
            <w:tcW w:w="0" w:type="auto"/>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 </w:t>
            </w:r>
          </w:p>
        </w:tc>
        <w:tc>
          <w:tcPr>
            <w:tcW w:w="0" w:type="auto"/>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 </w:t>
            </w:r>
          </w:p>
        </w:tc>
        <w:tc>
          <w:tcPr>
            <w:tcW w:w="0" w:type="auto"/>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 </w:t>
            </w:r>
          </w:p>
        </w:tc>
        <w:tc>
          <w:tcPr>
            <w:tcW w:w="0" w:type="auto"/>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 </w:t>
            </w:r>
          </w:p>
        </w:tc>
        <w:tc>
          <w:tcPr>
            <w:tcW w:w="0" w:type="auto"/>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 </w:t>
            </w:r>
          </w:p>
        </w:tc>
        <w:tc>
          <w:tcPr>
            <w:tcW w:w="0" w:type="auto"/>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 </w:t>
            </w:r>
          </w:p>
        </w:tc>
        <w:tc>
          <w:tcPr>
            <w:tcW w:w="0" w:type="auto"/>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 </w:t>
            </w:r>
          </w:p>
        </w:tc>
        <w:tc>
          <w:tcPr>
            <w:tcW w:w="0" w:type="auto"/>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 </w:t>
            </w:r>
          </w:p>
        </w:tc>
        <w:tc>
          <w:tcPr>
            <w:tcW w:w="0" w:type="auto"/>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 </w:t>
            </w:r>
          </w:p>
        </w:tc>
      </w:tr>
      <w:tr w:rsidR="00000000">
        <w:trPr>
          <w:trHeight w:val="80"/>
        </w:trPr>
        <w:tc>
          <w:tcPr>
            <w:tcW w:w="0" w:type="auto"/>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HMSA</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-0,20%</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0,01%</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1,45%</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0,16%</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-0,</w:t>
            </w:r>
            <w:r>
              <w:rPr>
                <w:rFonts w:ascii="Arial" w:hAnsi="Arial" w:cs="Arial"/>
                <w:sz w:val="20"/>
                <w:szCs w:val="20"/>
              </w:rPr>
              <w:t>11%</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-0,08%</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1,23%</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0,56%</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1,79%</w:t>
            </w:r>
          </w:p>
        </w:tc>
      </w:tr>
    </w:tbl>
    <w:p w:rsidR="00000000" w:rsidRDefault="00F90957">
      <w:r>
        <w:t xml:space="preserve">Table 6.9 A return attribution analysis for the Swedish government bonds for the period  </w:t>
      </w:r>
    </w:p>
    <w:p w:rsidR="00000000" w:rsidRDefault="00F90957">
      <w:r>
        <w:t xml:space="preserve">                 September 5, 1998, to October 5, 1998.</w:t>
      </w:r>
    </w:p>
    <w:p w:rsidR="00000000" w:rsidRDefault="00F90957"/>
    <w:tbl>
      <w:tblPr>
        <w:tblW w:w="8485" w:type="dxa"/>
        <w:shd w:val="clear" w:color="auto" w:fill="F3F3F3"/>
        <w:tblCellMar>
          <w:left w:w="0" w:type="dxa"/>
          <w:right w:w="0" w:type="dxa"/>
        </w:tblCellMar>
        <w:tblLook w:val="0000" w:firstRow="0" w:lastRow="0" w:firstColumn="0" w:lastColumn="0" w:noHBand="0" w:noVBand="0"/>
      </w:tblPr>
      <w:tblGrid>
        <w:gridCol w:w="1001"/>
        <w:gridCol w:w="930"/>
        <w:gridCol w:w="861"/>
        <w:gridCol w:w="861"/>
        <w:gridCol w:w="861"/>
        <w:gridCol w:w="861"/>
        <w:gridCol w:w="861"/>
        <w:gridCol w:w="861"/>
        <w:gridCol w:w="861"/>
        <w:gridCol w:w="792"/>
      </w:tblGrid>
      <w:tr w:rsidR="00000000">
        <w:trPr>
          <w:trHeight w:val="258"/>
        </w:trPr>
        <w:tc>
          <w:tcPr>
            <w:tcW w:w="880"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BondName</w:t>
            </w:r>
          </w:p>
        </w:tc>
        <w:tc>
          <w:tcPr>
            <w:tcW w:w="914"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Accretion</w:t>
            </w:r>
          </w:p>
        </w:tc>
        <w:tc>
          <w:tcPr>
            <w:tcW w:w="845"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Rolldown</w:t>
            </w:r>
          </w:p>
        </w:tc>
        <w:tc>
          <w:tcPr>
            <w:tcW w:w="845"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Shift</w:t>
            </w:r>
          </w:p>
        </w:tc>
        <w:tc>
          <w:tcPr>
            <w:tcW w:w="845"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Twist</w:t>
            </w:r>
          </w:p>
        </w:tc>
        <w:tc>
          <w:tcPr>
            <w:tcW w:w="845"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Butterfly</w:t>
            </w:r>
          </w:p>
        </w:tc>
        <w:tc>
          <w:tcPr>
            <w:tcW w:w="845"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Shape</w:t>
            </w:r>
          </w:p>
        </w:tc>
        <w:tc>
          <w:tcPr>
            <w:tcW w:w="845"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Total Price Return</w:t>
            </w:r>
          </w:p>
        </w:tc>
        <w:tc>
          <w:tcPr>
            <w:tcW w:w="845"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Coup</w:t>
            </w:r>
            <w:r>
              <w:rPr>
                <w:rFonts w:ascii="Arial" w:hAnsi="Arial" w:cs="Arial"/>
                <w:sz w:val="20"/>
                <w:szCs w:val="20"/>
              </w:rPr>
              <w:t>on</w:t>
            </w:r>
          </w:p>
        </w:tc>
        <w:tc>
          <w:tcPr>
            <w:tcW w:w="776"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Total Return</w:t>
            </w:r>
          </w:p>
        </w:tc>
      </w:tr>
      <w:tr w:rsidR="00000000">
        <w:trPr>
          <w:trHeight w:val="258"/>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SGB1036</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-0,37%</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0,49%</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-0,16%</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-0,17%</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-0,07%</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-0,26%</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0,71%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0,45%</w:t>
            </w:r>
          </w:p>
        </w:tc>
      </w:tr>
      <w:tr w:rsidR="00000000">
        <w:trPr>
          <w:trHeight w:val="258"/>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SGB1030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-0,47%</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0,80%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-0,22%</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-0,19%</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-0,07%</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-0,15%</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0,81%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0,66%</w:t>
            </w:r>
          </w:p>
        </w:tc>
      </w:tr>
      <w:tr w:rsidR="00000000">
        <w:trPr>
          <w:trHeight w:val="258"/>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SGB1039</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-0,06%</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1,07%</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-0,25%</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-0,17%</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-0,02%</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0,58%</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0,41%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0,98%</w:t>
            </w:r>
          </w:p>
        </w:tc>
      </w:tr>
      <w:tr w:rsidR="00000000">
        <w:trPr>
          <w:trHeight w:val="258"/>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SGB1033</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-0,28%</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0,02%</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1,28%</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-0,25%</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w:t>
            </w:r>
            <w:r>
              <w:rPr>
                <w:rFonts w:ascii="Arial" w:hAnsi="Arial" w:cs="Arial"/>
                <w:sz w:val="20"/>
                <w:szCs w:val="20"/>
                <w:lang w:val="sv-SE"/>
              </w:rPr>
              <w:t>,09%</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0,02%</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0,70%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0,63%</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1,33%</w:t>
            </w:r>
          </w:p>
        </w:tc>
      </w:tr>
      <w:tr w:rsidR="00000000">
        <w:trPr>
          <w:trHeight w:val="258"/>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SGB1042</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1,54%</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-0,25%</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0,10%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1,39%</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0,37%</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1,76%</w:t>
            </w:r>
          </w:p>
        </w:tc>
      </w:tr>
      <w:tr w:rsidR="00000000">
        <w:trPr>
          <w:trHeight w:val="258"/>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SGB1035</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-0,06%</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1,77%</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-0,22%</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0,16%</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0,09%</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1,76%</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0,42%</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2,19%</w:t>
            </w:r>
          </w:p>
        </w:tc>
      </w:tr>
      <w:tr w:rsidR="00000000">
        <w:trPr>
          <w:trHeight w:val="258"/>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SGB1038</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-0,06%</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2,09%</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-0,13%</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0,50%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-0,16%</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2,24%</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0,43%</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2,68%</w:t>
            </w:r>
          </w:p>
        </w:tc>
      </w:tr>
      <w:tr w:rsidR="00000000">
        <w:trPr>
          <w:trHeight w:val="258"/>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SGB1037</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-0,14%</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2,29%</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w:t>
            </w:r>
            <w:r>
              <w:rPr>
                <w:rFonts w:ascii="Arial" w:hAnsi="Arial" w:cs="Arial"/>
                <w:sz w:val="20"/>
                <w:szCs w:val="20"/>
                <w:lang w:val="sv-SE"/>
              </w:rPr>
              <w:t>08%</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0,63%</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-0,28%</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2,42%</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0,51%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2,93%</w:t>
            </w:r>
          </w:p>
        </w:tc>
      </w:tr>
      <w:tr w:rsidR="00000000">
        <w:trPr>
          <w:trHeight w:val="258"/>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SGB1040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-0,07%</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0,03%</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2,48%</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0,60%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-0,44%</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2,59%</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0,44%</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3,03%</w:t>
            </w:r>
          </w:p>
        </w:tc>
      </w:tr>
      <w:tr w:rsidR="00000000">
        <w:trPr>
          <w:trHeight w:val="258"/>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SGB1043</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2,70%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0,08%</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0,53%</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-0,49%</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2,82%</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0,38%</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3,19%</w:t>
            </w:r>
          </w:p>
        </w:tc>
      </w:tr>
      <w:tr w:rsidR="00000000">
        <w:trPr>
          <w:trHeight w:val="258"/>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SGB1034</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-0,14%</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-0,02%</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2,50%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0,05%</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0,43%</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-0,30%</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2,51%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0,51%</w:t>
            </w:r>
          </w:p>
        </w:tc>
        <w:tc>
          <w:tcPr>
            <w:tcW w:w="0" w:type="auto"/>
            <w:shd w:val="clear" w:color="auto" w:fill="F3F3F3"/>
            <w:noWrap/>
            <w:vAlign w:val="bottom"/>
          </w:tcPr>
          <w:p w:rsidR="00000000" w:rsidRDefault="00F90957">
            <w:pPr>
              <w:jc w:val="right"/>
              <w:rPr>
                <w:rFonts w:ascii="Arial" w:eastAsia="Arial Unicode MS" w:hAnsi="Arial" w:cs="Arial"/>
                <w:sz w:val="20"/>
                <w:szCs w:val="20"/>
                <w:lang w:val="sv-SE"/>
              </w:rPr>
            </w:pPr>
            <w:r>
              <w:rPr>
                <w:rFonts w:ascii="Arial" w:hAnsi="Arial" w:cs="Arial"/>
                <w:sz w:val="20"/>
                <w:szCs w:val="20"/>
                <w:lang w:val="sv-SE"/>
              </w:rPr>
              <w:t>3,03%</w:t>
            </w:r>
          </w:p>
        </w:tc>
      </w:tr>
      <w:tr w:rsidR="00000000">
        <w:trPr>
          <w:trHeight w:val="258"/>
        </w:trPr>
        <w:tc>
          <w:tcPr>
            <w:tcW w:w="0" w:type="auto"/>
            <w:shd w:val="clear" w:color="auto" w:fill="F3F3F3"/>
            <w:noWrap/>
            <w:vAlign w:val="bottom"/>
          </w:tcPr>
          <w:p w:rsidR="00000000" w:rsidRDefault="00F90957">
            <w:pPr>
              <w:rPr>
                <w:rFonts w:ascii="Arial" w:eastAsia="Arial Unicode MS" w:hAnsi="Arial" w:cs="Arial"/>
                <w:sz w:val="20"/>
                <w:szCs w:val="20"/>
                <w:lang w:val="sv-SE"/>
              </w:rPr>
            </w:pPr>
            <w:r>
              <w:rPr>
                <w:rFonts w:ascii="Arial" w:hAnsi="Arial" w:cs="Arial"/>
                <w:sz w:val="20"/>
                <w:szCs w:val="20"/>
                <w:lang w:val="sv-SE"/>
              </w:rPr>
              <w:t>SGB1041</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-0,05%</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0,07%</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3,4</w:t>
            </w:r>
            <w:r>
              <w:rPr>
                <w:rFonts w:ascii="Arial" w:hAnsi="Arial" w:cs="Arial"/>
                <w:sz w:val="20"/>
                <w:szCs w:val="20"/>
              </w:rPr>
              <w:t>6%</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0,68%</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-0,56%</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-0,44%</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3,16%</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0,44%</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3,60%</w:t>
            </w:r>
          </w:p>
        </w:tc>
      </w:tr>
      <w:tr w:rsidR="00000000">
        <w:trPr>
          <w:trHeight w:val="258"/>
        </w:trPr>
        <w:tc>
          <w:tcPr>
            <w:tcW w:w="0" w:type="auto"/>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 </w:t>
            </w:r>
          </w:p>
        </w:tc>
        <w:tc>
          <w:tcPr>
            <w:tcW w:w="0" w:type="auto"/>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 </w:t>
            </w:r>
          </w:p>
        </w:tc>
        <w:tc>
          <w:tcPr>
            <w:tcW w:w="0" w:type="auto"/>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 </w:t>
            </w:r>
          </w:p>
        </w:tc>
        <w:tc>
          <w:tcPr>
            <w:tcW w:w="0" w:type="auto"/>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 </w:t>
            </w:r>
          </w:p>
        </w:tc>
        <w:tc>
          <w:tcPr>
            <w:tcW w:w="0" w:type="auto"/>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 </w:t>
            </w:r>
          </w:p>
        </w:tc>
        <w:tc>
          <w:tcPr>
            <w:tcW w:w="0" w:type="auto"/>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 </w:t>
            </w:r>
          </w:p>
        </w:tc>
        <w:tc>
          <w:tcPr>
            <w:tcW w:w="0" w:type="auto"/>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 </w:t>
            </w:r>
          </w:p>
        </w:tc>
        <w:tc>
          <w:tcPr>
            <w:tcW w:w="0" w:type="auto"/>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 </w:t>
            </w:r>
          </w:p>
        </w:tc>
        <w:tc>
          <w:tcPr>
            <w:tcW w:w="0" w:type="auto"/>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 </w:t>
            </w:r>
          </w:p>
        </w:tc>
        <w:tc>
          <w:tcPr>
            <w:tcW w:w="0" w:type="auto"/>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 </w:t>
            </w:r>
          </w:p>
        </w:tc>
      </w:tr>
      <w:tr w:rsidR="00000000">
        <w:trPr>
          <w:trHeight w:val="80"/>
        </w:trPr>
        <w:tc>
          <w:tcPr>
            <w:tcW w:w="0" w:type="auto"/>
            <w:shd w:val="clear" w:color="auto" w:fill="F3F3F3"/>
            <w:noWrap/>
            <w:vAlign w:val="bottom"/>
          </w:tcPr>
          <w:p w:rsidR="00000000" w:rsidRDefault="00F90957">
            <w:pPr>
              <w:rPr>
                <w:rFonts w:ascii="Arial" w:eastAsia="Arial Unicode MS" w:hAnsi="Arial" w:cs="Arial"/>
                <w:sz w:val="20"/>
                <w:szCs w:val="20"/>
              </w:rPr>
            </w:pPr>
            <w:r>
              <w:rPr>
                <w:rFonts w:ascii="Arial" w:hAnsi="Arial" w:cs="Arial"/>
                <w:sz w:val="20"/>
                <w:szCs w:val="20"/>
              </w:rPr>
              <w:t>HMSA</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-0,20%</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0,01%</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1,58%</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-0,13%</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0,08%</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-0,10%</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1,23%</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0,56%</w:t>
            </w:r>
          </w:p>
        </w:tc>
        <w:tc>
          <w:tcPr>
            <w:tcW w:w="0" w:type="auto"/>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sz w:val="20"/>
                <w:szCs w:val="20"/>
              </w:rPr>
              <w:t>1,79%</w:t>
            </w:r>
          </w:p>
        </w:tc>
      </w:tr>
    </w:tbl>
    <w:p w:rsidR="00000000" w:rsidRDefault="00F90957">
      <w:r>
        <w:t xml:space="preserve">Table 6.10: The same analysis as in figure 6.9 but now with </w:t>
      </w:r>
      <w:r>
        <w:rPr>
          <w:i/>
          <w:iCs/>
        </w:rPr>
        <w:t>T</w:t>
      </w:r>
      <w:r>
        <w:rPr>
          <w:vertAlign w:val="subscript"/>
        </w:rPr>
        <w:t>10</w:t>
      </w:r>
      <w:r>
        <w:t xml:space="preserve"> equal to the maturity of                 </w:t>
      </w:r>
    </w:p>
    <w:p w:rsidR="00000000" w:rsidRDefault="00F90957">
      <w:r>
        <w:t xml:space="preserve">                     SGB</w:t>
      </w:r>
      <w:r>
        <w:t xml:space="preserve">1041. </w:t>
      </w:r>
    </w:p>
    <w:p w:rsidR="00000000" w:rsidRDefault="00F90957">
      <w:pPr>
        <w:pStyle w:val="Heading3"/>
      </w:pPr>
      <w:bookmarkStart w:id="38" w:name="_Toc38162694"/>
      <w:r>
        <w:t>6.4.2 Measure of ‘goodness-of-fit’ and correlation</w:t>
      </w:r>
      <w:bookmarkEnd w:id="38"/>
    </w:p>
    <w:p w:rsidR="00000000" w:rsidRDefault="00F90957">
      <w:r>
        <w:t xml:space="preserve">In the implemented model, the vector </w:t>
      </w:r>
      <w:r>
        <w:sym w:font="Symbol" w:char="F044"/>
      </w:r>
      <w:r>
        <w:rPr>
          <w:b/>
        </w:rPr>
        <w:t xml:space="preserve">Y </w:t>
      </w:r>
      <w:r>
        <w:t xml:space="preserve">consisting of the zero curve movements at the </w:t>
      </w:r>
      <w:r>
        <w:rPr>
          <w:i/>
        </w:rPr>
        <w:t>n</w:t>
      </w:r>
      <w:r>
        <w:t xml:space="preserve"> points {</w:t>
      </w:r>
      <w:r>
        <w:rPr>
          <w:i/>
        </w:rPr>
        <w:t>T</w:t>
      </w:r>
      <w:r>
        <w:rPr>
          <w:i/>
          <w:vertAlign w:val="subscript"/>
        </w:rPr>
        <w:t>i</w:t>
      </w:r>
      <w:r>
        <w:t xml:space="preserve">, </w:t>
      </w:r>
      <w:r>
        <w:rPr>
          <w:i/>
        </w:rPr>
        <w:t>i</w:t>
      </w:r>
      <w:r>
        <w:t xml:space="preserve"> = 1, 2, …, </w:t>
      </w:r>
      <w:r>
        <w:rPr>
          <w:i/>
        </w:rPr>
        <w:t>n</w:t>
      </w:r>
      <w:r>
        <w:t>} is decomposed into the shift, twist and butterfly vectors illustrated in figure 6.</w:t>
      </w:r>
      <w:r>
        <w:t xml:space="preserve">5: </w:t>
      </w:r>
    </w:p>
    <w:p w:rsidR="00000000" w:rsidRDefault="00F90957"/>
    <w:p w:rsidR="00000000" w:rsidRDefault="00F90957">
      <w:pPr>
        <w:ind w:left="8222" w:hanging="8222"/>
      </w:pPr>
      <w:r>
        <w:rPr>
          <w:position w:val="-12"/>
        </w:rPr>
        <w:object w:dxaOrig="1140" w:dyaOrig="360">
          <v:shape id="_x0000_i1198" type="#_x0000_t75" style="width:57pt;height:18pt" o:ole="">
            <v:imagedata r:id="rId343" o:title=""/>
          </v:shape>
          <o:OLEObject Type="Embed" ProgID="Equation.3" ShapeID="_x0000_i1198" DrawAspect="Content" ObjectID="_1597674038" r:id="rId344"/>
        </w:object>
      </w:r>
      <w:r>
        <w:rPr>
          <w:b/>
          <w:bCs/>
        </w:rPr>
        <w:sym w:font="Symbol" w:char="F074"/>
      </w:r>
      <w:r>
        <w:rPr>
          <w:i/>
          <w:iCs/>
        </w:rPr>
        <w:t>y</w:t>
      </w:r>
      <w:r>
        <w:rPr>
          <w:i/>
          <w:iCs/>
          <w:vertAlign w:val="subscript"/>
        </w:rPr>
        <w:sym w:font="Symbol" w:char="F074"/>
      </w:r>
      <w:r>
        <w:rPr>
          <w:vertAlign w:val="subscript"/>
        </w:rPr>
        <w:t xml:space="preserve"> </w:t>
      </w:r>
      <w:r>
        <w:rPr>
          <w:position w:val="-12"/>
        </w:rPr>
        <w:object w:dxaOrig="800" w:dyaOrig="360">
          <v:shape id="_x0000_i1199" type="#_x0000_t75" style="width:39.75pt;height:18pt" o:ole="">
            <v:imagedata r:id="rId295" o:title=""/>
          </v:shape>
          <o:OLEObject Type="Embed" ProgID="Equation.3" ShapeID="_x0000_i1199" DrawAspect="Content" ObjectID="_1597674039" r:id="rId345"/>
        </w:object>
      </w:r>
      <w:r>
        <w:t xml:space="preserve"> </w:t>
      </w:r>
      <w:r>
        <w:rPr>
          <w:b/>
          <w:bCs/>
        </w:rPr>
        <w:sym w:font="Symbol" w:char="F065"/>
      </w:r>
      <w:r>
        <w:t>.</w:t>
      </w:r>
      <w:r>
        <w:tab/>
        <w:t>(6.27)</w:t>
      </w:r>
    </w:p>
    <w:p w:rsidR="00000000" w:rsidRDefault="00F90957"/>
    <w:p w:rsidR="00000000" w:rsidRDefault="00F90957">
      <w:r>
        <w:t xml:space="preserve"> If principal component analysis is used, the orthonormal vectors {</w:t>
      </w:r>
      <w:r>
        <w:rPr>
          <w:b/>
        </w:rPr>
        <w:t>a</w:t>
      </w:r>
      <w:r>
        <w:rPr>
          <w:i/>
          <w:vertAlign w:val="subscript"/>
        </w:rPr>
        <w:t>i</w:t>
      </w:r>
      <w:r>
        <w:t xml:space="preserve">, </w:t>
      </w:r>
      <w:r>
        <w:rPr>
          <w:i/>
        </w:rPr>
        <w:t>i</w:t>
      </w:r>
      <w:r>
        <w:t xml:space="preserve"> = 1, 2, …, </w:t>
      </w:r>
      <w:r>
        <w:rPr>
          <w:i/>
        </w:rPr>
        <w:t>n</w:t>
      </w:r>
      <w:r>
        <w:t>} in</w:t>
      </w:r>
    </w:p>
    <w:p w:rsidR="00000000" w:rsidRDefault="00F90957"/>
    <w:p w:rsidR="00000000" w:rsidRDefault="00F90957">
      <w:pPr>
        <w:ind w:left="8222" w:hanging="8222"/>
      </w:pPr>
      <w:r>
        <w:rPr>
          <w:position w:val="-28"/>
        </w:rPr>
        <w:object w:dxaOrig="1359" w:dyaOrig="680">
          <v:shape id="_x0000_i1200" type="#_x0000_t75" style="width:68.25pt;height:33.75pt" o:ole="">
            <v:imagedata r:id="rId346" o:title=""/>
          </v:shape>
          <o:OLEObject Type="Embed" ProgID="Equation.3" ShapeID="_x0000_i1200" DrawAspect="Content" ObjectID="_1597674040" r:id="rId347"/>
        </w:object>
      </w:r>
      <w:r>
        <w:tab/>
        <w:t>(6.42)</w:t>
      </w:r>
    </w:p>
    <w:p w:rsidR="00000000" w:rsidRDefault="00F90957"/>
    <w:p w:rsidR="00000000" w:rsidRDefault="00F90957">
      <w:r>
        <w:t>are chosen so that the variables {</w:t>
      </w:r>
      <w:r>
        <w:rPr>
          <w:i/>
        </w:rPr>
        <w:t>y</w:t>
      </w:r>
      <w:r>
        <w:rPr>
          <w:i/>
          <w:vertAlign w:val="subscript"/>
        </w:rPr>
        <w:t>i</w:t>
      </w:r>
      <w:r>
        <w:t xml:space="preserve">, </w:t>
      </w:r>
      <w:r>
        <w:rPr>
          <w:i/>
        </w:rPr>
        <w:t>i</w:t>
      </w:r>
      <w:r>
        <w:t xml:space="preserve"> = 1, 2, …, </w:t>
      </w:r>
      <w:r>
        <w:rPr>
          <w:i/>
        </w:rPr>
        <w:t>n</w:t>
      </w:r>
      <w:r>
        <w:t>} are uncorrel</w:t>
      </w:r>
      <w:r>
        <w:t>ated. Formula (6.19),</w:t>
      </w:r>
    </w:p>
    <w:p w:rsidR="00000000" w:rsidRDefault="00F90957"/>
    <w:p w:rsidR="00000000" w:rsidRDefault="00F90957">
      <w:pPr>
        <w:ind w:left="8222" w:hanging="8222"/>
      </w:pPr>
      <w:r>
        <w:rPr>
          <w:position w:val="-28"/>
        </w:rPr>
        <w:object w:dxaOrig="2360" w:dyaOrig="680">
          <v:shape id="_x0000_i1201" type="#_x0000_t75" style="width:117.75pt;height:33.75pt" o:ole="">
            <v:imagedata r:id="rId348" o:title=""/>
          </v:shape>
          <o:OLEObject Type="Embed" ProgID="Equation.2" ShapeID="_x0000_i1201" DrawAspect="Content" ObjectID="_1597674041" r:id="rId349"/>
        </w:object>
      </w:r>
      <w:r>
        <w:tab/>
        <w:t>(6.19)</w:t>
      </w:r>
    </w:p>
    <w:p w:rsidR="00000000" w:rsidRDefault="00F90957"/>
    <w:p w:rsidR="00000000" w:rsidRDefault="00F90957">
      <w:r>
        <w:t xml:space="preserve">can be used to get an idea of how well the vector </w:t>
      </w:r>
      <w:r>
        <w:sym w:font="Symbol" w:char="F044"/>
      </w:r>
      <w:r>
        <w:rPr>
          <w:b/>
        </w:rPr>
        <w:t>Y</w:t>
      </w:r>
      <w:r>
        <w:t xml:space="preserve"> is approximated by a subset of the orthonormal vectors. Let the variables be ordered so that Var(</w:t>
      </w:r>
      <w:r>
        <w:rPr>
          <w:i/>
        </w:rPr>
        <w:t>y</w:t>
      </w:r>
      <w:r>
        <w:rPr>
          <w:i/>
          <w:vertAlign w:val="subscript"/>
        </w:rPr>
        <w:t>i</w:t>
      </w:r>
      <w:r>
        <w:t xml:space="preserve">) </w:t>
      </w:r>
      <w:r>
        <w:sym w:font="Symbol" w:char="F0B3"/>
      </w:r>
      <w:r>
        <w:rPr>
          <w:b/>
        </w:rPr>
        <w:t xml:space="preserve"> </w:t>
      </w:r>
      <w:r>
        <w:t>Var(</w:t>
      </w:r>
      <w:r>
        <w:rPr>
          <w:i/>
        </w:rPr>
        <w:t>y</w:t>
      </w:r>
      <w:r>
        <w:rPr>
          <w:i/>
          <w:vertAlign w:val="subscript"/>
        </w:rPr>
        <w:t>j</w:t>
      </w:r>
      <w:r>
        <w:t xml:space="preserve">) for </w:t>
      </w:r>
      <w:r>
        <w:rPr>
          <w:i/>
        </w:rPr>
        <w:t>i</w:t>
      </w:r>
      <w:r>
        <w:t xml:space="preserve"> </w:t>
      </w:r>
      <w:r>
        <w:sym w:font="Symbol" w:char="F0B3"/>
      </w:r>
      <w:r>
        <w:t xml:space="preserve"> j and denote by </w:t>
      </w:r>
      <w:r>
        <w:rPr>
          <w:i/>
          <w:iCs/>
        </w:rPr>
        <w:t>t</w:t>
      </w:r>
      <w:r>
        <w:rPr>
          <w:i/>
          <w:iCs/>
          <w:vertAlign w:val="subscript"/>
        </w:rPr>
        <w:t>k</w:t>
      </w:r>
      <w:r>
        <w:t xml:space="preserve"> the part o</w:t>
      </w:r>
      <w:r>
        <w:t xml:space="preserve">f the total variance that comes from the first </w:t>
      </w:r>
      <w:r>
        <w:rPr>
          <w:i/>
        </w:rPr>
        <w:t>k</w:t>
      </w:r>
      <w:r>
        <w:t xml:space="preserve"> variables:</w:t>
      </w:r>
    </w:p>
    <w:p w:rsidR="00000000" w:rsidRDefault="00F90957"/>
    <w:p w:rsidR="00000000" w:rsidRDefault="00F90957">
      <w:pPr>
        <w:ind w:left="8222" w:hanging="8222"/>
      </w:pPr>
      <w:r>
        <w:rPr>
          <w:position w:val="-60"/>
        </w:rPr>
        <w:object w:dxaOrig="1579" w:dyaOrig="1320">
          <v:shape id="_x0000_i1202" type="#_x0000_t75" style="width:78.75pt;height:66pt" o:ole="">
            <v:imagedata r:id="rId350" o:title=""/>
          </v:shape>
          <o:OLEObject Type="Embed" ProgID="Equation.3" ShapeID="_x0000_i1202" DrawAspect="Content" ObjectID="_1597674042" r:id="rId351"/>
        </w:object>
      </w:r>
      <w:r>
        <w:tab/>
        <w:t>(6.43)</w:t>
      </w:r>
    </w:p>
    <w:p w:rsidR="00000000" w:rsidRDefault="00F90957"/>
    <w:p w:rsidR="00000000" w:rsidRDefault="00F90957">
      <w:r>
        <w:t xml:space="preserve">The higher the value of </w:t>
      </w:r>
      <w:r>
        <w:rPr>
          <w:i/>
          <w:iCs/>
        </w:rPr>
        <w:t>t</w:t>
      </w:r>
      <w:r>
        <w:rPr>
          <w:vertAlign w:val="subscript"/>
        </w:rPr>
        <w:t>k</w:t>
      </w:r>
      <w:r>
        <w:t xml:space="preserve"> the better the vector </w:t>
      </w:r>
      <w:r>
        <w:sym w:font="Symbol" w:char="F044"/>
      </w:r>
      <w:r>
        <w:rPr>
          <w:b/>
        </w:rPr>
        <w:t>Y</w:t>
      </w:r>
      <w:r>
        <w:t xml:space="preserve"> is approximated by the first </w:t>
      </w:r>
      <w:r>
        <w:rPr>
          <w:i/>
        </w:rPr>
        <w:t>k</w:t>
      </w:r>
      <w:r>
        <w:t xml:space="preserve"> terms in (6.19).</w:t>
      </w:r>
    </w:p>
    <w:p w:rsidR="00000000" w:rsidRDefault="00F90957">
      <w:r>
        <w:t xml:space="preserve">  Like the principal axes, the vectors </w:t>
      </w:r>
      <w:r>
        <w:rPr>
          <w:b/>
        </w:rPr>
        <w:t>s</w:t>
      </w:r>
      <w:r>
        <w:t>,</w:t>
      </w:r>
      <w:r>
        <w:rPr>
          <w:b/>
        </w:rPr>
        <w:t xml:space="preserve"> </w:t>
      </w:r>
      <w:r>
        <w:rPr>
          <w:b/>
        </w:rPr>
        <w:sym w:font="Symbol" w:char="F074"/>
      </w:r>
      <w:r>
        <w:t xml:space="preserve"> and </w:t>
      </w:r>
      <w:r>
        <w:rPr>
          <w:b/>
        </w:rPr>
        <w:t xml:space="preserve">b </w:t>
      </w:r>
      <w:r>
        <w:t>are orthonorm</w:t>
      </w:r>
      <w:r>
        <w:t xml:space="preserve">al but were chosen for their simple appearance and we do not know how well they approximate the vector </w:t>
      </w:r>
      <w:r>
        <w:sym w:font="Symbol" w:char="F044"/>
      </w:r>
      <w:r>
        <w:rPr>
          <w:b/>
        </w:rPr>
        <w:t>Y</w:t>
      </w:r>
      <w:r>
        <w:t xml:space="preserve">. Nor do we know the correlation between the corresponding variables </w:t>
      </w:r>
      <w:r>
        <w:rPr>
          <w:i/>
        </w:rPr>
        <w:t>y</w:t>
      </w:r>
      <w:r>
        <w:rPr>
          <w:i/>
          <w:vertAlign w:val="subscript"/>
        </w:rPr>
        <w:t>s</w:t>
      </w:r>
      <w:r>
        <w:t xml:space="preserve">, </w:t>
      </w:r>
      <w:r>
        <w:rPr>
          <w:i/>
        </w:rPr>
        <w:t>y</w:t>
      </w:r>
      <w:r>
        <w:rPr>
          <w:i/>
          <w:vertAlign w:val="subscript"/>
        </w:rPr>
        <w:sym w:font="Symbol" w:char="F074"/>
      </w:r>
      <w:r>
        <w:t xml:space="preserve"> and </w:t>
      </w:r>
      <w:r>
        <w:rPr>
          <w:i/>
        </w:rPr>
        <w:t>y</w:t>
      </w:r>
      <w:r>
        <w:rPr>
          <w:i/>
          <w:vertAlign w:val="subscript"/>
        </w:rPr>
        <w:t>b</w:t>
      </w:r>
      <w:r>
        <w:t>. In a similar manner as at is shown in Appendix A that (6.19) holds,</w:t>
      </w:r>
      <w:r>
        <w:t xml:space="preserve"> it can be shown that </w:t>
      </w:r>
    </w:p>
    <w:p w:rsidR="00000000" w:rsidRDefault="00F90957"/>
    <w:p w:rsidR="00000000" w:rsidRDefault="00F90957">
      <w:pPr>
        <w:ind w:left="8222" w:hanging="8222"/>
      </w:pPr>
      <w:r>
        <w:rPr>
          <w:position w:val="-28"/>
        </w:rPr>
        <w:object w:dxaOrig="5319" w:dyaOrig="680">
          <v:shape id="_x0000_i1203" type="#_x0000_t75" style="width:266.25pt;height:33.75pt" o:ole="">
            <v:imagedata r:id="rId352" o:title=""/>
          </v:shape>
          <o:OLEObject Type="Embed" ProgID="Equation.3" ShapeID="_x0000_i1203" DrawAspect="Content" ObjectID="_1597674043" r:id="rId353"/>
        </w:object>
      </w:r>
      <w:r>
        <w:tab/>
        <w:t>(6.44)</w:t>
      </w:r>
    </w:p>
    <w:p w:rsidR="00000000" w:rsidRDefault="00F90957"/>
    <w:p w:rsidR="00000000" w:rsidRDefault="00F90957">
      <w:r>
        <w:t xml:space="preserve">Thus, we can introduce the measures of ‘goodness-of-fit’, </w:t>
      </w:r>
      <w:r>
        <w:rPr>
          <w:i/>
          <w:iCs/>
        </w:rPr>
        <w:t>t</w:t>
      </w:r>
      <w:r>
        <w:rPr>
          <w:i/>
          <w:iCs/>
          <w:vertAlign w:val="subscript"/>
        </w:rPr>
        <w:t>s</w:t>
      </w:r>
      <w:r>
        <w:t xml:space="preserve">, </w:t>
      </w:r>
      <w:r>
        <w:rPr>
          <w:i/>
          <w:iCs/>
        </w:rPr>
        <w:t>t</w:t>
      </w:r>
      <w:r>
        <w:rPr>
          <w:i/>
          <w:iCs/>
          <w:vertAlign w:val="subscript"/>
        </w:rPr>
        <w:t>τ</w:t>
      </w:r>
      <w:r>
        <w:t xml:space="preserve"> and</w:t>
      </w:r>
      <w:r>
        <w:rPr>
          <w:i/>
          <w:iCs/>
        </w:rPr>
        <w:t xml:space="preserve"> t</w:t>
      </w:r>
      <w:r>
        <w:rPr>
          <w:i/>
          <w:iCs/>
          <w:vertAlign w:val="subscript"/>
        </w:rPr>
        <w:t>b</w:t>
      </w:r>
      <w:r>
        <w:t xml:space="preserve">, which are analogous to </w:t>
      </w:r>
      <w:r>
        <w:rPr>
          <w:i/>
          <w:iCs/>
        </w:rPr>
        <w:t>t</w:t>
      </w:r>
      <w:r>
        <w:rPr>
          <w:vertAlign w:val="subscript"/>
        </w:rPr>
        <w:t>1</w:t>
      </w:r>
      <w:r>
        <w:t xml:space="preserve">, </w:t>
      </w:r>
      <w:r>
        <w:rPr>
          <w:i/>
          <w:iCs/>
        </w:rPr>
        <w:t>t</w:t>
      </w:r>
      <w:r>
        <w:rPr>
          <w:vertAlign w:val="subscript"/>
        </w:rPr>
        <w:t>2</w:t>
      </w:r>
      <w:r>
        <w:t xml:space="preserve"> and </w:t>
      </w:r>
      <w:r>
        <w:rPr>
          <w:i/>
          <w:iCs/>
        </w:rPr>
        <w:t>t</w:t>
      </w:r>
      <w:r>
        <w:rPr>
          <w:vertAlign w:val="subscript"/>
        </w:rPr>
        <w:t>3</w:t>
      </w:r>
      <w:r>
        <w:t xml:space="preserve"> for the principal components. </w:t>
      </w:r>
    </w:p>
    <w:p w:rsidR="00000000" w:rsidRDefault="00F90957"/>
    <w:p w:rsidR="00000000" w:rsidRDefault="00F90957">
      <w:pPr>
        <w:ind w:left="8222" w:hanging="8222"/>
      </w:pPr>
      <w:r>
        <w:rPr>
          <w:position w:val="-60"/>
        </w:rPr>
        <w:object w:dxaOrig="1540" w:dyaOrig="999">
          <v:shape id="_x0000_i1204" type="#_x0000_t75" style="width:77.25pt;height:50.25pt" o:ole="">
            <v:imagedata r:id="rId354" o:title=""/>
          </v:shape>
          <o:OLEObject Type="Embed" ProgID="Equation.3" ShapeID="_x0000_i1204" DrawAspect="Content" ObjectID="_1597674044" r:id="rId355"/>
        </w:object>
      </w:r>
      <w:r>
        <w:t xml:space="preserve">, </w:t>
      </w:r>
      <w:r>
        <w:rPr>
          <w:position w:val="-60"/>
        </w:rPr>
        <w:object w:dxaOrig="2299" w:dyaOrig="999">
          <v:shape id="_x0000_i1205" type="#_x0000_t75" style="width:114.75pt;height:50.25pt" o:ole="">
            <v:imagedata r:id="rId356" o:title=""/>
          </v:shape>
          <o:OLEObject Type="Embed" ProgID="Equation.3" ShapeID="_x0000_i1205" DrawAspect="Content" ObjectID="_1597674045" r:id="rId357"/>
        </w:object>
      </w:r>
      <w:r>
        <w:t xml:space="preserve"> and </w:t>
      </w:r>
      <w:r>
        <w:rPr>
          <w:position w:val="-60"/>
        </w:rPr>
        <w:object w:dxaOrig="3300" w:dyaOrig="999">
          <v:shape id="_x0000_i1206" type="#_x0000_t75" style="width:165pt;height:50.25pt" o:ole="">
            <v:imagedata r:id="rId358" o:title=""/>
          </v:shape>
          <o:OLEObject Type="Embed" ProgID="Equation.3" ShapeID="_x0000_i1206" DrawAspect="Content" ObjectID="_1597674046" r:id="rId359"/>
        </w:object>
      </w:r>
      <w:r>
        <w:tab/>
        <w:t>(6.45)</w:t>
      </w:r>
    </w:p>
    <w:p w:rsidR="00000000" w:rsidRDefault="00F90957"/>
    <w:p w:rsidR="00000000" w:rsidRDefault="00F90957">
      <w:r>
        <w:t>Table 6.11 shows these measures for our components and the principal components of the daily zero curve movement at 10 equidistant points between two years and ten years. The values are based on quotes for Swedish government bond</w:t>
      </w:r>
      <w:r>
        <w:t xml:space="preserve">s from June 1, 1998 to September 18, 2000. </w:t>
      </w:r>
    </w:p>
    <w:p w:rsidR="00000000" w:rsidRDefault="00F90957"/>
    <w:tbl>
      <w:tblPr>
        <w:tblpPr w:leftFromText="141" w:rightFromText="141" w:vertAnchor="text" w:tblpY="1"/>
        <w:tblOverlap w:val="never"/>
        <w:tblW w:w="3939" w:type="dxa"/>
        <w:tblLayout w:type="fixed"/>
        <w:tblCellMar>
          <w:left w:w="0" w:type="dxa"/>
          <w:right w:w="0" w:type="dxa"/>
        </w:tblCellMar>
        <w:tblLook w:val="0000" w:firstRow="0" w:lastRow="0" w:firstColumn="0" w:lastColumn="0" w:noHBand="0" w:noVBand="0"/>
      </w:tblPr>
      <w:tblGrid>
        <w:gridCol w:w="1190"/>
        <w:gridCol w:w="1597"/>
        <w:gridCol w:w="1152"/>
      </w:tblGrid>
      <w:tr w:rsidR="00000000">
        <w:trPr>
          <w:trHeight w:val="255"/>
        </w:trPr>
        <w:tc>
          <w:tcPr>
            <w:tcW w:w="1190" w:type="dxa"/>
            <w:noWrap/>
            <w:vAlign w:val="bottom"/>
          </w:tcPr>
          <w:p w:rsidR="00000000" w:rsidRDefault="00F90957">
            <w:pPr>
              <w:rPr>
                <w:rFonts w:ascii="Arial" w:eastAsia="Arial Unicode MS" w:hAnsi="Arial" w:cs="Arial"/>
                <w:sz w:val="20"/>
                <w:szCs w:val="20"/>
              </w:rPr>
            </w:pPr>
          </w:p>
        </w:tc>
        <w:tc>
          <w:tcPr>
            <w:tcW w:w="2749" w:type="dxa"/>
            <w:gridSpan w:val="2"/>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Goodness-of-fit</w:t>
            </w:r>
          </w:p>
        </w:tc>
      </w:tr>
      <w:tr w:rsidR="00000000">
        <w:trPr>
          <w:trHeight w:val="255"/>
        </w:trPr>
        <w:tc>
          <w:tcPr>
            <w:tcW w:w="1190" w:type="dxa"/>
            <w:noWrap/>
            <w:vAlign w:val="bottom"/>
          </w:tcPr>
          <w:p w:rsidR="00000000" w:rsidRDefault="00F90957">
            <w:pPr>
              <w:rPr>
                <w:rFonts w:ascii="Arial" w:eastAsia="Arial Unicode MS" w:hAnsi="Arial" w:cs="Arial"/>
                <w:sz w:val="20"/>
                <w:szCs w:val="20"/>
              </w:rPr>
            </w:pPr>
          </w:p>
        </w:tc>
        <w:tc>
          <w:tcPr>
            <w:tcW w:w="1597"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Ad hoc</w:t>
            </w:r>
          </w:p>
        </w:tc>
        <w:tc>
          <w:tcPr>
            <w:tcW w:w="1152"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PC</w:t>
            </w:r>
          </w:p>
        </w:tc>
      </w:tr>
      <w:tr w:rsidR="00000000">
        <w:trPr>
          <w:trHeight w:val="255"/>
        </w:trPr>
        <w:tc>
          <w:tcPr>
            <w:tcW w:w="1190" w:type="dxa"/>
            <w:shd w:val="clear" w:color="auto" w:fill="D9D9D9"/>
            <w:noWrap/>
            <w:vAlign w:val="bottom"/>
          </w:tcPr>
          <w:p w:rsidR="00000000" w:rsidRDefault="00F90957">
            <w:pPr>
              <w:rPr>
                <w:rFonts w:ascii="Arial" w:eastAsia="Arial Unicode MS" w:hAnsi="Arial" w:cs="Arial"/>
                <w:sz w:val="20"/>
                <w:szCs w:val="20"/>
              </w:rPr>
            </w:pPr>
            <w:r>
              <w:rPr>
                <w:rFonts w:ascii="Arial" w:hAnsi="Arial" w:cs="Arial"/>
                <w:sz w:val="20"/>
                <w:szCs w:val="20"/>
              </w:rPr>
              <w:t>Shift</w:t>
            </w:r>
          </w:p>
        </w:tc>
        <w:tc>
          <w:tcPr>
            <w:tcW w:w="1597"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i/>
                <w:iCs/>
                <w:sz w:val="20"/>
                <w:szCs w:val="20"/>
              </w:rPr>
              <w:t>t</w:t>
            </w:r>
            <w:r>
              <w:rPr>
                <w:rFonts w:ascii="Arial" w:hAnsi="Arial" w:cs="Arial"/>
                <w:i/>
                <w:iCs/>
                <w:sz w:val="20"/>
                <w:szCs w:val="20"/>
                <w:vertAlign w:val="subscript"/>
              </w:rPr>
              <w:t>s</w:t>
            </w:r>
            <w:r>
              <w:rPr>
                <w:rFonts w:ascii="Arial" w:hAnsi="Arial" w:cs="Arial"/>
                <w:sz w:val="20"/>
                <w:szCs w:val="20"/>
              </w:rPr>
              <w:t xml:space="preserve"> =</w:t>
            </w:r>
            <w:r>
              <w:rPr>
                <w:rFonts w:ascii="Arial" w:hAnsi="Arial" w:cs="Arial"/>
                <w:i/>
                <w:iCs/>
                <w:sz w:val="20"/>
                <w:szCs w:val="20"/>
              </w:rPr>
              <w:t xml:space="preserve"> </w:t>
            </w:r>
            <w:r>
              <w:rPr>
                <w:rFonts w:ascii="Arial" w:hAnsi="Arial" w:cs="Arial"/>
                <w:sz w:val="20"/>
                <w:szCs w:val="20"/>
              </w:rPr>
              <w:t>0,916</w:t>
            </w:r>
          </w:p>
        </w:tc>
        <w:tc>
          <w:tcPr>
            <w:tcW w:w="1152"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i/>
                <w:iCs/>
                <w:sz w:val="20"/>
                <w:szCs w:val="20"/>
              </w:rPr>
              <w:t>t</w:t>
            </w:r>
            <w:r>
              <w:rPr>
                <w:rFonts w:ascii="Arial" w:hAnsi="Arial" w:cs="Arial"/>
                <w:sz w:val="20"/>
                <w:szCs w:val="20"/>
                <w:vertAlign w:val="subscript"/>
              </w:rPr>
              <w:t>1</w:t>
            </w:r>
            <w:r>
              <w:rPr>
                <w:rFonts w:ascii="Arial" w:hAnsi="Arial" w:cs="Arial"/>
                <w:sz w:val="20"/>
                <w:szCs w:val="20"/>
              </w:rPr>
              <w:t xml:space="preserve"> = 0,922</w:t>
            </w:r>
          </w:p>
        </w:tc>
      </w:tr>
      <w:tr w:rsidR="00000000">
        <w:trPr>
          <w:trHeight w:val="255"/>
        </w:trPr>
        <w:tc>
          <w:tcPr>
            <w:tcW w:w="1190" w:type="dxa"/>
            <w:shd w:val="clear" w:color="auto" w:fill="D9D9D9"/>
            <w:noWrap/>
            <w:vAlign w:val="bottom"/>
          </w:tcPr>
          <w:p w:rsidR="00000000" w:rsidRDefault="00F90957">
            <w:pPr>
              <w:rPr>
                <w:rFonts w:ascii="Arial" w:eastAsia="Arial Unicode MS" w:hAnsi="Arial" w:cs="Arial"/>
                <w:sz w:val="20"/>
                <w:szCs w:val="20"/>
              </w:rPr>
            </w:pPr>
            <w:r>
              <w:rPr>
                <w:rFonts w:ascii="Arial" w:hAnsi="Arial" w:cs="Arial"/>
                <w:sz w:val="20"/>
                <w:szCs w:val="20"/>
              </w:rPr>
              <w:t>Twist</w:t>
            </w:r>
          </w:p>
        </w:tc>
        <w:tc>
          <w:tcPr>
            <w:tcW w:w="1597" w:type="dxa"/>
            <w:shd w:val="clear" w:color="auto" w:fill="F3F3F3"/>
            <w:noWrap/>
            <w:vAlign w:val="bottom"/>
          </w:tcPr>
          <w:p w:rsidR="00000000" w:rsidRDefault="00F90957">
            <w:pPr>
              <w:jc w:val="right"/>
              <w:rPr>
                <w:rFonts w:ascii="Arial" w:eastAsia="Arial Unicode MS" w:hAnsi="Arial" w:cs="Arial"/>
                <w:sz w:val="20"/>
                <w:szCs w:val="20"/>
                <w:lang w:val="fr-FR"/>
              </w:rPr>
            </w:pPr>
            <w:r>
              <w:rPr>
                <w:rFonts w:ascii="Arial" w:hAnsi="Arial" w:cs="Arial"/>
                <w:i/>
                <w:iCs/>
                <w:sz w:val="20"/>
                <w:szCs w:val="20"/>
                <w:lang w:val="fr-FR"/>
              </w:rPr>
              <w:t>t</w:t>
            </w:r>
            <w:r>
              <w:rPr>
                <w:rFonts w:ascii="Arial" w:hAnsi="Arial" w:cs="Arial"/>
                <w:i/>
                <w:iCs/>
                <w:sz w:val="20"/>
                <w:szCs w:val="20"/>
                <w:vertAlign w:val="subscript"/>
              </w:rPr>
              <w:sym w:font="Symbol" w:char="F074"/>
            </w:r>
            <w:r>
              <w:rPr>
                <w:rFonts w:ascii="Arial" w:hAnsi="Arial" w:cs="Arial"/>
                <w:sz w:val="20"/>
                <w:szCs w:val="20"/>
                <w:lang w:val="fr-FR"/>
              </w:rPr>
              <w:t xml:space="preserve"> =</w:t>
            </w:r>
            <w:r>
              <w:rPr>
                <w:rFonts w:ascii="Arial" w:hAnsi="Arial" w:cs="Arial"/>
                <w:i/>
                <w:iCs/>
                <w:sz w:val="20"/>
                <w:szCs w:val="20"/>
                <w:lang w:val="fr-FR"/>
              </w:rPr>
              <w:t xml:space="preserve"> </w:t>
            </w:r>
            <w:r>
              <w:rPr>
                <w:rFonts w:ascii="Arial" w:hAnsi="Arial" w:cs="Arial"/>
                <w:sz w:val="20"/>
                <w:szCs w:val="20"/>
                <w:lang w:val="fr-FR"/>
              </w:rPr>
              <w:t>0,985</w:t>
            </w:r>
          </w:p>
        </w:tc>
        <w:tc>
          <w:tcPr>
            <w:tcW w:w="1152" w:type="dxa"/>
            <w:shd w:val="clear" w:color="auto" w:fill="F3F3F3"/>
            <w:noWrap/>
            <w:vAlign w:val="bottom"/>
          </w:tcPr>
          <w:p w:rsidR="00000000" w:rsidRDefault="00F90957">
            <w:pPr>
              <w:jc w:val="right"/>
              <w:rPr>
                <w:rFonts w:ascii="Arial" w:eastAsia="Arial Unicode MS" w:hAnsi="Arial" w:cs="Arial"/>
                <w:sz w:val="20"/>
                <w:szCs w:val="20"/>
                <w:lang w:val="fr-FR"/>
              </w:rPr>
            </w:pPr>
            <w:r>
              <w:rPr>
                <w:rFonts w:ascii="Arial" w:hAnsi="Arial" w:cs="Arial"/>
                <w:i/>
                <w:iCs/>
                <w:sz w:val="20"/>
                <w:szCs w:val="20"/>
                <w:lang w:val="fr-FR"/>
              </w:rPr>
              <w:t>t</w:t>
            </w:r>
            <w:r>
              <w:rPr>
                <w:rFonts w:ascii="Arial" w:hAnsi="Arial" w:cs="Arial"/>
                <w:sz w:val="20"/>
                <w:szCs w:val="20"/>
                <w:vertAlign w:val="subscript"/>
                <w:lang w:val="fr-FR"/>
              </w:rPr>
              <w:t>2</w:t>
            </w:r>
            <w:r>
              <w:rPr>
                <w:rFonts w:ascii="Arial" w:hAnsi="Arial" w:cs="Arial"/>
                <w:sz w:val="20"/>
                <w:szCs w:val="20"/>
                <w:lang w:val="fr-FR"/>
              </w:rPr>
              <w:t xml:space="preserve"> = 0,987</w:t>
            </w:r>
          </w:p>
        </w:tc>
      </w:tr>
      <w:tr w:rsidR="00000000">
        <w:trPr>
          <w:trHeight w:val="255"/>
        </w:trPr>
        <w:tc>
          <w:tcPr>
            <w:tcW w:w="1190" w:type="dxa"/>
            <w:shd w:val="clear" w:color="auto" w:fill="D9D9D9"/>
            <w:noWrap/>
            <w:vAlign w:val="bottom"/>
          </w:tcPr>
          <w:p w:rsidR="00000000" w:rsidRDefault="00F90957">
            <w:pPr>
              <w:rPr>
                <w:rFonts w:ascii="Arial" w:eastAsia="Arial Unicode MS" w:hAnsi="Arial" w:cs="Arial"/>
                <w:sz w:val="20"/>
                <w:szCs w:val="20"/>
                <w:lang w:val="fr-FR"/>
              </w:rPr>
            </w:pPr>
            <w:r>
              <w:rPr>
                <w:rFonts w:ascii="Arial" w:hAnsi="Arial" w:cs="Arial"/>
                <w:sz w:val="20"/>
                <w:szCs w:val="20"/>
                <w:lang w:val="fr-FR"/>
              </w:rPr>
              <w:t>Butterfly</w:t>
            </w:r>
          </w:p>
        </w:tc>
        <w:tc>
          <w:tcPr>
            <w:tcW w:w="1597"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i/>
                <w:iCs/>
                <w:sz w:val="20"/>
                <w:szCs w:val="20"/>
              </w:rPr>
              <w:t>t</w:t>
            </w:r>
            <w:r>
              <w:rPr>
                <w:rFonts w:ascii="Arial" w:hAnsi="Arial" w:cs="Arial"/>
                <w:i/>
                <w:iCs/>
                <w:sz w:val="20"/>
                <w:szCs w:val="20"/>
                <w:vertAlign w:val="subscript"/>
              </w:rPr>
              <w:t>b</w:t>
            </w:r>
            <w:r>
              <w:rPr>
                <w:rFonts w:ascii="Arial" w:hAnsi="Arial" w:cs="Arial"/>
                <w:sz w:val="20"/>
                <w:szCs w:val="20"/>
              </w:rPr>
              <w:t xml:space="preserve"> =</w:t>
            </w:r>
            <w:r>
              <w:rPr>
                <w:rFonts w:ascii="Arial" w:hAnsi="Arial" w:cs="Arial"/>
                <w:i/>
                <w:iCs/>
                <w:sz w:val="20"/>
                <w:szCs w:val="20"/>
              </w:rPr>
              <w:t xml:space="preserve"> </w:t>
            </w:r>
            <w:r>
              <w:rPr>
                <w:rFonts w:ascii="Arial" w:hAnsi="Arial" w:cs="Arial"/>
                <w:sz w:val="20"/>
                <w:szCs w:val="20"/>
              </w:rPr>
              <w:t>0,992</w:t>
            </w:r>
          </w:p>
        </w:tc>
        <w:tc>
          <w:tcPr>
            <w:tcW w:w="1152"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i/>
                <w:iCs/>
                <w:sz w:val="20"/>
                <w:szCs w:val="20"/>
              </w:rPr>
              <w:t>t</w:t>
            </w:r>
            <w:r>
              <w:rPr>
                <w:rFonts w:ascii="Arial" w:hAnsi="Arial" w:cs="Arial"/>
                <w:sz w:val="20"/>
                <w:szCs w:val="20"/>
                <w:vertAlign w:val="subscript"/>
              </w:rPr>
              <w:t>3</w:t>
            </w:r>
            <w:r>
              <w:rPr>
                <w:rFonts w:ascii="Arial" w:hAnsi="Arial" w:cs="Arial"/>
                <w:sz w:val="20"/>
                <w:szCs w:val="20"/>
              </w:rPr>
              <w:t xml:space="preserve"> = 0,994</w:t>
            </w:r>
          </w:p>
        </w:tc>
      </w:tr>
      <w:tr w:rsidR="00000000">
        <w:trPr>
          <w:trHeight w:val="255"/>
        </w:trPr>
        <w:tc>
          <w:tcPr>
            <w:tcW w:w="3939" w:type="dxa"/>
            <w:gridSpan w:val="3"/>
            <w:noWrap/>
            <w:vAlign w:val="bottom"/>
          </w:tcPr>
          <w:p w:rsidR="00000000" w:rsidRDefault="00F90957">
            <w:pPr>
              <w:rPr>
                <w:rFonts w:ascii="Arial" w:hAnsi="Arial" w:cs="Arial"/>
                <w:i/>
                <w:iCs/>
                <w:sz w:val="20"/>
                <w:szCs w:val="20"/>
              </w:rPr>
            </w:pPr>
            <w:r>
              <w:t xml:space="preserve">Table 6.11: Measures of ‘goodness-of- fit’ for ad hoc components and principal components </w:t>
            </w:r>
            <w:r>
              <w:t xml:space="preserve">of the daily zero curve movement. Based on data from June 1, 1998 to September 18, 2000   </w:t>
            </w:r>
          </w:p>
        </w:tc>
      </w:tr>
    </w:tbl>
    <w:tbl>
      <w:tblPr>
        <w:tblW w:w="4026" w:type="dxa"/>
        <w:tblInd w:w="468" w:type="dxa"/>
        <w:tblLook w:val="01E0" w:firstRow="1" w:lastRow="1" w:firstColumn="1" w:lastColumn="1" w:noHBand="0" w:noVBand="0"/>
      </w:tblPr>
      <w:tblGrid>
        <w:gridCol w:w="597"/>
        <w:gridCol w:w="1143"/>
        <w:gridCol w:w="1143"/>
        <w:gridCol w:w="1143"/>
      </w:tblGrid>
      <w:tr w:rsidR="00000000">
        <w:trPr>
          <w:trHeight w:val="255"/>
        </w:trPr>
        <w:tc>
          <w:tcPr>
            <w:tcW w:w="0" w:type="auto"/>
          </w:tcPr>
          <w:p w:rsidR="00000000" w:rsidRDefault="00F90957">
            <w:pPr>
              <w:pStyle w:val="Picture"/>
            </w:pPr>
          </w:p>
        </w:tc>
        <w:tc>
          <w:tcPr>
            <w:tcW w:w="0" w:type="auto"/>
            <w:shd w:val="clear" w:color="auto" w:fill="D9D9D9"/>
          </w:tcPr>
          <w:p w:rsidR="00000000" w:rsidRDefault="00F90957">
            <w:pPr>
              <w:pStyle w:val="Picture"/>
              <w:jc w:val="center"/>
            </w:pPr>
            <w:r>
              <w:t>s</w:t>
            </w:r>
          </w:p>
        </w:tc>
        <w:tc>
          <w:tcPr>
            <w:tcW w:w="0" w:type="auto"/>
            <w:shd w:val="clear" w:color="auto" w:fill="D9D9D9"/>
          </w:tcPr>
          <w:p w:rsidR="00000000" w:rsidRDefault="00F90957">
            <w:pPr>
              <w:pStyle w:val="Picture"/>
              <w:jc w:val="center"/>
            </w:pPr>
            <w:r>
              <w:t>τ</w:t>
            </w:r>
          </w:p>
        </w:tc>
        <w:tc>
          <w:tcPr>
            <w:tcW w:w="0" w:type="auto"/>
            <w:shd w:val="clear" w:color="auto" w:fill="D9D9D9"/>
          </w:tcPr>
          <w:p w:rsidR="00000000" w:rsidRDefault="00F90957">
            <w:pPr>
              <w:pStyle w:val="Picture"/>
              <w:jc w:val="center"/>
            </w:pPr>
            <w:r>
              <w:t>b</w:t>
            </w:r>
          </w:p>
        </w:tc>
      </w:tr>
      <w:tr w:rsidR="00000000">
        <w:trPr>
          <w:trHeight w:val="255"/>
        </w:trPr>
        <w:tc>
          <w:tcPr>
            <w:tcW w:w="0" w:type="auto"/>
            <w:shd w:val="clear" w:color="auto" w:fill="D9D9D9"/>
          </w:tcPr>
          <w:p w:rsidR="00000000" w:rsidRDefault="00F90957">
            <w:pPr>
              <w:pStyle w:val="Picture"/>
              <w:jc w:val="right"/>
            </w:pPr>
            <w:r>
              <w:t>s</w:t>
            </w:r>
          </w:p>
        </w:tc>
        <w:tc>
          <w:tcPr>
            <w:tcW w:w="0" w:type="auto"/>
            <w:shd w:val="clear" w:color="auto" w:fill="F3F3F3"/>
          </w:tcPr>
          <w:p w:rsidR="00000000" w:rsidRDefault="00F90957">
            <w:pPr>
              <w:pStyle w:val="Picture"/>
              <w:jc w:val="right"/>
              <w:rPr>
                <w:rFonts w:ascii="Arial" w:hAnsi="Arial"/>
                <w:sz w:val="20"/>
                <w:szCs w:val="20"/>
              </w:rPr>
            </w:pPr>
            <w:r>
              <w:rPr>
                <w:rFonts w:ascii="Arial" w:hAnsi="Arial"/>
                <w:sz w:val="20"/>
                <w:szCs w:val="20"/>
              </w:rPr>
              <w:t>1</w:t>
            </w:r>
          </w:p>
        </w:tc>
        <w:tc>
          <w:tcPr>
            <w:tcW w:w="0" w:type="auto"/>
            <w:shd w:val="clear" w:color="auto" w:fill="F3F3F3"/>
          </w:tcPr>
          <w:p w:rsidR="00000000" w:rsidRDefault="00F90957">
            <w:pPr>
              <w:pStyle w:val="Picture"/>
              <w:jc w:val="right"/>
              <w:rPr>
                <w:rFonts w:ascii="Arial" w:hAnsi="Arial"/>
                <w:sz w:val="20"/>
                <w:szCs w:val="20"/>
              </w:rPr>
            </w:pPr>
            <w:r>
              <w:rPr>
                <w:rFonts w:ascii="Arial" w:hAnsi="Arial"/>
                <w:sz w:val="20"/>
                <w:szCs w:val="20"/>
              </w:rPr>
              <w:t>0,24</w:t>
            </w:r>
          </w:p>
        </w:tc>
        <w:tc>
          <w:tcPr>
            <w:tcW w:w="0" w:type="auto"/>
            <w:shd w:val="clear" w:color="auto" w:fill="F3F3F3"/>
          </w:tcPr>
          <w:p w:rsidR="00000000" w:rsidRDefault="00F90957">
            <w:pPr>
              <w:pStyle w:val="Picture"/>
              <w:jc w:val="right"/>
              <w:rPr>
                <w:rFonts w:ascii="Arial" w:hAnsi="Arial"/>
                <w:sz w:val="20"/>
                <w:szCs w:val="20"/>
              </w:rPr>
            </w:pPr>
            <w:r>
              <w:rPr>
                <w:rFonts w:ascii="Arial" w:hAnsi="Arial"/>
                <w:sz w:val="20"/>
                <w:szCs w:val="20"/>
              </w:rPr>
              <w:t>-0,37</w:t>
            </w:r>
          </w:p>
        </w:tc>
      </w:tr>
      <w:tr w:rsidR="00000000">
        <w:trPr>
          <w:trHeight w:val="255"/>
        </w:trPr>
        <w:tc>
          <w:tcPr>
            <w:tcW w:w="0" w:type="auto"/>
            <w:shd w:val="clear" w:color="auto" w:fill="D9D9D9"/>
          </w:tcPr>
          <w:p w:rsidR="00000000" w:rsidRDefault="00F90957">
            <w:pPr>
              <w:pStyle w:val="Picture"/>
              <w:jc w:val="right"/>
            </w:pPr>
            <w:r>
              <w:t>τ</w:t>
            </w:r>
          </w:p>
        </w:tc>
        <w:tc>
          <w:tcPr>
            <w:tcW w:w="0" w:type="auto"/>
            <w:shd w:val="clear" w:color="auto" w:fill="F3F3F3"/>
          </w:tcPr>
          <w:p w:rsidR="00000000" w:rsidRDefault="00F90957">
            <w:pPr>
              <w:pStyle w:val="Picture"/>
              <w:jc w:val="right"/>
              <w:rPr>
                <w:rFonts w:ascii="Arial" w:hAnsi="Arial"/>
                <w:sz w:val="20"/>
                <w:szCs w:val="20"/>
              </w:rPr>
            </w:pPr>
            <w:r>
              <w:rPr>
                <w:rFonts w:ascii="Arial" w:hAnsi="Arial"/>
                <w:sz w:val="20"/>
                <w:szCs w:val="20"/>
              </w:rPr>
              <w:t>0,24</w:t>
            </w:r>
          </w:p>
        </w:tc>
        <w:tc>
          <w:tcPr>
            <w:tcW w:w="0" w:type="auto"/>
            <w:shd w:val="clear" w:color="auto" w:fill="F3F3F3"/>
          </w:tcPr>
          <w:p w:rsidR="00000000" w:rsidRDefault="00F90957">
            <w:pPr>
              <w:pStyle w:val="Picture"/>
              <w:jc w:val="right"/>
              <w:rPr>
                <w:rFonts w:ascii="Arial" w:hAnsi="Arial"/>
                <w:sz w:val="20"/>
                <w:szCs w:val="20"/>
              </w:rPr>
            </w:pPr>
            <w:r>
              <w:rPr>
                <w:rFonts w:ascii="Arial" w:hAnsi="Arial"/>
                <w:sz w:val="20"/>
                <w:szCs w:val="20"/>
              </w:rPr>
              <w:t>1</w:t>
            </w:r>
          </w:p>
        </w:tc>
        <w:tc>
          <w:tcPr>
            <w:tcW w:w="0" w:type="auto"/>
            <w:shd w:val="clear" w:color="auto" w:fill="F3F3F3"/>
          </w:tcPr>
          <w:p w:rsidR="00000000" w:rsidRDefault="00F90957">
            <w:pPr>
              <w:pStyle w:val="Picture"/>
              <w:jc w:val="right"/>
              <w:rPr>
                <w:rFonts w:ascii="Arial" w:hAnsi="Arial"/>
                <w:sz w:val="20"/>
                <w:szCs w:val="20"/>
              </w:rPr>
            </w:pPr>
            <w:r>
              <w:rPr>
                <w:rFonts w:ascii="Arial" w:hAnsi="Arial"/>
                <w:sz w:val="20"/>
                <w:szCs w:val="20"/>
              </w:rPr>
              <w:t>-0,17</w:t>
            </w:r>
          </w:p>
        </w:tc>
      </w:tr>
      <w:tr w:rsidR="00000000">
        <w:trPr>
          <w:trHeight w:val="255"/>
        </w:trPr>
        <w:tc>
          <w:tcPr>
            <w:tcW w:w="0" w:type="auto"/>
            <w:shd w:val="clear" w:color="auto" w:fill="D9D9D9"/>
          </w:tcPr>
          <w:p w:rsidR="00000000" w:rsidRDefault="00F90957">
            <w:pPr>
              <w:pStyle w:val="Picture"/>
              <w:jc w:val="right"/>
            </w:pPr>
            <w:r>
              <w:t>b</w:t>
            </w:r>
          </w:p>
        </w:tc>
        <w:tc>
          <w:tcPr>
            <w:tcW w:w="0" w:type="auto"/>
            <w:shd w:val="clear" w:color="auto" w:fill="F3F3F3"/>
          </w:tcPr>
          <w:p w:rsidR="00000000" w:rsidRDefault="00F90957">
            <w:pPr>
              <w:pStyle w:val="Picture"/>
              <w:jc w:val="right"/>
              <w:rPr>
                <w:rFonts w:ascii="Arial" w:hAnsi="Arial"/>
                <w:sz w:val="20"/>
                <w:szCs w:val="20"/>
              </w:rPr>
            </w:pPr>
            <w:r>
              <w:rPr>
                <w:rFonts w:ascii="Arial" w:hAnsi="Arial"/>
                <w:sz w:val="20"/>
                <w:szCs w:val="20"/>
              </w:rPr>
              <w:t>-0,37</w:t>
            </w:r>
          </w:p>
        </w:tc>
        <w:tc>
          <w:tcPr>
            <w:tcW w:w="0" w:type="auto"/>
            <w:shd w:val="clear" w:color="auto" w:fill="F3F3F3"/>
          </w:tcPr>
          <w:p w:rsidR="00000000" w:rsidRDefault="00F90957">
            <w:pPr>
              <w:pStyle w:val="Picture"/>
              <w:jc w:val="right"/>
              <w:rPr>
                <w:rFonts w:ascii="Arial" w:hAnsi="Arial"/>
                <w:sz w:val="20"/>
                <w:szCs w:val="20"/>
              </w:rPr>
            </w:pPr>
            <w:r>
              <w:rPr>
                <w:rFonts w:ascii="Arial" w:hAnsi="Arial"/>
                <w:sz w:val="20"/>
                <w:szCs w:val="20"/>
              </w:rPr>
              <w:t>-0,17</w:t>
            </w:r>
          </w:p>
        </w:tc>
        <w:tc>
          <w:tcPr>
            <w:tcW w:w="0" w:type="auto"/>
            <w:shd w:val="clear" w:color="auto" w:fill="F3F3F3"/>
          </w:tcPr>
          <w:p w:rsidR="00000000" w:rsidRDefault="00F90957">
            <w:pPr>
              <w:pStyle w:val="Picture"/>
              <w:jc w:val="right"/>
              <w:rPr>
                <w:rFonts w:ascii="Arial" w:hAnsi="Arial"/>
                <w:sz w:val="20"/>
                <w:szCs w:val="20"/>
              </w:rPr>
            </w:pPr>
            <w:r>
              <w:rPr>
                <w:rFonts w:ascii="Arial" w:hAnsi="Arial"/>
                <w:sz w:val="20"/>
                <w:szCs w:val="20"/>
              </w:rPr>
              <w:t>1</w:t>
            </w:r>
          </w:p>
        </w:tc>
      </w:tr>
      <w:tr w:rsidR="00000000">
        <w:trPr>
          <w:trHeight w:val="255"/>
        </w:trPr>
        <w:tc>
          <w:tcPr>
            <w:tcW w:w="0" w:type="auto"/>
            <w:gridSpan w:val="4"/>
          </w:tcPr>
          <w:p w:rsidR="00000000" w:rsidRDefault="00F90957">
            <w:pPr>
              <w:pStyle w:val="Picture"/>
            </w:pPr>
            <w:r>
              <w:t>Table 6.12: The correlation matrix for the ad hoc components. Based on the same data as the values in table</w:t>
            </w:r>
            <w:r>
              <w:t xml:space="preserve"> 6.11.</w:t>
            </w:r>
          </w:p>
        </w:tc>
      </w:tr>
    </w:tbl>
    <w:p w:rsidR="00000000" w:rsidRDefault="00F90957">
      <w:pPr>
        <w:pStyle w:val="Picture"/>
      </w:pPr>
      <w:r>
        <w:br w:type="textWrapping" w:clear="all"/>
      </w:r>
      <w:r>
        <w:t xml:space="preserve">                                                                      </w:t>
      </w:r>
    </w:p>
    <w:p w:rsidR="00000000" w:rsidRDefault="00F90957">
      <w:pPr>
        <w:pStyle w:val="Picture"/>
      </w:pPr>
      <w:r>
        <w:t>The theory for principal components states that the measures of the ad hoc components cannot be as high as the corresponding measures for the principal components, see Jolliffe</w:t>
      </w:r>
      <w:r>
        <w:t xml:space="preserve"> [1986] pages 9-10. However, the values do not differ much, suggesting that the ad hoc decomposition in (6.27) is satisfactory. The fact that the difference is not greater is not surprising if we look at the principal axes for the data sample (figure 6.13)</w:t>
      </w:r>
      <w:r>
        <w:t>. The axes are very similar to the pre-defined vectors illustrated in figure 6.5.</w:t>
      </w:r>
    </w:p>
    <w:p w:rsidR="00000000" w:rsidRDefault="00F90957">
      <w:pPr>
        <w:pStyle w:val="Picture"/>
      </w:pPr>
    </w:p>
    <w:p w:rsidR="00000000" w:rsidRDefault="00F90957">
      <w:pPr>
        <w:pStyle w:val="Picture"/>
      </w:pPr>
      <w:r>
        <w:rPr>
          <w:noProof/>
          <w:lang w:val="en-US"/>
        </w:rPr>
        <w:drawing>
          <wp:inline distT="0" distB="0" distL="0" distR="0">
            <wp:extent cx="2743200" cy="2457450"/>
            <wp:effectExtent l="0" t="0" r="0" b="0"/>
            <wp:docPr id="183" name="Object 18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0"/>
              </a:graphicData>
            </a:graphic>
          </wp:inline>
        </w:drawing>
      </w:r>
      <w:r>
        <w:rPr>
          <w:noProof/>
          <w:lang w:val="en-US"/>
        </w:rPr>
        <w:drawing>
          <wp:inline distT="0" distB="0" distL="0" distR="0">
            <wp:extent cx="2743200" cy="2466975"/>
            <wp:effectExtent l="0" t="0" r="0" b="0"/>
            <wp:docPr id="184" name="Object 18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1"/>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4320"/>
      </w:tblGrid>
      <w:tr w:rsidR="00000000">
        <w:tc>
          <w:tcPr>
            <w:tcW w:w="4320" w:type="dxa"/>
          </w:tcPr>
          <w:p w:rsidR="00000000" w:rsidRDefault="00F90957">
            <w:pPr>
              <w:pStyle w:val="Picture"/>
            </w:pPr>
            <w:r>
              <w:t>Figure 6.13 The principal axes for the daily zero curve movement at ten equidistant points between two years and ten</w:t>
            </w:r>
            <w:r>
              <w:t xml:space="preserve"> years. Based on data from June 1, 1998 to September 18, 2000. </w:t>
            </w:r>
          </w:p>
        </w:tc>
        <w:tc>
          <w:tcPr>
            <w:tcW w:w="4320" w:type="dxa"/>
          </w:tcPr>
          <w:p w:rsidR="00000000" w:rsidRDefault="00F90957">
            <w:pPr>
              <w:pStyle w:val="Picture"/>
            </w:pPr>
            <w:r>
              <w:t>Figure 6.14 The principal axes for the monthly zero curve movement at ten equidistant points between two years and ten years. Based on data from June 1, 1998 to September 18, 2000.</w:t>
            </w:r>
          </w:p>
        </w:tc>
      </w:tr>
    </w:tbl>
    <w:p w:rsidR="00000000" w:rsidRDefault="00F90957">
      <w:pPr>
        <w:pStyle w:val="Picture"/>
      </w:pPr>
    </w:p>
    <w:p w:rsidR="00000000" w:rsidRDefault="00F90957">
      <w:pPr>
        <w:pStyle w:val="Picture"/>
      </w:pPr>
      <w:r>
        <w:t>Table 6.1</w:t>
      </w:r>
      <w:r>
        <w:t>5 shows these measures for our components and the principal components of the monthly zero curve movement at 10 equidistant points between two years and ten years. The values are based on data from June 1, 1998 to October 10, 2000.</w:t>
      </w:r>
    </w:p>
    <w:p w:rsidR="00000000" w:rsidRDefault="00F90957"/>
    <w:tbl>
      <w:tblPr>
        <w:tblpPr w:leftFromText="141" w:rightFromText="141" w:vertAnchor="text" w:tblpY="1"/>
        <w:tblOverlap w:val="never"/>
        <w:tblW w:w="4032" w:type="dxa"/>
        <w:tblLayout w:type="fixed"/>
        <w:tblCellMar>
          <w:left w:w="0" w:type="dxa"/>
          <w:right w:w="0" w:type="dxa"/>
        </w:tblCellMar>
        <w:tblLook w:val="0000" w:firstRow="0" w:lastRow="0" w:firstColumn="0" w:lastColumn="0" w:noHBand="0" w:noVBand="0"/>
      </w:tblPr>
      <w:tblGrid>
        <w:gridCol w:w="1218"/>
        <w:gridCol w:w="1501"/>
        <w:gridCol w:w="1313"/>
      </w:tblGrid>
      <w:tr w:rsidR="00000000">
        <w:trPr>
          <w:trHeight w:val="255"/>
        </w:trPr>
        <w:tc>
          <w:tcPr>
            <w:tcW w:w="1218" w:type="dxa"/>
            <w:noWrap/>
            <w:vAlign w:val="bottom"/>
          </w:tcPr>
          <w:p w:rsidR="00000000" w:rsidRDefault="00F90957">
            <w:pPr>
              <w:rPr>
                <w:rFonts w:ascii="Arial" w:eastAsia="Arial Unicode MS" w:hAnsi="Arial" w:cs="Arial"/>
                <w:sz w:val="20"/>
                <w:szCs w:val="20"/>
              </w:rPr>
            </w:pPr>
          </w:p>
        </w:tc>
        <w:tc>
          <w:tcPr>
            <w:tcW w:w="2814" w:type="dxa"/>
            <w:gridSpan w:val="2"/>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Goodness-of-fit</w:t>
            </w:r>
          </w:p>
        </w:tc>
      </w:tr>
      <w:tr w:rsidR="00000000">
        <w:trPr>
          <w:trHeight w:val="255"/>
        </w:trPr>
        <w:tc>
          <w:tcPr>
            <w:tcW w:w="1218" w:type="dxa"/>
            <w:noWrap/>
            <w:vAlign w:val="bottom"/>
          </w:tcPr>
          <w:p w:rsidR="00000000" w:rsidRDefault="00F90957">
            <w:pPr>
              <w:rPr>
                <w:rFonts w:ascii="Arial" w:eastAsia="Arial Unicode MS" w:hAnsi="Arial" w:cs="Arial"/>
                <w:sz w:val="20"/>
                <w:szCs w:val="20"/>
              </w:rPr>
            </w:pPr>
          </w:p>
        </w:tc>
        <w:tc>
          <w:tcPr>
            <w:tcW w:w="1501"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Ad h</w:t>
            </w:r>
            <w:r>
              <w:rPr>
                <w:rFonts w:ascii="Arial" w:hAnsi="Arial" w:cs="Arial"/>
                <w:sz w:val="20"/>
                <w:szCs w:val="20"/>
              </w:rPr>
              <w:t>oc</w:t>
            </w:r>
          </w:p>
        </w:tc>
        <w:tc>
          <w:tcPr>
            <w:tcW w:w="1313" w:type="dxa"/>
            <w:shd w:val="clear" w:color="auto" w:fill="D9D9D9"/>
            <w:noWrap/>
            <w:vAlign w:val="bottom"/>
          </w:tcPr>
          <w:p w:rsidR="00000000" w:rsidRDefault="00F90957">
            <w:pPr>
              <w:jc w:val="center"/>
              <w:rPr>
                <w:rFonts w:ascii="Arial" w:eastAsia="Arial Unicode MS" w:hAnsi="Arial" w:cs="Arial"/>
                <w:sz w:val="20"/>
                <w:szCs w:val="20"/>
              </w:rPr>
            </w:pPr>
            <w:r>
              <w:rPr>
                <w:rFonts w:ascii="Arial" w:hAnsi="Arial" w:cs="Arial"/>
                <w:sz w:val="20"/>
                <w:szCs w:val="20"/>
              </w:rPr>
              <w:t>PC</w:t>
            </w:r>
          </w:p>
        </w:tc>
      </w:tr>
      <w:tr w:rsidR="00000000">
        <w:trPr>
          <w:trHeight w:val="255"/>
        </w:trPr>
        <w:tc>
          <w:tcPr>
            <w:tcW w:w="1218" w:type="dxa"/>
            <w:shd w:val="clear" w:color="auto" w:fill="D9D9D9"/>
            <w:noWrap/>
            <w:vAlign w:val="bottom"/>
          </w:tcPr>
          <w:p w:rsidR="00000000" w:rsidRDefault="00F90957">
            <w:pPr>
              <w:rPr>
                <w:rFonts w:ascii="Arial" w:eastAsia="Arial Unicode MS" w:hAnsi="Arial" w:cs="Arial"/>
                <w:sz w:val="20"/>
                <w:szCs w:val="20"/>
              </w:rPr>
            </w:pPr>
            <w:r>
              <w:rPr>
                <w:rFonts w:ascii="Arial" w:hAnsi="Arial" w:cs="Arial"/>
                <w:sz w:val="20"/>
                <w:szCs w:val="20"/>
              </w:rPr>
              <w:t>Shift</w:t>
            </w:r>
          </w:p>
        </w:tc>
        <w:tc>
          <w:tcPr>
            <w:tcW w:w="1501"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i/>
                <w:iCs/>
                <w:sz w:val="20"/>
                <w:szCs w:val="20"/>
              </w:rPr>
              <w:t>t</w:t>
            </w:r>
            <w:r>
              <w:rPr>
                <w:rFonts w:ascii="Arial" w:hAnsi="Arial" w:cs="Arial"/>
                <w:i/>
                <w:iCs/>
                <w:sz w:val="20"/>
                <w:szCs w:val="20"/>
                <w:vertAlign w:val="subscript"/>
              </w:rPr>
              <w:t>s</w:t>
            </w:r>
            <w:r>
              <w:rPr>
                <w:rFonts w:ascii="Arial" w:hAnsi="Arial" w:cs="Arial"/>
                <w:sz w:val="20"/>
                <w:szCs w:val="20"/>
              </w:rPr>
              <w:t xml:space="preserve"> =</w:t>
            </w:r>
            <w:r>
              <w:rPr>
                <w:rFonts w:ascii="Arial" w:hAnsi="Arial" w:cs="Arial"/>
                <w:i/>
                <w:iCs/>
                <w:sz w:val="20"/>
                <w:szCs w:val="20"/>
              </w:rPr>
              <w:t xml:space="preserve"> </w:t>
            </w:r>
            <w:r>
              <w:rPr>
                <w:rFonts w:ascii="Arial" w:hAnsi="Arial" w:cs="Arial"/>
                <w:sz w:val="20"/>
                <w:szCs w:val="20"/>
              </w:rPr>
              <w:t>0,933</w:t>
            </w:r>
          </w:p>
        </w:tc>
        <w:tc>
          <w:tcPr>
            <w:tcW w:w="1313"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i/>
                <w:iCs/>
                <w:sz w:val="20"/>
                <w:szCs w:val="20"/>
              </w:rPr>
              <w:t>t</w:t>
            </w:r>
            <w:r>
              <w:rPr>
                <w:rFonts w:ascii="Arial" w:hAnsi="Arial" w:cs="Arial"/>
                <w:sz w:val="20"/>
                <w:szCs w:val="20"/>
                <w:vertAlign w:val="subscript"/>
              </w:rPr>
              <w:t>1</w:t>
            </w:r>
            <w:r>
              <w:rPr>
                <w:rFonts w:ascii="Arial" w:hAnsi="Arial" w:cs="Arial"/>
                <w:sz w:val="20"/>
                <w:szCs w:val="20"/>
              </w:rPr>
              <w:t xml:space="preserve"> = 0,935</w:t>
            </w:r>
          </w:p>
        </w:tc>
      </w:tr>
      <w:tr w:rsidR="00000000">
        <w:trPr>
          <w:trHeight w:val="255"/>
        </w:trPr>
        <w:tc>
          <w:tcPr>
            <w:tcW w:w="1218" w:type="dxa"/>
            <w:shd w:val="clear" w:color="auto" w:fill="D9D9D9"/>
            <w:noWrap/>
            <w:vAlign w:val="bottom"/>
          </w:tcPr>
          <w:p w:rsidR="00000000" w:rsidRDefault="00F90957">
            <w:pPr>
              <w:rPr>
                <w:rFonts w:ascii="Arial" w:eastAsia="Arial Unicode MS" w:hAnsi="Arial" w:cs="Arial"/>
                <w:sz w:val="20"/>
                <w:szCs w:val="20"/>
              </w:rPr>
            </w:pPr>
            <w:r>
              <w:rPr>
                <w:rFonts w:ascii="Arial" w:hAnsi="Arial" w:cs="Arial"/>
                <w:sz w:val="20"/>
                <w:szCs w:val="20"/>
              </w:rPr>
              <w:t>Twist</w:t>
            </w:r>
          </w:p>
        </w:tc>
        <w:tc>
          <w:tcPr>
            <w:tcW w:w="1501" w:type="dxa"/>
            <w:shd w:val="clear" w:color="auto" w:fill="F3F3F3"/>
            <w:noWrap/>
            <w:vAlign w:val="bottom"/>
          </w:tcPr>
          <w:p w:rsidR="00000000" w:rsidRDefault="00F90957">
            <w:pPr>
              <w:jc w:val="right"/>
              <w:rPr>
                <w:rFonts w:ascii="Arial" w:eastAsia="Arial Unicode MS" w:hAnsi="Arial" w:cs="Arial"/>
                <w:sz w:val="20"/>
                <w:szCs w:val="20"/>
                <w:lang w:val="fr-FR"/>
              </w:rPr>
            </w:pPr>
            <w:r>
              <w:rPr>
                <w:rFonts w:ascii="Arial" w:hAnsi="Arial" w:cs="Arial"/>
                <w:i/>
                <w:iCs/>
                <w:sz w:val="20"/>
                <w:szCs w:val="20"/>
                <w:lang w:val="fr-FR"/>
              </w:rPr>
              <w:t>t</w:t>
            </w:r>
            <w:r>
              <w:rPr>
                <w:rFonts w:ascii="Arial" w:hAnsi="Arial" w:cs="Arial"/>
                <w:i/>
                <w:iCs/>
                <w:sz w:val="20"/>
                <w:szCs w:val="20"/>
                <w:vertAlign w:val="subscript"/>
              </w:rPr>
              <w:sym w:font="Symbol" w:char="F074"/>
            </w:r>
            <w:r>
              <w:rPr>
                <w:rFonts w:ascii="Arial" w:hAnsi="Arial" w:cs="Arial"/>
                <w:sz w:val="20"/>
                <w:szCs w:val="20"/>
                <w:lang w:val="fr-FR"/>
              </w:rPr>
              <w:t xml:space="preserve"> =</w:t>
            </w:r>
            <w:r>
              <w:rPr>
                <w:rFonts w:ascii="Arial" w:hAnsi="Arial" w:cs="Arial"/>
                <w:i/>
                <w:iCs/>
                <w:sz w:val="20"/>
                <w:szCs w:val="20"/>
                <w:lang w:val="fr-FR"/>
              </w:rPr>
              <w:t xml:space="preserve"> </w:t>
            </w:r>
            <w:r>
              <w:rPr>
                <w:rFonts w:ascii="Arial" w:hAnsi="Arial" w:cs="Arial"/>
                <w:sz w:val="20"/>
                <w:szCs w:val="20"/>
                <w:lang w:val="fr-FR"/>
              </w:rPr>
              <w:t>0,991</w:t>
            </w:r>
          </w:p>
        </w:tc>
        <w:tc>
          <w:tcPr>
            <w:tcW w:w="1313" w:type="dxa"/>
            <w:shd w:val="clear" w:color="auto" w:fill="F3F3F3"/>
            <w:noWrap/>
            <w:vAlign w:val="bottom"/>
          </w:tcPr>
          <w:p w:rsidR="00000000" w:rsidRDefault="00F90957">
            <w:pPr>
              <w:jc w:val="right"/>
              <w:rPr>
                <w:rFonts w:ascii="Arial" w:eastAsia="Arial Unicode MS" w:hAnsi="Arial" w:cs="Arial"/>
                <w:sz w:val="20"/>
                <w:szCs w:val="20"/>
                <w:lang w:val="fr-FR"/>
              </w:rPr>
            </w:pPr>
            <w:r>
              <w:rPr>
                <w:rFonts w:ascii="Arial" w:hAnsi="Arial" w:cs="Arial"/>
                <w:i/>
                <w:iCs/>
                <w:sz w:val="20"/>
                <w:szCs w:val="20"/>
                <w:lang w:val="fr-FR"/>
              </w:rPr>
              <w:t>t</w:t>
            </w:r>
            <w:r>
              <w:rPr>
                <w:rFonts w:ascii="Arial" w:hAnsi="Arial" w:cs="Arial"/>
                <w:sz w:val="20"/>
                <w:szCs w:val="20"/>
                <w:vertAlign w:val="subscript"/>
                <w:lang w:val="fr-FR"/>
              </w:rPr>
              <w:t>2</w:t>
            </w:r>
            <w:r>
              <w:rPr>
                <w:rFonts w:ascii="Arial" w:hAnsi="Arial" w:cs="Arial"/>
                <w:sz w:val="20"/>
                <w:szCs w:val="20"/>
                <w:lang w:val="fr-FR"/>
              </w:rPr>
              <w:t xml:space="preserve"> = 0,993</w:t>
            </w:r>
          </w:p>
        </w:tc>
      </w:tr>
      <w:tr w:rsidR="00000000">
        <w:trPr>
          <w:trHeight w:val="255"/>
        </w:trPr>
        <w:tc>
          <w:tcPr>
            <w:tcW w:w="1218" w:type="dxa"/>
            <w:shd w:val="clear" w:color="auto" w:fill="D9D9D9"/>
            <w:noWrap/>
            <w:vAlign w:val="bottom"/>
          </w:tcPr>
          <w:p w:rsidR="00000000" w:rsidRDefault="00F90957">
            <w:pPr>
              <w:rPr>
                <w:rFonts w:ascii="Arial" w:eastAsia="Arial Unicode MS" w:hAnsi="Arial" w:cs="Arial"/>
                <w:sz w:val="20"/>
                <w:szCs w:val="20"/>
                <w:lang w:val="fr-FR"/>
              </w:rPr>
            </w:pPr>
            <w:r>
              <w:rPr>
                <w:rFonts w:ascii="Arial" w:hAnsi="Arial" w:cs="Arial"/>
                <w:sz w:val="20"/>
                <w:szCs w:val="20"/>
                <w:lang w:val="fr-FR"/>
              </w:rPr>
              <w:t>Butterfly</w:t>
            </w:r>
          </w:p>
        </w:tc>
        <w:tc>
          <w:tcPr>
            <w:tcW w:w="1501"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i/>
                <w:iCs/>
                <w:sz w:val="20"/>
                <w:szCs w:val="20"/>
              </w:rPr>
              <w:t>t</w:t>
            </w:r>
            <w:r>
              <w:rPr>
                <w:rFonts w:ascii="Arial" w:hAnsi="Arial" w:cs="Arial"/>
                <w:i/>
                <w:iCs/>
                <w:sz w:val="20"/>
                <w:szCs w:val="20"/>
                <w:vertAlign w:val="subscript"/>
              </w:rPr>
              <w:t>b</w:t>
            </w:r>
            <w:r>
              <w:rPr>
                <w:rFonts w:ascii="Arial" w:hAnsi="Arial" w:cs="Arial"/>
                <w:sz w:val="20"/>
                <w:szCs w:val="20"/>
              </w:rPr>
              <w:t xml:space="preserve"> =</w:t>
            </w:r>
            <w:r>
              <w:rPr>
                <w:rFonts w:ascii="Arial" w:hAnsi="Arial" w:cs="Arial"/>
                <w:i/>
                <w:iCs/>
                <w:sz w:val="20"/>
                <w:szCs w:val="20"/>
              </w:rPr>
              <w:t xml:space="preserve"> </w:t>
            </w:r>
            <w:r>
              <w:rPr>
                <w:rFonts w:ascii="Arial" w:hAnsi="Arial" w:cs="Arial"/>
                <w:sz w:val="20"/>
                <w:szCs w:val="20"/>
              </w:rPr>
              <w:t>0,996</w:t>
            </w:r>
          </w:p>
        </w:tc>
        <w:tc>
          <w:tcPr>
            <w:tcW w:w="1313" w:type="dxa"/>
            <w:shd w:val="clear" w:color="auto" w:fill="F3F3F3"/>
            <w:noWrap/>
            <w:vAlign w:val="bottom"/>
          </w:tcPr>
          <w:p w:rsidR="00000000" w:rsidRDefault="00F90957">
            <w:pPr>
              <w:jc w:val="right"/>
              <w:rPr>
                <w:rFonts w:ascii="Arial" w:eastAsia="Arial Unicode MS" w:hAnsi="Arial" w:cs="Arial"/>
                <w:sz w:val="20"/>
                <w:szCs w:val="20"/>
              </w:rPr>
            </w:pPr>
            <w:r>
              <w:rPr>
                <w:rFonts w:ascii="Arial" w:hAnsi="Arial" w:cs="Arial"/>
                <w:i/>
                <w:iCs/>
                <w:sz w:val="20"/>
                <w:szCs w:val="20"/>
              </w:rPr>
              <w:t>t</w:t>
            </w:r>
            <w:r>
              <w:rPr>
                <w:rFonts w:ascii="Arial" w:hAnsi="Arial" w:cs="Arial"/>
                <w:sz w:val="20"/>
                <w:szCs w:val="20"/>
                <w:vertAlign w:val="subscript"/>
              </w:rPr>
              <w:t>3</w:t>
            </w:r>
            <w:r>
              <w:rPr>
                <w:rFonts w:ascii="Arial" w:hAnsi="Arial" w:cs="Arial"/>
                <w:sz w:val="20"/>
                <w:szCs w:val="20"/>
              </w:rPr>
              <w:t xml:space="preserve"> = 0,998</w:t>
            </w:r>
          </w:p>
        </w:tc>
      </w:tr>
      <w:tr w:rsidR="00000000">
        <w:trPr>
          <w:trHeight w:val="255"/>
        </w:trPr>
        <w:tc>
          <w:tcPr>
            <w:tcW w:w="4032" w:type="dxa"/>
            <w:gridSpan w:val="3"/>
            <w:noWrap/>
          </w:tcPr>
          <w:p w:rsidR="00000000" w:rsidRDefault="00F90957">
            <w:r>
              <w:t>Table 6.15: Measures of ‘goodness-of-fit’ for ad hoc components and principal components of the monthly zero curve movement. Based on data from June 1, 1998 t</w:t>
            </w:r>
            <w:r>
              <w:t>o October 10, 2000</w:t>
            </w:r>
          </w:p>
        </w:tc>
      </w:tr>
    </w:tbl>
    <w:tbl>
      <w:tblPr>
        <w:tblW w:w="4026" w:type="dxa"/>
        <w:tblInd w:w="468" w:type="dxa"/>
        <w:tblLook w:val="01E0" w:firstRow="1" w:lastRow="1" w:firstColumn="1" w:lastColumn="1" w:noHBand="0" w:noVBand="0"/>
      </w:tblPr>
      <w:tblGrid>
        <w:gridCol w:w="594"/>
        <w:gridCol w:w="1144"/>
        <w:gridCol w:w="1144"/>
        <w:gridCol w:w="1144"/>
      </w:tblGrid>
      <w:tr w:rsidR="00000000">
        <w:trPr>
          <w:trHeight w:val="255"/>
        </w:trPr>
        <w:tc>
          <w:tcPr>
            <w:tcW w:w="0" w:type="auto"/>
          </w:tcPr>
          <w:p w:rsidR="00000000" w:rsidRDefault="00F90957">
            <w:pPr>
              <w:pStyle w:val="Picture"/>
            </w:pPr>
          </w:p>
        </w:tc>
        <w:tc>
          <w:tcPr>
            <w:tcW w:w="0" w:type="auto"/>
            <w:shd w:val="clear" w:color="auto" w:fill="D9D9D9"/>
          </w:tcPr>
          <w:p w:rsidR="00000000" w:rsidRDefault="00F90957">
            <w:pPr>
              <w:pStyle w:val="Picture"/>
              <w:jc w:val="center"/>
            </w:pPr>
            <w:r>
              <w:t>s</w:t>
            </w:r>
          </w:p>
        </w:tc>
        <w:tc>
          <w:tcPr>
            <w:tcW w:w="0" w:type="auto"/>
            <w:shd w:val="clear" w:color="auto" w:fill="D9D9D9"/>
          </w:tcPr>
          <w:p w:rsidR="00000000" w:rsidRDefault="00F90957">
            <w:pPr>
              <w:pStyle w:val="Picture"/>
              <w:jc w:val="center"/>
            </w:pPr>
            <w:r>
              <w:t>τ</w:t>
            </w:r>
          </w:p>
        </w:tc>
        <w:tc>
          <w:tcPr>
            <w:tcW w:w="0" w:type="auto"/>
            <w:shd w:val="clear" w:color="auto" w:fill="D9D9D9"/>
          </w:tcPr>
          <w:p w:rsidR="00000000" w:rsidRDefault="00F90957">
            <w:pPr>
              <w:pStyle w:val="Picture"/>
              <w:jc w:val="center"/>
            </w:pPr>
            <w:r>
              <w:t>b</w:t>
            </w:r>
          </w:p>
        </w:tc>
      </w:tr>
      <w:tr w:rsidR="00000000">
        <w:trPr>
          <w:trHeight w:val="255"/>
        </w:trPr>
        <w:tc>
          <w:tcPr>
            <w:tcW w:w="0" w:type="auto"/>
            <w:shd w:val="clear" w:color="auto" w:fill="D9D9D9"/>
          </w:tcPr>
          <w:p w:rsidR="00000000" w:rsidRDefault="00F90957">
            <w:pPr>
              <w:pStyle w:val="Picture"/>
              <w:jc w:val="right"/>
            </w:pPr>
            <w:r>
              <w:t>s</w:t>
            </w:r>
          </w:p>
        </w:tc>
        <w:tc>
          <w:tcPr>
            <w:tcW w:w="0" w:type="auto"/>
            <w:shd w:val="clear" w:color="auto" w:fill="F3F3F3"/>
          </w:tcPr>
          <w:p w:rsidR="00000000" w:rsidRDefault="00F90957">
            <w:pPr>
              <w:pStyle w:val="Picture"/>
              <w:jc w:val="right"/>
              <w:rPr>
                <w:rFonts w:ascii="Arial" w:hAnsi="Arial"/>
                <w:sz w:val="20"/>
                <w:szCs w:val="20"/>
              </w:rPr>
            </w:pPr>
            <w:r>
              <w:rPr>
                <w:rFonts w:ascii="Arial" w:hAnsi="Arial"/>
                <w:sz w:val="20"/>
                <w:szCs w:val="20"/>
              </w:rPr>
              <w:t>1</w:t>
            </w:r>
          </w:p>
        </w:tc>
        <w:tc>
          <w:tcPr>
            <w:tcW w:w="0" w:type="auto"/>
            <w:shd w:val="clear" w:color="auto" w:fill="F3F3F3"/>
          </w:tcPr>
          <w:p w:rsidR="00000000" w:rsidRDefault="00F90957">
            <w:pPr>
              <w:pStyle w:val="Picture"/>
              <w:jc w:val="right"/>
              <w:rPr>
                <w:rFonts w:ascii="Arial" w:hAnsi="Arial"/>
                <w:sz w:val="20"/>
                <w:szCs w:val="20"/>
              </w:rPr>
            </w:pPr>
            <w:r>
              <w:rPr>
                <w:rFonts w:ascii="Arial" w:hAnsi="Arial"/>
                <w:sz w:val="20"/>
                <w:szCs w:val="20"/>
              </w:rPr>
              <w:t>0,00</w:t>
            </w:r>
          </w:p>
        </w:tc>
        <w:tc>
          <w:tcPr>
            <w:tcW w:w="0" w:type="auto"/>
            <w:shd w:val="clear" w:color="auto" w:fill="F3F3F3"/>
          </w:tcPr>
          <w:p w:rsidR="00000000" w:rsidRDefault="00F90957">
            <w:pPr>
              <w:pStyle w:val="Picture"/>
              <w:jc w:val="right"/>
              <w:rPr>
                <w:rFonts w:ascii="Arial" w:hAnsi="Arial"/>
                <w:sz w:val="20"/>
                <w:szCs w:val="20"/>
              </w:rPr>
            </w:pPr>
            <w:r>
              <w:rPr>
                <w:rFonts w:ascii="Arial" w:hAnsi="Arial"/>
                <w:sz w:val="20"/>
                <w:szCs w:val="20"/>
              </w:rPr>
              <w:t>-0,49</w:t>
            </w:r>
          </w:p>
        </w:tc>
      </w:tr>
      <w:tr w:rsidR="00000000">
        <w:trPr>
          <w:trHeight w:val="255"/>
        </w:trPr>
        <w:tc>
          <w:tcPr>
            <w:tcW w:w="0" w:type="auto"/>
            <w:shd w:val="clear" w:color="auto" w:fill="D9D9D9"/>
          </w:tcPr>
          <w:p w:rsidR="00000000" w:rsidRDefault="00F90957">
            <w:pPr>
              <w:pStyle w:val="Picture"/>
              <w:jc w:val="right"/>
            </w:pPr>
            <w:r>
              <w:t>τ</w:t>
            </w:r>
          </w:p>
        </w:tc>
        <w:tc>
          <w:tcPr>
            <w:tcW w:w="0" w:type="auto"/>
            <w:shd w:val="clear" w:color="auto" w:fill="F3F3F3"/>
          </w:tcPr>
          <w:p w:rsidR="00000000" w:rsidRDefault="00F90957">
            <w:pPr>
              <w:pStyle w:val="Picture"/>
              <w:jc w:val="right"/>
              <w:rPr>
                <w:rFonts w:ascii="Arial" w:hAnsi="Arial"/>
                <w:sz w:val="20"/>
                <w:szCs w:val="20"/>
              </w:rPr>
            </w:pPr>
            <w:r>
              <w:rPr>
                <w:rFonts w:ascii="Arial" w:hAnsi="Arial"/>
                <w:sz w:val="20"/>
                <w:szCs w:val="20"/>
              </w:rPr>
              <w:t>0,00</w:t>
            </w:r>
          </w:p>
        </w:tc>
        <w:tc>
          <w:tcPr>
            <w:tcW w:w="0" w:type="auto"/>
            <w:shd w:val="clear" w:color="auto" w:fill="F3F3F3"/>
          </w:tcPr>
          <w:p w:rsidR="00000000" w:rsidRDefault="00F90957">
            <w:pPr>
              <w:pStyle w:val="Picture"/>
              <w:jc w:val="right"/>
              <w:rPr>
                <w:rFonts w:ascii="Arial" w:hAnsi="Arial"/>
                <w:sz w:val="20"/>
                <w:szCs w:val="20"/>
              </w:rPr>
            </w:pPr>
            <w:r>
              <w:rPr>
                <w:rFonts w:ascii="Arial" w:hAnsi="Arial"/>
                <w:sz w:val="20"/>
                <w:szCs w:val="20"/>
              </w:rPr>
              <w:t>1</w:t>
            </w:r>
          </w:p>
        </w:tc>
        <w:tc>
          <w:tcPr>
            <w:tcW w:w="0" w:type="auto"/>
            <w:shd w:val="clear" w:color="auto" w:fill="F3F3F3"/>
          </w:tcPr>
          <w:p w:rsidR="00000000" w:rsidRDefault="00F90957">
            <w:pPr>
              <w:pStyle w:val="Picture"/>
              <w:jc w:val="right"/>
              <w:rPr>
                <w:rFonts w:ascii="Arial" w:hAnsi="Arial"/>
                <w:sz w:val="20"/>
                <w:szCs w:val="20"/>
              </w:rPr>
            </w:pPr>
            <w:r>
              <w:rPr>
                <w:rFonts w:ascii="Arial" w:hAnsi="Arial"/>
                <w:sz w:val="20"/>
                <w:szCs w:val="20"/>
              </w:rPr>
              <w:t>-0,11</w:t>
            </w:r>
          </w:p>
        </w:tc>
      </w:tr>
      <w:tr w:rsidR="00000000">
        <w:trPr>
          <w:trHeight w:val="255"/>
        </w:trPr>
        <w:tc>
          <w:tcPr>
            <w:tcW w:w="0" w:type="auto"/>
            <w:shd w:val="clear" w:color="auto" w:fill="D9D9D9"/>
          </w:tcPr>
          <w:p w:rsidR="00000000" w:rsidRDefault="00F90957">
            <w:pPr>
              <w:pStyle w:val="Picture"/>
              <w:jc w:val="right"/>
            </w:pPr>
            <w:r>
              <w:t>b</w:t>
            </w:r>
          </w:p>
        </w:tc>
        <w:tc>
          <w:tcPr>
            <w:tcW w:w="0" w:type="auto"/>
            <w:shd w:val="clear" w:color="auto" w:fill="F3F3F3"/>
          </w:tcPr>
          <w:p w:rsidR="00000000" w:rsidRDefault="00F90957">
            <w:pPr>
              <w:pStyle w:val="Picture"/>
              <w:jc w:val="right"/>
              <w:rPr>
                <w:rFonts w:ascii="Arial" w:hAnsi="Arial"/>
                <w:sz w:val="20"/>
                <w:szCs w:val="20"/>
              </w:rPr>
            </w:pPr>
            <w:r>
              <w:rPr>
                <w:rFonts w:ascii="Arial" w:hAnsi="Arial"/>
                <w:sz w:val="20"/>
                <w:szCs w:val="20"/>
              </w:rPr>
              <w:t>-0,49</w:t>
            </w:r>
          </w:p>
        </w:tc>
        <w:tc>
          <w:tcPr>
            <w:tcW w:w="0" w:type="auto"/>
            <w:shd w:val="clear" w:color="auto" w:fill="F3F3F3"/>
          </w:tcPr>
          <w:p w:rsidR="00000000" w:rsidRDefault="00F90957">
            <w:pPr>
              <w:pStyle w:val="Picture"/>
              <w:jc w:val="right"/>
              <w:rPr>
                <w:rFonts w:ascii="Arial" w:hAnsi="Arial"/>
                <w:sz w:val="20"/>
                <w:szCs w:val="20"/>
              </w:rPr>
            </w:pPr>
            <w:r>
              <w:rPr>
                <w:rFonts w:ascii="Arial" w:hAnsi="Arial"/>
                <w:sz w:val="20"/>
                <w:szCs w:val="20"/>
              </w:rPr>
              <w:t>-0,11</w:t>
            </w:r>
          </w:p>
        </w:tc>
        <w:tc>
          <w:tcPr>
            <w:tcW w:w="0" w:type="auto"/>
            <w:shd w:val="clear" w:color="auto" w:fill="F3F3F3"/>
          </w:tcPr>
          <w:p w:rsidR="00000000" w:rsidRDefault="00F90957">
            <w:pPr>
              <w:pStyle w:val="Picture"/>
              <w:jc w:val="right"/>
              <w:rPr>
                <w:rFonts w:ascii="Arial" w:hAnsi="Arial"/>
                <w:sz w:val="20"/>
                <w:szCs w:val="20"/>
              </w:rPr>
            </w:pPr>
            <w:r>
              <w:rPr>
                <w:rFonts w:ascii="Arial" w:hAnsi="Arial"/>
                <w:sz w:val="20"/>
                <w:szCs w:val="20"/>
              </w:rPr>
              <w:t>1</w:t>
            </w:r>
          </w:p>
        </w:tc>
      </w:tr>
      <w:tr w:rsidR="00000000">
        <w:trPr>
          <w:trHeight w:val="255"/>
        </w:trPr>
        <w:tc>
          <w:tcPr>
            <w:tcW w:w="0" w:type="auto"/>
            <w:gridSpan w:val="4"/>
          </w:tcPr>
          <w:p w:rsidR="00000000" w:rsidRDefault="00F90957">
            <w:pPr>
              <w:pStyle w:val="Picture"/>
            </w:pPr>
            <w:r>
              <w:t xml:space="preserve">Table 6.16: The correlation matrix for the ad hoc components. Based on the </w:t>
            </w:r>
          </w:p>
          <w:p w:rsidR="00000000" w:rsidRDefault="00F90957">
            <w:pPr>
              <w:pStyle w:val="Picture"/>
            </w:pPr>
            <w:r>
              <w:t>same data as the values in table 6.14.</w:t>
            </w:r>
          </w:p>
        </w:tc>
      </w:tr>
    </w:tbl>
    <w:p w:rsidR="00000000" w:rsidRDefault="00F90957">
      <w:pPr>
        <w:pStyle w:val="Picture"/>
      </w:pPr>
      <w:r>
        <w:t xml:space="preserve">                                                               </w:t>
      </w:r>
      <w:r>
        <w:t xml:space="preserve">           </w:t>
      </w:r>
    </w:p>
    <w:p w:rsidR="00000000" w:rsidRDefault="00F90957">
      <w:pPr>
        <w:pStyle w:val="Picture"/>
      </w:pPr>
    </w:p>
    <w:p w:rsidR="00000000" w:rsidRDefault="00F90957">
      <w:pPr>
        <w:pStyle w:val="Picture"/>
      </w:pPr>
    </w:p>
    <w:p w:rsidR="00000000" w:rsidRDefault="00F90957">
      <w:pPr>
        <w:pStyle w:val="Picture"/>
      </w:pPr>
    </w:p>
    <w:p w:rsidR="00000000" w:rsidRDefault="00F90957">
      <w:pPr>
        <w:pStyle w:val="Picture"/>
      </w:pPr>
      <w:r>
        <w:t>As shown if figure 6.15, the principal axes of the monthly zero curve movement are also similar to the pre-defined vectors.</w:t>
      </w:r>
    </w:p>
    <w:p w:rsidR="00000000" w:rsidRDefault="00F90957">
      <w:pPr>
        <w:pStyle w:val="Picture"/>
      </w:pPr>
    </w:p>
    <w:p w:rsidR="00000000" w:rsidRDefault="00F90957">
      <w:pPr>
        <w:pStyle w:val="Picture"/>
      </w:pPr>
    </w:p>
    <w:p w:rsidR="00000000" w:rsidRDefault="00F90957">
      <w:pPr>
        <w:pStyle w:val="Heading1"/>
      </w:pPr>
      <w:r>
        <w:br w:type="page"/>
      </w:r>
      <w:bookmarkStart w:id="39" w:name="_Toc38162695"/>
      <w:r>
        <w:t>7 Summary</w:t>
      </w:r>
      <w:bookmarkEnd w:id="39"/>
    </w:p>
    <w:p w:rsidR="00000000" w:rsidRDefault="00F90957">
      <w:r>
        <w:t>In this report is described how to perform an attribution analysis for a bond portfolio. The popular fra</w:t>
      </w:r>
      <w:r>
        <w:t>mework for attributing the excess return over a benchmark – performance attribution – is presented in chapter three. It should be quite straightforward to use once the weights and returns of the portfolio in the different sectors have been defined. However</w:t>
      </w:r>
      <w:r>
        <w:t>, this is not as straightforward if the portfolio has been subject to cash flows. Formulas for determining time-weighted rates-of-return and corresponding weights of the sectors are presented in chapter four. They require keeping track of the cash flows in</w:t>
      </w:r>
      <w:r>
        <w:t xml:space="preserve"> or out of the sub-portfolios used in the attribution analysis. The performance attribution part of the report ends with a description of how to link attribution results from several periods.</w:t>
      </w:r>
    </w:p>
    <w:p w:rsidR="00000000" w:rsidRDefault="00F90957">
      <w:r>
        <w:t xml:space="preserve">  A return attribution model is suggested for attributing a bond</w:t>
      </w:r>
      <w:r>
        <w:t>’s return to different types of yield curve movements. So called shift, twist and butterfly movements are defined based on three orthonormal vectors. The model has been implemented and tested on data from the Swedish government bond market. ‘Goodness-of-fi</w:t>
      </w:r>
      <w:r>
        <w:t>t’ comparisons with principal components show that the shift, twist and butterfly vectors capture most of the variance of the yield curve movement.</w:t>
      </w:r>
    </w:p>
    <w:p w:rsidR="00000000" w:rsidRDefault="00F90957">
      <w:pPr>
        <w:pStyle w:val="Heading1"/>
      </w:pPr>
      <w:r>
        <w:br w:type="page"/>
      </w:r>
      <w:bookmarkStart w:id="40" w:name="_Toc38162696"/>
      <w:r>
        <w:t>8 References</w:t>
      </w:r>
      <w:bookmarkEnd w:id="40"/>
    </w:p>
    <w:p w:rsidR="00000000" w:rsidRDefault="00F90957">
      <w:pPr>
        <w:rPr>
          <w:lang w:val="en-US"/>
        </w:rPr>
      </w:pPr>
      <w:r>
        <w:rPr>
          <w:lang w:val="en-US"/>
        </w:rPr>
        <w:t xml:space="preserve">Brinson, G.P., R. Hood, and G.L. Beebower. “Determinants of Portfolio Performance.” </w:t>
      </w:r>
      <w:r>
        <w:rPr>
          <w:i/>
          <w:iCs/>
          <w:lang w:val="en-US"/>
        </w:rPr>
        <w:t xml:space="preserve">Financial </w:t>
      </w:r>
      <w:r>
        <w:rPr>
          <w:i/>
          <w:iCs/>
          <w:lang w:val="en-US"/>
        </w:rPr>
        <w:t>Analysts Journal</w:t>
      </w:r>
      <w:r>
        <w:rPr>
          <w:lang w:val="en-US"/>
        </w:rPr>
        <w:t>, July/August 1986, pp. 39-44</w:t>
      </w:r>
    </w:p>
    <w:p w:rsidR="00000000" w:rsidRDefault="00F90957">
      <w:pPr>
        <w:rPr>
          <w:lang w:val="en-US"/>
        </w:rPr>
      </w:pPr>
    </w:p>
    <w:p w:rsidR="00000000" w:rsidRDefault="00F90957">
      <w:pPr>
        <w:rPr>
          <w:lang w:val="en-US"/>
        </w:rPr>
      </w:pPr>
      <w:r>
        <w:rPr>
          <w:lang w:val="en-US"/>
        </w:rPr>
        <w:t xml:space="preserve">Brown, P.J. </w:t>
      </w:r>
      <w:r>
        <w:rPr>
          <w:i/>
          <w:iCs/>
          <w:lang w:val="en-US"/>
        </w:rPr>
        <w:t>Bond Markets Structures and Yield Calculations</w:t>
      </w:r>
      <w:r>
        <w:rPr>
          <w:lang w:val="en-US"/>
        </w:rPr>
        <w:t>. New-York: Amacom, 1998</w:t>
      </w:r>
    </w:p>
    <w:p w:rsidR="00000000" w:rsidRDefault="00F90957">
      <w:pPr>
        <w:rPr>
          <w:lang w:val="en-US"/>
        </w:rPr>
      </w:pPr>
    </w:p>
    <w:p w:rsidR="00000000" w:rsidRDefault="00F90957">
      <w:pPr>
        <w:rPr>
          <w:lang w:val="en-US"/>
        </w:rPr>
      </w:pPr>
      <w:r>
        <w:rPr>
          <w:lang w:val="en-US"/>
        </w:rPr>
        <w:t xml:space="preserve">Cariño, D.R. “Combining Attribution Effects over Time.” </w:t>
      </w:r>
      <w:r>
        <w:rPr>
          <w:i/>
          <w:lang w:val="en-US"/>
        </w:rPr>
        <w:t>The Journal of Performance Measurement</w:t>
      </w:r>
      <w:r>
        <w:rPr>
          <w:lang w:val="en-US"/>
        </w:rPr>
        <w:t xml:space="preserve">, Fall 1998 </w:t>
      </w:r>
    </w:p>
    <w:p w:rsidR="00000000" w:rsidRDefault="00F90957">
      <w:pPr>
        <w:rPr>
          <w:lang w:val="en-US"/>
        </w:rPr>
      </w:pPr>
    </w:p>
    <w:p w:rsidR="00000000" w:rsidRDefault="00F90957">
      <w:pPr>
        <w:rPr>
          <w:lang w:val="en-US"/>
        </w:rPr>
      </w:pPr>
      <w:r>
        <w:rPr>
          <w:lang w:val="en-US"/>
        </w:rPr>
        <w:t>Dynkin, L., J. Hy</w:t>
      </w:r>
      <w:r>
        <w:rPr>
          <w:lang w:val="en-US"/>
        </w:rPr>
        <w:t xml:space="preserve">man, and V. Konstantinovsky ”A Return Attribution Model for Fixed Income Securities.” In F.Fabozzi, ed., </w:t>
      </w:r>
      <w:r>
        <w:rPr>
          <w:i/>
          <w:iCs/>
          <w:lang w:val="en-US"/>
        </w:rPr>
        <w:t>Handbook of Portfolio Management</w:t>
      </w:r>
      <w:r>
        <w:rPr>
          <w:lang w:val="en-US"/>
        </w:rPr>
        <w:t xml:space="preserve">, McGraw-Hill, 1998, pp. </w:t>
      </w:r>
    </w:p>
    <w:p w:rsidR="00000000" w:rsidRDefault="00F90957">
      <w:pPr>
        <w:rPr>
          <w:lang w:val="en-US"/>
        </w:rPr>
      </w:pPr>
    </w:p>
    <w:p w:rsidR="00000000" w:rsidRDefault="00F90957">
      <w:pPr>
        <w:rPr>
          <w:lang w:val="en-US"/>
        </w:rPr>
      </w:pPr>
      <w:r>
        <w:rPr>
          <w:lang w:val="en-US"/>
        </w:rPr>
        <w:t xml:space="preserve">Dynkin, L., J. Hyman, and P.Vankudre. </w:t>
      </w:r>
      <w:r>
        <w:rPr>
          <w:i/>
          <w:iCs/>
          <w:lang w:val="en-US"/>
        </w:rPr>
        <w:t>Attribution of Portfolio Performance Relative to an In</w:t>
      </w:r>
      <w:r>
        <w:rPr>
          <w:i/>
          <w:iCs/>
          <w:lang w:val="en-US"/>
        </w:rPr>
        <w:t>dex</w:t>
      </w:r>
      <w:r>
        <w:rPr>
          <w:lang w:val="en-US"/>
        </w:rPr>
        <w:t xml:space="preserve">. Lehman Brothers, March 1998 </w:t>
      </w:r>
    </w:p>
    <w:p w:rsidR="00000000" w:rsidRDefault="00F90957">
      <w:pPr>
        <w:rPr>
          <w:lang w:val="en-US"/>
        </w:rPr>
      </w:pPr>
    </w:p>
    <w:p w:rsidR="00000000" w:rsidRDefault="00F90957">
      <w:pPr>
        <w:rPr>
          <w:lang w:val="en-US"/>
        </w:rPr>
      </w:pPr>
      <w:r>
        <w:rPr>
          <w:lang w:val="en-US"/>
        </w:rPr>
        <w:t xml:space="preserve">Jolliffe, I.T. </w:t>
      </w:r>
      <w:r>
        <w:rPr>
          <w:i/>
          <w:iCs/>
          <w:lang w:val="en-US"/>
        </w:rPr>
        <w:t>Principal Component Analysis</w:t>
      </w:r>
      <w:r>
        <w:rPr>
          <w:lang w:val="en-US"/>
        </w:rPr>
        <w:t xml:space="preserve">. New York: Springer-Verlag, 1986 </w:t>
      </w:r>
    </w:p>
    <w:p w:rsidR="00000000" w:rsidRDefault="00F90957">
      <w:pPr>
        <w:rPr>
          <w:lang w:val="en-US"/>
        </w:rPr>
      </w:pPr>
    </w:p>
    <w:p w:rsidR="00000000" w:rsidRDefault="00F90957">
      <w:pPr>
        <w:rPr>
          <w:lang w:val="en-US"/>
        </w:rPr>
      </w:pPr>
      <w:r>
        <w:rPr>
          <w:lang w:val="en-US"/>
        </w:rPr>
        <w:t xml:space="preserve">Kuberek, R.C. “Term Structure Factor Models.” In F. Fabozzi, ed., </w:t>
      </w:r>
      <w:r>
        <w:rPr>
          <w:i/>
          <w:iCs/>
          <w:lang w:val="en-US"/>
        </w:rPr>
        <w:t>Handbook of Portfolio Management</w:t>
      </w:r>
      <w:r>
        <w:rPr>
          <w:lang w:val="en-US"/>
        </w:rPr>
        <w:t xml:space="preserve">, McGraw-Hill, 1998, pp.  </w:t>
      </w:r>
    </w:p>
    <w:p w:rsidR="00000000" w:rsidRDefault="00F90957">
      <w:pPr>
        <w:rPr>
          <w:lang w:val="en-US"/>
        </w:rPr>
      </w:pPr>
    </w:p>
    <w:p w:rsidR="00000000" w:rsidRDefault="00F90957">
      <w:pPr>
        <w:rPr>
          <w:lang w:val="en-US"/>
        </w:rPr>
      </w:pPr>
      <w:r>
        <w:rPr>
          <w:lang w:val="en-US"/>
        </w:rPr>
        <w:t>Litterman, R., a</w:t>
      </w:r>
      <w:r>
        <w:rPr>
          <w:lang w:val="en-US"/>
        </w:rPr>
        <w:t xml:space="preserve">nd J. Scheinkman. “Common Factors Affecting Bond Returns.” </w:t>
      </w:r>
      <w:r>
        <w:rPr>
          <w:i/>
          <w:iCs/>
          <w:lang w:val="en-US"/>
        </w:rPr>
        <w:t>Journal of Fixed Income</w:t>
      </w:r>
      <w:r>
        <w:rPr>
          <w:lang w:val="en-US"/>
        </w:rPr>
        <w:t xml:space="preserve">, December 1994, pp. 54-61. </w:t>
      </w:r>
    </w:p>
    <w:p w:rsidR="00000000" w:rsidRDefault="00F90957">
      <w:pPr>
        <w:rPr>
          <w:lang w:val="en-US"/>
        </w:rPr>
      </w:pPr>
    </w:p>
    <w:p w:rsidR="00000000" w:rsidRDefault="00F90957">
      <w:pPr>
        <w:rPr>
          <w:lang w:val="en-US"/>
        </w:rPr>
      </w:pPr>
      <w:r>
        <w:rPr>
          <w:lang w:val="en-US"/>
        </w:rPr>
        <w:t xml:space="preserve">Singer, B.D., and D.S. Karnosky. ”The General Framework for Global Investment Management and Performance Attribution.” </w:t>
      </w:r>
      <w:r>
        <w:rPr>
          <w:i/>
          <w:iCs/>
          <w:lang w:val="en-US"/>
        </w:rPr>
        <w:t>Journal of Portfolio Mana</w:t>
      </w:r>
      <w:r>
        <w:rPr>
          <w:i/>
          <w:iCs/>
          <w:lang w:val="en-US"/>
        </w:rPr>
        <w:t>gement</w:t>
      </w:r>
      <w:r>
        <w:rPr>
          <w:lang w:val="en-US"/>
        </w:rPr>
        <w:t>, Winter 1995, pp. 84-92.</w:t>
      </w:r>
    </w:p>
    <w:p w:rsidR="00000000" w:rsidRDefault="00F90957">
      <w:pPr>
        <w:rPr>
          <w:lang w:val="en-US"/>
        </w:rPr>
      </w:pPr>
    </w:p>
    <w:p w:rsidR="00000000" w:rsidRDefault="00F90957">
      <w:pPr>
        <w:rPr>
          <w:lang w:val="en-US"/>
        </w:rPr>
      </w:pPr>
      <w:r>
        <w:rPr>
          <w:lang w:val="en-US"/>
        </w:rPr>
        <w:t>Valtonen, E. “A formula for calculation of IRR.” Internal working paper, The Third Swedish National Pension Fund (AP3), 2000</w:t>
      </w:r>
    </w:p>
    <w:p w:rsidR="00000000" w:rsidRDefault="00F90957">
      <w:pPr>
        <w:rPr>
          <w:lang w:val="en-US"/>
        </w:rPr>
      </w:pPr>
    </w:p>
    <w:p w:rsidR="00000000" w:rsidRDefault="00F90957">
      <w:r>
        <w:t>Valtonen, E. “Interpolation methods.” Internal working paper, Handelsbanken Markets, 1998</w:t>
      </w:r>
    </w:p>
    <w:p w:rsidR="00000000" w:rsidRDefault="00F90957">
      <w:pPr>
        <w:pStyle w:val="Heading1"/>
      </w:pPr>
      <w:bookmarkStart w:id="41" w:name="_Toc38162697"/>
      <w:r>
        <w:t>Appendi</w:t>
      </w:r>
      <w:r>
        <w:t>x A</w:t>
      </w:r>
      <w:bookmarkEnd w:id="41"/>
    </w:p>
    <w:p w:rsidR="00000000" w:rsidRDefault="00F90957">
      <w:r>
        <w:t>Principal component analysis</w:t>
      </w:r>
    </w:p>
    <w:p w:rsidR="00000000" w:rsidRDefault="00F90957"/>
    <w:p w:rsidR="00000000" w:rsidRDefault="00F90957">
      <w:pPr>
        <w:pStyle w:val="Picture"/>
      </w:pPr>
      <w:r>
        <w:t xml:space="preserve">Let </w:t>
      </w:r>
    </w:p>
    <w:p w:rsidR="00000000" w:rsidRDefault="00F90957">
      <w:pPr>
        <w:pStyle w:val="Picture"/>
      </w:pPr>
    </w:p>
    <w:p w:rsidR="00000000" w:rsidRDefault="00F90957">
      <w:pPr>
        <w:pStyle w:val="Picture"/>
        <w:ind w:left="8252" w:hanging="8252"/>
        <w:rPr>
          <w:i/>
          <w:iCs/>
        </w:rPr>
      </w:pPr>
      <w:r>
        <w:rPr>
          <w:position w:val="-86"/>
        </w:rPr>
        <w:object w:dxaOrig="920" w:dyaOrig="1840">
          <v:shape id="_x0000_i1209" type="#_x0000_t75" style="width:45.75pt;height:92.25pt" o:ole="">
            <v:imagedata r:id="rId362" o:title=""/>
          </v:shape>
          <o:OLEObject Type="Embed" ProgID="Equation.3" ShapeID="_x0000_i1209" DrawAspect="Content" ObjectID="_1597674047" r:id="rId363"/>
        </w:object>
      </w:r>
      <w:r>
        <w:tab/>
        <w:t>(A.1)</w:t>
      </w:r>
      <w:r>
        <w:tab/>
      </w:r>
    </w:p>
    <w:p w:rsidR="00000000" w:rsidRDefault="00F90957">
      <w:pPr>
        <w:pStyle w:val="Picture"/>
      </w:pPr>
      <w:r>
        <w:t xml:space="preserve">be a vector of </w:t>
      </w:r>
      <w:r>
        <w:rPr>
          <w:i/>
          <w:iCs/>
        </w:rPr>
        <w:t xml:space="preserve">n </w:t>
      </w:r>
      <w:r>
        <w:t xml:space="preserve">random variables, which are linearly independent but not uncorrelated. Suppose we would like to express this vector as a linear combination of </w:t>
      </w:r>
      <w:r>
        <w:rPr>
          <w:i/>
          <w:iCs/>
        </w:rPr>
        <w:t xml:space="preserve">n </w:t>
      </w:r>
      <w:r>
        <w:t xml:space="preserve">random variables (with </w:t>
      </w:r>
      <w:r>
        <w:t>mean zero) that are uncorrelated:</w:t>
      </w:r>
    </w:p>
    <w:p w:rsidR="00000000" w:rsidRDefault="00F90957">
      <w:pPr>
        <w:pStyle w:val="Picture"/>
      </w:pPr>
    </w:p>
    <w:p w:rsidR="00000000" w:rsidRDefault="00F90957">
      <w:pPr>
        <w:ind w:left="8252" w:hanging="8252"/>
      </w:pPr>
      <w:r>
        <w:rPr>
          <w:position w:val="-12"/>
        </w:rPr>
        <w:object w:dxaOrig="3240" w:dyaOrig="360">
          <v:shape id="_x0000_i1210" type="#_x0000_t75" style="width:162pt;height:18pt" o:ole="">
            <v:imagedata r:id="rId364" o:title=""/>
          </v:shape>
          <o:OLEObject Type="Embed" ProgID="Equation.2" ShapeID="_x0000_i1210" DrawAspect="Content" ObjectID="_1597674048" r:id="rId365"/>
        </w:object>
      </w:r>
      <w:r>
        <w:t>,</w:t>
      </w:r>
      <w:r>
        <w:tab/>
        <w:t>(A.2)</w:t>
      </w:r>
    </w:p>
    <w:p w:rsidR="00000000" w:rsidRDefault="00F90957"/>
    <w:p w:rsidR="00000000" w:rsidRDefault="00F90957">
      <w:r>
        <w:t xml:space="preserve">where the constant vectors </w:t>
      </w:r>
    </w:p>
    <w:p w:rsidR="00000000" w:rsidRDefault="00F90957"/>
    <w:p w:rsidR="00000000" w:rsidRDefault="00F90957">
      <w:pPr>
        <w:ind w:left="8252" w:hanging="8252"/>
        <w:rPr>
          <w:lang w:val="sv-SE"/>
        </w:rPr>
      </w:pPr>
      <w:r>
        <w:rPr>
          <w:position w:val="-88"/>
        </w:rPr>
        <w:object w:dxaOrig="1080" w:dyaOrig="1880">
          <v:shape id="_x0000_i1211" type="#_x0000_t75" style="width:54pt;height:93.75pt" o:ole="">
            <v:imagedata r:id="rId366" o:title=""/>
          </v:shape>
          <o:OLEObject Type="Embed" ProgID="Equation.2" ShapeID="_x0000_i1211" DrawAspect="Content" ObjectID="_1597674049" r:id="rId367"/>
        </w:object>
      </w:r>
      <w:r>
        <w:rPr>
          <w:lang w:val="sv-SE"/>
        </w:rPr>
        <w:t xml:space="preserve">                                               </w:t>
      </w:r>
      <w:r>
        <w:rPr>
          <w:i/>
          <w:iCs/>
          <w:lang w:val="sv-SE"/>
        </w:rPr>
        <w:t>i</w:t>
      </w:r>
      <w:r>
        <w:rPr>
          <w:lang w:val="sv-SE"/>
        </w:rPr>
        <w:t xml:space="preserve"> = 1, 2, …, </w:t>
      </w:r>
      <w:r>
        <w:rPr>
          <w:i/>
          <w:iCs/>
          <w:lang w:val="sv-SE"/>
        </w:rPr>
        <w:t>n</w:t>
      </w:r>
      <w:r>
        <w:rPr>
          <w:lang w:val="sv-SE"/>
        </w:rPr>
        <w:tab/>
        <w:t>(A.3)</w:t>
      </w:r>
    </w:p>
    <w:p w:rsidR="00000000" w:rsidRDefault="00F90957">
      <w:pPr>
        <w:rPr>
          <w:lang w:val="sv-SE"/>
        </w:rPr>
      </w:pPr>
    </w:p>
    <w:p w:rsidR="00000000" w:rsidRDefault="00F90957">
      <w:r>
        <w:t xml:space="preserve">are orthonormal. To see that this is possible, define the matrix </w:t>
      </w:r>
      <w:r>
        <w:rPr>
          <w:b/>
        </w:rPr>
        <w:t>A</w:t>
      </w:r>
      <w:r>
        <w:t xml:space="preserve"> a</w:t>
      </w:r>
      <w:r>
        <w:t>s the solution to the equation</w:t>
      </w:r>
    </w:p>
    <w:p w:rsidR="00000000" w:rsidRDefault="00F90957"/>
    <w:p w:rsidR="00000000" w:rsidRDefault="00F90957">
      <w:pPr>
        <w:ind w:left="8252" w:hanging="8252"/>
      </w:pPr>
      <w:r>
        <w:rPr>
          <w:position w:val="-68"/>
        </w:rPr>
        <w:object w:dxaOrig="3320" w:dyaOrig="1480">
          <v:shape id="_x0000_i1212" type="#_x0000_t75" style="width:165.75pt;height:74.25pt" o:ole="">
            <v:imagedata r:id="rId368" o:title=""/>
          </v:shape>
          <o:OLEObject Type="Embed" ProgID="Equation.2" ShapeID="_x0000_i1212" DrawAspect="Content" ObjectID="_1597674050" r:id="rId369"/>
        </w:object>
      </w:r>
      <w:r>
        <w:t>,</w:t>
      </w:r>
      <w:r>
        <w:tab/>
        <w:t>(A.4)</w:t>
      </w:r>
    </w:p>
    <w:p w:rsidR="00000000" w:rsidRDefault="00F90957"/>
    <w:p w:rsidR="00000000" w:rsidRDefault="00F90957">
      <w:r>
        <w:t xml:space="preserve">where </w:t>
      </w:r>
      <w:r>
        <w:rPr>
          <w:position w:val="-10"/>
        </w:rPr>
        <w:object w:dxaOrig="760" w:dyaOrig="320">
          <v:shape id="_x0000_i1213" type="#_x0000_t75" style="width:38.25pt;height:15.75pt" o:ole="">
            <v:imagedata r:id="rId370" o:title=""/>
          </v:shape>
          <o:OLEObject Type="Embed" ProgID="Equation.3" ShapeID="_x0000_i1213" DrawAspect="Content" ObjectID="_1597674051" r:id="rId371"/>
        </w:object>
      </w:r>
      <w:r>
        <w:t xml:space="preserve"> is the covariance matrix of </w:t>
      </w:r>
      <w:r>
        <w:rPr>
          <w:position w:val="-4"/>
        </w:rPr>
        <w:object w:dxaOrig="220" w:dyaOrig="260">
          <v:shape id="_x0000_i1214" type="#_x0000_t75" style="width:11.25pt;height:12.75pt" o:ole="">
            <v:imagedata r:id="rId372" o:title=""/>
          </v:shape>
          <o:OLEObject Type="Embed" ProgID="Equation.3" ShapeID="_x0000_i1214" DrawAspect="Content" ObjectID="_1597674052" r:id="rId373"/>
        </w:object>
      </w:r>
      <w:r>
        <w:t xml:space="preserve"> and the </w:t>
      </w:r>
      <w:r>
        <w:rPr>
          <w:i/>
        </w:rPr>
        <w:sym w:font="Symbol" w:char="F06C"/>
      </w:r>
      <w:r>
        <w:rPr>
          <w:i/>
          <w:vertAlign w:val="subscript"/>
        </w:rPr>
        <w:t>i</w:t>
      </w:r>
      <w:r>
        <w:t xml:space="preserve">:s are the eigenvalues of the covariance matrix with </w:t>
      </w:r>
      <w:r>
        <w:rPr>
          <w:i/>
        </w:rPr>
        <w:sym w:font="Symbol" w:char="F06C"/>
      </w:r>
      <w:r>
        <w:rPr>
          <w:i/>
          <w:vertAlign w:val="subscript"/>
        </w:rPr>
        <w:t>i</w:t>
      </w:r>
      <w:r>
        <w:t xml:space="preserve"> </w:t>
      </w:r>
      <w:r>
        <w:sym w:font="Symbol" w:char="F0B3"/>
      </w:r>
      <w:r>
        <w:t xml:space="preserve"> </w:t>
      </w:r>
      <w:r>
        <w:rPr>
          <w:i/>
        </w:rPr>
        <w:sym w:font="Symbol" w:char="F06C"/>
      </w:r>
      <w:r>
        <w:rPr>
          <w:i/>
          <w:vertAlign w:val="subscript"/>
        </w:rPr>
        <w:t>j</w:t>
      </w:r>
      <w:r>
        <w:t xml:space="preserve"> for </w:t>
      </w:r>
      <w:r>
        <w:rPr>
          <w:i/>
        </w:rPr>
        <w:t>i</w:t>
      </w:r>
      <w:r>
        <w:t xml:space="preserve"> &lt; </w:t>
      </w:r>
      <w:r>
        <w:rPr>
          <w:i/>
        </w:rPr>
        <w:t>j</w:t>
      </w:r>
      <w:r>
        <w:t xml:space="preserve">. That such a solution exists </w:t>
      </w:r>
      <w:r>
        <w:t xml:space="preserve">is guaranteed by the spectral theorem since the covariance matrix is symmetric. The theorem also states that </w:t>
      </w:r>
      <w:r>
        <w:rPr>
          <w:b/>
        </w:rPr>
        <w:t xml:space="preserve">A </w:t>
      </w:r>
      <w:r>
        <w:t>is an orthonormal matrix, i. e.</w:t>
      </w:r>
    </w:p>
    <w:p w:rsidR="00000000" w:rsidRDefault="00F90957"/>
    <w:p w:rsidR="00000000" w:rsidRDefault="00F90957">
      <w:pPr>
        <w:ind w:left="8252" w:hanging="8252"/>
      </w:pPr>
      <w:r>
        <w:rPr>
          <w:position w:val="-4"/>
        </w:rPr>
        <w:object w:dxaOrig="1020" w:dyaOrig="300">
          <v:shape id="_x0000_i1215" type="#_x0000_t75" style="width:51pt;height:15pt" o:ole="">
            <v:imagedata r:id="rId374" o:title=""/>
          </v:shape>
          <o:OLEObject Type="Embed" ProgID="Equation.2" ShapeID="_x0000_i1215" DrawAspect="Content" ObjectID="_1597674053" r:id="rId375"/>
        </w:object>
      </w:r>
      <w:r>
        <w:t>.</w:t>
      </w:r>
      <w:r>
        <w:tab/>
        <w:t>(A.5)</w:t>
      </w:r>
    </w:p>
    <w:p w:rsidR="00000000" w:rsidRDefault="00F90957"/>
    <w:p w:rsidR="00000000" w:rsidRDefault="00F90957">
      <w:r>
        <w:t xml:space="preserve">Now, define the vector </w:t>
      </w:r>
      <w:r>
        <w:rPr>
          <w:position w:val="-10"/>
        </w:rPr>
        <w:object w:dxaOrig="220" w:dyaOrig="279">
          <v:shape id="_x0000_i1216" type="#_x0000_t75" style="width:11.25pt;height:14.25pt" o:ole="">
            <v:imagedata r:id="rId376" o:title=""/>
          </v:shape>
          <o:OLEObject Type="Embed" ProgID="Equation.2" ShapeID="_x0000_i1216" DrawAspect="Content" ObjectID="_1597674054" r:id="rId377"/>
        </w:object>
      </w:r>
      <w:r>
        <w:t xml:space="preserve"> as</w:t>
      </w:r>
    </w:p>
    <w:p w:rsidR="00000000" w:rsidRDefault="00F90957"/>
    <w:p w:rsidR="00000000" w:rsidRDefault="00F90957">
      <w:pPr>
        <w:ind w:left="8252" w:hanging="8252"/>
      </w:pPr>
      <w:r>
        <w:rPr>
          <w:position w:val="-10"/>
        </w:rPr>
        <w:object w:dxaOrig="1760" w:dyaOrig="360">
          <v:shape id="_x0000_i1217" type="#_x0000_t75" style="width:87.75pt;height:18pt" o:ole="">
            <v:imagedata r:id="rId378" o:title=""/>
          </v:shape>
          <o:OLEObject Type="Embed" ProgID="Equation.2" ShapeID="_x0000_i1217" DrawAspect="Content" ObjectID="_1597674055" r:id="rId379"/>
        </w:object>
      </w:r>
      <w:r>
        <w:t>.</w:t>
      </w:r>
      <w:r>
        <w:tab/>
        <w:t>(A.6</w:t>
      </w:r>
      <w:r>
        <w:t>)</w:t>
      </w:r>
    </w:p>
    <w:p w:rsidR="00000000" w:rsidRDefault="00F90957"/>
    <w:p w:rsidR="00000000" w:rsidRDefault="00F90957">
      <w:r>
        <w:t>By expressing the covariance matrix as</w:t>
      </w:r>
    </w:p>
    <w:p w:rsidR="00000000" w:rsidRDefault="00F90957"/>
    <w:p w:rsidR="00000000" w:rsidRDefault="00F90957">
      <w:pPr>
        <w:ind w:left="8252" w:hanging="8252"/>
      </w:pPr>
      <w:r>
        <w:rPr>
          <w:position w:val="-10"/>
        </w:rPr>
        <w:object w:dxaOrig="3500" w:dyaOrig="360">
          <v:shape id="_x0000_i1218" type="#_x0000_t75" style="width:174.75pt;height:18pt" o:ole="">
            <v:imagedata r:id="rId380" o:title=""/>
          </v:shape>
          <o:OLEObject Type="Embed" ProgID="Equation.2" ShapeID="_x0000_i1218" DrawAspect="Content" ObjectID="_1597674056" r:id="rId381"/>
        </w:object>
      </w:r>
      <w:r>
        <w:t>,</w:t>
      </w:r>
      <w:r>
        <w:tab/>
        <w:t>(A.7)</w:t>
      </w:r>
    </w:p>
    <w:p w:rsidR="00000000" w:rsidRDefault="00F90957"/>
    <w:p w:rsidR="00000000" w:rsidRDefault="00F90957">
      <w:r>
        <w:t>(A.4) gives the following equality:</w:t>
      </w:r>
    </w:p>
    <w:p w:rsidR="00000000" w:rsidRDefault="00F90957"/>
    <w:p w:rsidR="00000000" w:rsidRDefault="00F90957">
      <w:r>
        <w:rPr>
          <w:position w:val="-68"/>
        </w:rPr>
        <w:object w:dxaOrig="6560" w:dyaOrig="1480">
          <v:shape id="_x0000_i1219" type="#_x0000_t75" style="width:327.75pt;height:74.25pt" o:ole="">
            <v:imagedata r:id="rId382" o:title=""/>
          </v:shape>
          <o:OLEObject Type="Embed" ProgID="Equation.2" ShapeID="_x0000_i1219" DrawAspect="Content" ObjectID="_1597674057" r:id="rId383"/>
        </w:object>
      </w:r>
      <w:r>
        <w:t xml:space="preserve">                 </w:t>
      </w:r>
      <w:r>
        <w:tab/>
        <w:t xml:space="preserve">                                  </w:t>
      </w:r>
    </w:p>
    <w:p w:rsidR="00000000" w:rsidRDefault="00F90957">
      <w:pPr>
        <w:ind w:left="8252" w:hanging="8252"/>
      </w:pPr>
      <w:r>
        <w:t xml:space="preserve">                                </w:t>
      </w:r>
      <w:r>
        <w:rPr>
          <w:position w:val="-10"/>
        </w:rPr>
        <w:object w:dxaOrig="5220" w:dyaOrig="360">
          <v:shape id="_x0000_i1220" type="#_x0000_t75" style="width:261pt;height:18pt" o:ole="">
            <v:imagedata r:id="rId384" o:title=""/>
          </v:shape>
          <o:OLEObject Type="Embed" ProgID="Equation.2" ShapeID="_x0000_i1220" DrawAspect="Content" ObjectID="_1597674058" r:id="rId385"/>
        </w:object>
      </w:r>
      <w:r>
        <w:t>.</w:t>
      </w:r>
      <w:r>
        <w:tab/>
        <w:t>(A.8)</w:t>
      </w:r>
    </w:p>
    <w:p w:rsidR="00000000" w:rsidRDefault="00F90957"/>
    <w:p w:rsidR="00000000" w:rsidRDefault="00F90957">
      <w:r>
        <w:t>Thus</w:t>
      </w:r>
      <w:r>
        <w:t xml:space="preserve">, the stochastic variables that make up the vector </w:t>
      </w:r>
      <w:r>
        <w:rPr>
          <w:position w:val="-10"/>
        </w:rPr>
        <w:object w:dxaOrig="220" w:dyaOrig="279">
          <v:shape id="_x0000_i1221" type="#_x0000_t75" style="width:11.25pt;height:14.25pt" o:ole="">
            <v:imagedata r:id="rId386" o:title=""/>
          </v:shape>
          <o:OLEObject Type="Embed" ProgID="Equation.2" ShapeID="_x0000_i1221" DrawAspect="Content" ObjectID="_1597674059" r:id="rId387"/>
        </w:object>
      </w:r>
      <w:r>
        <w:t xml:space="preserve"> are uncorrelated and</w:t>
      </w:r>
    </w:p>
    <w:p w:rsidR="00000000" w:rsidRDefault="00F90957"/>
    <w:p w:rsidR="00000000" w:rsidRDefault="00F90957">
      <w:pPr>
        <w:ind w:left="8252" w:hanging="8252"/>
      </w:pPr>
      <w:r>
        <w:rPr>
          <w:position w:val="-10"/>
        </w:rPr>
        <w:object w:dxaOrig="1240" w:dyaOrig="320">
          <v:shape id="_x0000_i1222" type="#_x0000_t75" style="width:62.25pt;height:15.75pt" o:ole="">
            <v:imagedata r:id="rId388" o:title=""/>
          </v:shape>
          <o:OLEObject Type="Embed" ProgID="Equation.2" ShapeID="_x0000_i1222" DrawAspect="Content" ObjectID="_1597674060" r:id="rId389"/>
        </w:object>
      </w:r>
      <w:r>
        <w:t xml:space="preserve">. </w:t>
      </w:r>
      <w:r>
        <w:tab/>
        <w:t>(A.9)</w:t>
      </w:r>
    </w:p>
    <w:p w:rsidR="00000000" w:rsidRDefault="00F90957">
      <w:pPr>
        <w:pStyle w:val="Picture"/>
      </w:pPr>
    </w:p>
    <w:p w:rsidR="00000000" w:rsidRDefault="00F90957">
      <w:r>
        <w:t>By inverting (A.6) we see that we have achieved what we set out to do:</w:t>
      </w:r>
    </w:p>
    <w:p w:rsidR="00000000" w:rsidRDefault="00F90957"/>
    <w:p w:rsidR="00000000" w:rsidRDefault="00F90957">
      <w:r>
        <w:rPr>
          <w:position w:val="-10"/>
        </w:rPr>
        <w:object w:dxaOrig="1480" w:dyaOrig="320">
          <v:shape id="_x0000_i1223" type="#_x0000_t75" style="width:74.25pt;height:15.75pt" o:ole="">
            <v:imagedata r:id="rId390" o:title=""/>
          </v:shape>
          <o:OLEObject Type="Embed" ProgID="Equation.3" ShapeID="_x0000_i1223" DrawAspect="Content" ObjectID="_1597674061" r:id="rId391"/>
        </w:object>
      </w:r>
      <w:r>
        <w:t>,</w:t>
      </w:r>
    </w:p>
    <w:p w:rsidR="00000000" w:rsidRDefault="00F90957"/>
    <w:p w:rsidR="00000000" w:rsidRDefault="00F90957">
      <w:r>
        <w:t xml:space="preserve">where </w:t>
      </w:r>
      <w:r>
        <w:rPr>
          <w:b/>
          <w:bCs/>
        </w:rPr>
        <w:t>A</w:t>
      </w:r>
      <w:r>
        <w:t xml:space="preserve"> is orthonormal and t</w:t>
      </w:r>
      <w:r>
        <w:t xml:space="preserve">he components of </w:t>
      </w:r>
      <w:r>
        <w:rPr>
          <w:position w:val="-10"/>
        </w:rPr>
        <w:object w:dxaOrig="220" w:dyaOrig="320">
          <v:shape id="_x0000_i1224" type="#_x0000_t75" style="width:11.25pt;height:15.75pt" o:ole="">
            <v:imagedata r:id="rId392" o:title=""/>
          </v:shape>
          <o:OLEObject Type="Embed" ProgID="Equation.3" ShapeID="_x0000_i1224" DrawAspect="Content" ObjectID="_1597674062" r:id="rId393"/>
        </w:object>
      </w:r>
      <w:r>
        <w:t xml:space="preserve"> are uncorrelated. Moreover, the sum of the correlated variables variance can be written as</w:t>
      </w:r>
    </w:p>
    <w:p w:rsidR="00000000" w:rsidRDefault="00F90957"/>
    <w:p w:rsidR="00000000" w:rsidRDefault="00F90957">
      <w:r>
        <w:rPr>
          <w:position w:val="-28"/>
        </w:rPr>
        <w:object w:dxaOrig="7119" w:dyaOrig="680">
          <v:shape id="_x0000_i1225" type="#_x0000_t75" style="width:356.25pt;height:33.75pt" o:ole="">
            <v:imagedata r:id="rId394" o:title=""/>
          </v:shape>
          <o:OLEObject Type="Embed" ProgID="Equation.3" ShapeID="_x0000_i1225" DrawAspect="Content" ObjectID="_1597674063" r:id="rId395"/>
        </w:object>
      </w:r>
    </w:p>
    <w:p w:rsidR="00000000" w:rsidRDefault="00F90957">
      <w:pPr>
        <w:ind w:left="8252" w:hanging="8252"/>
      </w:pPr>
      <w:r>
        <w:t xml:space="preserve">                 </w:t>
      </w:r>
      <w:r>
        <w:rPr>
          <w:position w:val="-12"/>
        </w:rPr>
        <w:object w:dxaOrig="6240" w:dyaOrig="380">
          <v:shape id="_x0000_i1226" type="#_x0000_t75" style="width:312pt;height:18.75pt" o:ole="">
            <v:imagedata r:id="rId396" o:title=""/>
          </v:shape>
          <o:OLEObject Type="Embed" ProgID="Equation.3" ShapeID="_x0000_i1226" DrawAspect="Content" ObjectID="_1597674064" r:id="rId397"/>
        </w:object>
      </w:r>
      <w:r>
        <w:t>.</w:t>
      </w:r>
      <w:r>
        <w:tab/>
        <w:t>(A.10)</w:t>
      </w:r>
    </w:p>
    <w:p w:rsidR="00000000" w:rsidRDefault="00F90957">
      <w:pPr>
        <w:ind w:left="8252" w:hanging="8252"/>
      </w:pPr>
    </w:p>
    <w:p w:rsidR="00000000" w:rsidRDefault="00F90957">
      <w:pPr>
        <w:ind w:left="8252" w:hanging="8252"/>
        <w:rPr>
          <w:iCs/>
        </w:rPr>
      </w:pPr>
      <w:r>
        <w:t xml:space="preserve">Now, assume that for some </w:t>
      </w:r>
      <w:r>
        <w:rPr>
          <w:i/>
          <w:iCs/>
        </w:rPr>
        <w:t>k &lt; n</w:t>
      </w:r>
      <w:r>
        <w:t xml:space="preserve"> it holds that (re</w:t>
      </w:r>
      <w:r>
        <w:t xml:space="preserve">member that </w:t>
      </w:r>
      <w:r>
        <w:rPr>
          <w:i/>
        </w:rPr>
        <w:sym w:font="Symbol" w:char="F06C"/>
      </w:r>
      <w:r>
        <w:rPr>
          <w:i/>
          <w:vertAlign w:val="subscript"/>
        </w:rPr>
        <w:t>i</w:t>
      </w:r>
      <w:r>
        <w:t xml:space="preserve"> </w:t>
      </w:r>
      <w:r>
        <w:sym w:font="Symbol" w:char="F0B3"/>
      </w:r>
      <w:r>
        <w:t xml:space="preserve"> </w:t>
      </w:r>
      <w:r>
        <w:rPr>
          <w:i/>
        </w:rPr>
        <w:sym w:font="Symbol" w:char="F06C"/>
      </w:r>
      <w:r>
        <w:rPr>
          <w:i/>
          <w:vertAlign w:val="subscript"/>
        </w:rPr>
        <w:t>j</w:t>
      </w:r>
      <w:r>
        <w:t xml:space="preserve"> for </w:t>
      </w:r>
      <w:r>
        <w:rPr>
          <w:i/>
        </w:rPr>
        <w:t>i</w:t>
      </w:r>
      <w:r>
        <w:t xml:space="preserve"> &lt; </w:t>
      </w:r>
      <w:r>
        <w:rPr>
          <w:i/>
        </w:rPr>
        <w:t>j</w:t>
      </w:r>
      <w:r>
        <w:rPr>
          <w:iCs/>
        </w:rPr>
        <w:t>)</w:t>
      </w:r>
    </w:p>
    <w:p w:rsidR="00000000" w:rsidRDefault="00F90957">
      <w:pPr>
        <w:ind w:left="8252" w:hanging="8252"/>
        <w:rPr>
          <w:iCs/>
        </w:rPr>
      </w:pPr>
    </w:p>
    <w:p w:rsidR="00000000" w:rsidRDefault="00F90957">
      <w:pPr>
        <w:ind w:left="8252" w:hanging="8252"/>
      </w:pPr>
      <w:r>
        <w:rPr>
          <w:position w:val="-28"/>
        </w:rPr>
        <w:object w:dxaOrig="2900" w:dyaOrig="680">
          <v:shape id="_x0000_i1227" type="#_x0000_t75" style="width:144.75pt;height:33.75pt" o:ole="">
            <v:imagedata r:id="rId398" o:title=""/>
          </v:shape>
          <o:OLEObject Type="Embed" ProgID="Equation.3" ShapeID="_x0000_i1227" DrawAspect="Content" ObjectID="_1597674065" r:id="rId399"/>
        </w:object>
      </w:r>
      <w:r>
        <w:t>.</w:t>
      </w:r>
    </w:p>
    <w:p w:rsidR="00000000" w:rsidRDefault="00F90957">
      <w:pPr>
        <w:ind w:left="8252" w:hanging="8252"/>
      </w:pPr>
    </w:p>
    <w:p w:rsidR="00000000" w:rsidRDefault="00F90957">
      <w:r>
        <w:t xml:space="preserve">This means that most of the variance of the correlated variables comes from </w:t>
      </w:r>
      <w:r>
        <w:rPr>
          <w:position w:val="-10"/>
        </w:rPr>
        <w:object w:dxaOrig="260" w:dyaOrig="340">
          <v:shape id="_x0000_i1228" type="#_x0000_t75" style="width:12.75pt;height:17.25pt" o:ole="">
            <v:imagedata r:id="rId400" o:title=""/>
          </v:shape>
          <o:OLEObject Type="Embed" ProgID="Equation.3" ShapeID="_x0000_i1228" DrawAspect="Content" ObjectID="_1597674066" r:id="rId401"/>
        </w:object>
      </w:r>
      <w:r>
        <w:t xml:space="preserve">, </w:t>
      </w:r>
      <w:r>
        <w:rPr>
          <w:position w:val="-10"/>
        </w:rPr>
        <w:object w:dxaOrig="300" w:dyaOrig="340">
          <v:shape id="_x0000_i1229" type="#_x0000_t75" style="width:15pt;height:17.25pt" o:ole="">
            <v:imagedata r:id="rId402" o:title=""/>
          </v:shape>
          <o:OLEObject Type="Embed" ProgID="Equation.3" ShapeID="_x0000_i1229" DrawAspect="Content" ObjectID="_1597674067" r:id="rId403"/>
        </w:object>
      </w:r>
      <w:r>
        <w:t xml:space="preserve">, …, </w:t>
      </w:r>
      <w:r>
        <w:rPr>
          <w:position w:val="-12"/>
        </w:rPr>
        <w:object w:dxaOrig="440" w:dyaOrig="360">
          <v:shape id="_x0000_i1230" type="#_x0000_t75" style="width:21.75pt;height:18pt" o:ole="">
            <v:imagedata r:id="rId404" o:title=""/>
          </v:shape>
          <o:OLEObject Type="Embed" ProgID="Equation.3" ShapeID="_x0000_i1230" DrawAspect="Content" ObjectID="_1597674068" r:id="rId405"/>
        </w:object>
      </w:r>
      <w:r>
        <w:t xml:space="preserve"> and </w:t>
      </w:r>
      <w:r>
        <w:rPr>
          <w:position w:val="-12"/>
        </w:rPr>
        <w:object w:dxaOrig="300" w:dyaOrig="360">
          <v:shape id="_x0000_i1231" type="#_x0000_t75" style="width:15pt;height:18pt" o:ole="">
            <v:imagedata r:id="rId406" o:title=""/>
          </v:shape>
          <o:OLEObject Type="Embed" ProgID="Equation.3" ShapeID="_x0000_i1231" DrawAspect="Content" ObjectID="_1597674069" r:id="rId407"/>
        </w:object>
      </w:r>
      <w:r>
        <w:t xml:space="preserve">. These variables </w:t>
      </w:r>
      <w:r>
        <w:t xml:space="preserve">may therefore be called the principal components of </w:t>
      </w:r>
      <w:r>
        <w:rPr>
          <w:position w:val="-4"/>
        </w:rPr>
        <w:object w:dxaOrig="220" w:dyaOrig="260">
          <v:shape id="_x0000_i1232" type="#_x0000_t75" style="width:11.25pt;height:12.75pt" o:ole="">
            <v:imagedata r:id="rId408" o:title=""/>
          </v:shape>
          <o:OLEObject Type="Embed" ProgID="Equation.3" ShapeID="_x0000_i1232" DrawAspect="Content" ObjectID="_1597674070" r:id="rId409"/>
        </w:object>
      </w:r>
      <w:r>
        <w:t>.</w:t>
      </w:r>
    </w:p>
    <w:p w:rsidR="00000000" w:rsidRDefault="00F90957">
      <w:pPr>
        <w:ind w:left="8252" w:hanging="8252"/>
        <w:rPr>
          <w:iCs/>
        </w:rPr>
      </w:pPr>
    </w:p>
    <w:sectPr w:rsidR="00000000">
      <w:footerReference w:type="even" r:id="rId410"/>
      <w:footerReference w:type="default" r:id="rId4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90957">
      <w:r>
        <w:separator/>
      </w:r>
    </w:p>
  </w:endnote>
  <w:endnote w:type="continuationSeparator" w:id="0">
    <w:p w:rsidR="00000000" w:rsidRDefault="00F90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909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F909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909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000000" w:rsidRDefault="00F909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90957">
      <w:r>
        <w:separator/>
      </w:r>
    </w:p>
  </w:footnote>
  <w:footnote w:type="continuationSeparator" w:id="0">
    <w:p w:rsidR="00000000" w:rsidRDefault="00F90957">
      <w:r>
        <w:continuationSeparator/>
      </w:r>
    </w:p>
  </w:footnote>
  <w:footnote w:id="1">
    <w:p w:rsidR="00000000" w:rsidRDefault="00F90957">
      <w:pPr>
        <w:pStyle w:val="FootnoteText"/>
      </w:pPr>
      <w:r>
        <w:rPr>
          <w:rStyle w:val="FootnoteReference"/>
        </w:rPr>
        <w:footnoteRef/>
      </w:r>
      <w:r>
        <w:t xml:space="preserve"> In practice, discrete compounding is used. For a comprehensive discussion on different market conventions, see Brown [1998].</w:t>
      </w:r>
    </w:p>
  </w:footnote>
  <w:footnote w:id="2">
    <w:p w:rsidR="00000000" w:rsidRDefault="00F90957">
      <w:pPr>
        <w:pStyle w:val="FootnoteText"/>
      </w:pPr>
      <w:r>
        <w:rPr>
          <w:rStyle w:val="FootnoteReference"/>
        </w:rPr>
        <w:t>1</w:t>
      </w:r>
      <w:r>
        <w:t xml:space="preserve"> This example follows closely Dynkin, Hyman and Va</w:t>
      </w:r>
      <w:r>
        <w:t xml:space="preserve">nkudre [1998]. </w:t>
      </w:r>
    </w:p>
  </w:footnote>
  <w:footnote w:id="3">
    <w:p w:rsidR="00000000" w:rsidRDefault="00F90957">
      <w:pPr>
        <w:pStyle w:val="FootnoteText"/>
      </w:pPr>
      <w:r>
        <w:rPr>
          <w:rStyle w:val="FootnoteReference"/>
        </w:rPr>
        <w:t>2</w:t>
      </w:r>
      <w:r>
        <w:t xml:space="preserve"> The common convention of including the interaction effect in the security selection term is used.</w:t>
      </w:r>
    </w:p>
  </w:footnote>
  <w:footnote w:id="4">
    <w:p w:rsidR="00000000" w:rsidRDefault="00F90957">
      <w:pPr>
        <w:pStyle w:val="FootnoteText"/>
      </w:pPr>
      <w:r>
        <w:rPr>
          <w:rStyle w:val="FootnoteReference"/>
        </w:rPr>
        <w:t>1</w:t>
      </w:r>
      <w:r>
        <w:t xml:space="preserve"> If the settlement date is larger than or equal to the first ex-coupon date, the quoted price is exclusive the corresponding coupon payment</w:t>
      </w:r>
      <w:r>
        <w:t>. However, if the day we value our portfolio is before the coupon date that coupon payment should still be reflected by our portfolio value, hence the adjustment to the formula.</w:t>
      </w:r>
    </w:p>
  </w:footnote>
  <w:footnote w:id="5">
    <w:p w:rsidR="00000000" w:rsidRDefault="00F90957">
      <w:pPr>
        <w:pStyle w:val="FootnoteText"/>
      </w:pPr>
      <w:r>
        <w:rPr>
          <w:rStyle w:val="FootnoteReference"/>
        </w:rPr>
        <w:t>1</w:t>
      </w:r>
      <w:r>
        <w:t xml:space="preserve"> GIPS, AIMR </w:t>
      </w:r>
    </w:p>
  </w:footnote>
  <w:footnote w:id="6">
    <w:p w:rsidR="00000000" w:rsidRDefault="00F90957">
      <w:pPr>
        <w:pStyle w:val="FootnoteText"/>
      </w:pPr>
      <w:r>
        <w:rPr>
          <w:rStyle w:val="FootnoteReference"/>
        </w:rPr>
        <w:t>2</w:t>
      </w:r>
      <w:r>
        <w:t xml:space="preserve"> The example is taken from Valtonen, [2000]</w:t>
      </w:r>
    </w:p>
  </w:footnote>
  <w:footnote w:id="7">
    <w:p w:rsidR="00000000" w:rsidRDefault="00F90957">
      <w:pPr>
        <w:pStyle w:val="FootnoteText"/>
      </w:pPr>
      <w:r>
        <w:rPr>
          <w:rStyle w:val="FootnoteReference"/>
        </w:rPr>
        <w:t>3</w:t>
      </w:r>
      <w:r>
        <w:t xml:space="preserve"> This will happen </w:t>
      </w:r>
      <w:r>
        <w:t>if, for example,  0&lt;</w:t>
      </w:r>
      <w:r>
        <w:rPr>
          <w:i/>
        </w:rPr>
        <w:t>N</w:t>
      </w:r>
      <w:r>
        <w:rPr>
          <w:i/>
          <w:vertAlign w:val="subscript"/>
        </w:rPr>
        <w:t>S</w:t>
      </w:r>
      <w:r>
        <w:t>(</w:t>
      </w:r>
      <w:r>
        <w:rPr>
          <w:i/>
        </w:rPr>
        <w:t>t</w:t>
      </w:r>
      <w:r>
        <w:t>)&lt;</w:t>
      </w:r>
      <w:r>
        <w:rPr>
          <w:i/>
        </w:rPr>
        <w:t>N</w:t>
      </w:r>
      <w:r>
        <w:t>(</w:t>
      </w:r>
      <w:r>
        <w:rPr>
          <w:i/>
        </w:rPr>
        <w:t>t</w:t>
      </w:r>
      <w:r>
        <w:t>)</w:t>
      </w:r>
      <w:r>
        <w:rPr>
          <w:i/>
        </w:rPr>
        <w:t xml:space="preserve"> </w:t>
      </w:r>
      <w:r>
        <w:t xml:space="preserve">and </w:t>
      </w:r>
      <w:r>
        <w:rPr>
          <w:i/>
        </w:rPr>
        <w:t>P</w:t>
      </w:r>
      <w:r>
        <w:rPr>
          <w:i/>
          <w:vertAlign w:val="subscript"/>
        </w:rPr>
        <w:t>S</w:t>
      </w:r>
      <w:r>
        <w:t>(</w:t>
      </w:r>
      <w:r>
        <w:rPr>
          <w:i/>
        </w:rPr>
        <w:t>t</w:t>
      </w:r>
      <w:r>
        <w:t>)&gt;</w:t>
      </w:r>
      <w:r>
        <w:rPr>
          <w:i/>
        </w:rPr>
        <w:t>P</w:t>
      </w:r>
      <w:r>
        <w:t>(</w:t>
      </w:r>
      <w:r>
        <w:rPr>
          <w:i/>
        </w:rPr>
        <w:t>t</w:t>
      </w:r>
      <w:r>
        <w:t>)</w:t>
      </w:r>
      <w:r>
        <w:rPr>
          <w:i/>
        </w:rPr>
        <w:t>N</w:t>
      </w:r>
      <w:r>
        <w:t>(</w:t>
      </w:r>
      <w:r>
        <w:rPr>
          <w:i/>
        </w:rPr>
        <w:t>t</w:t>
      </w:r>
      <w:r>
        <w:t>)/</w:t>
      </w:r>
      <w:r>
        <w:rPr>
          <w:i/>
        </w:rPr>
        <w:t>N</w:t>
      </w:r>
      <w:r>
        <w:rPr>
          <w:i/>
          <w:vertAlign w:val="subscript"/>
        </w:rPr>
        <w:t>S</w:t>
      </w:r>
      <w:r>
        <w:t>(</w:t>
      </w:r>
      <w:r>
        <w:rPr>
          <w:i/>
        </w:rPr>
        <w:t>t</w:t>
      </w:r>
      <w:r>
        <w:t xml:space="preserve">)  </w:t>
      </w:r>
    </w:p>
  </w:footnote>
  <w:footnote w:id="8">
    <w:p w:rsidR="00000000" w:rsidRDefault="00F90957">
      <w:pPr>
        <w:pStyle w:val="FootnoteText"/>
      </w:pPr>
      <w:r>
        <w:rPr>
          <w:rStyle w:val="FootnoteReference"/>
        </w:rPr>
        <w:t>4</w:t>
      </w:r>
      <w:r>
        <w:t xml:space="preserve"> Assuming transaction costs are zero.</w:t>
      </w:r>
    </w:p>
  </w:footnote>
  <w:footnote w:id="9">
    <w:p w:rsidR="00000000" w:rsidRDefault="00F90957">
      <w:pPr>
        <w:pStyle w:val="FootnoteText"/>
      </w:pPr>
      <w:r>
        <w:rPr>
          <w:rStyle w:val="FootnoteReference"/>
        </w:rPr>
        <w:t>1</w:t>
      </w:r>
      <w:r>
        <w:t xml:space="preserve"> For an introduction to term structure factor models see Kuberek [1998]</w:t>
      </w:r>
    </w:p>
  </w:footnote>
  <w:footnote w:id="10">
    <w:p w:rsidR="00000000" w:rsidRDefault="00F90957">
      <w:pPr>
        <w:pStyle w:val="FootnoteText"/>
      </w:pPr>
      <w:r>
        <w:rPr>
          <w:rStyle w:val="FootnoteReference"/>
        </w:rPr>
        <w:t>2</w:t>
      </w:r>
      <w:r>
        <w:t xml:space="preserve">See section 6.4.2, Measure of ‘goodness-of-fit’ and correlation.. </w:t>
      </w:r>
    </w:p>
  </w:footnote>
  <w:footnote w:id="11">
    <w:p w:rsidR="00000000" w:rsidRDefault="00F90957">
      <w:pPr>
        <w:pStyle w:val="FootnoteText"/>
      </w:pPr>
      <w:r>
        <w:rPr>
          <w:rStyle w:val="FootnoteReference"/>
        </w:rPr>
        <w:t>3</w:t>
      </w:r>
      <w:r>
        <w:t xml:space="preserve"> See footnote 1 i</w:t>
      </w:r>
      <w:r>
        <w:t>n section 4.1</w:t>
      </w:r>
    </w:p>
  </w:footnote>
  <w:footnote w:id="12">
    <w:p w:rsidR="00000000" w:rsidRDefault="00F90957">
      <w:pPr>
        <w:pStyle w:val="FootnoteText"/>
      </w:pPr>
      <w:r>
        <w:rPr>
          <w:rStyle w:val="FootnoteReference"/>
        </w:rPr>
        <w:t>3</w:t>
      </w:r>
      <w:r>
        <w:t xml:space="preserve"> The definitions are only for </w:t>
      </w:r>
      <w:r>
        <w:rPr>
          <w:i/>
          <w:iCs/>
        </w:rPr>
        <w:t>n</w:t>
      </w:r>
      <w:r>
        <w:t xml:space="preserve"> an even number and </w:t>
      </w:r>
      <w:r>
        <w:rPr>
          <w:i/>
        </w:rPr>
        <w:t>n</w:t>
      </w:r>
      <w:r>
        <w:t xml:space="preserve"> </w:t>
      </w:r>
      <w:r>
        <w:t xml:space="preserve">≥ 4.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8E4E2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6F26F2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1D2EB5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06C3BE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3DAD8E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C0777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F810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CFCB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EED8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868477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B3618AA"/>
    <w:multiLevelType w:val="multilevel"/>
    <w:tmpl w:val="CDD4DDE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9"/>
  </w:num>
  <w:num w:numId="2">
    <w:abstractNumId w:val="10"/>
  </w:num>
  <w:num w:numId="3">
    <w:abstractNumId w:val="8"/>
  </w:num>
  <w:num w:numId="4">
    <w:abstractNumId w:val="3"/>
  </w:num>
  <w:num w:numId="5">
    <w:abstractNumId w:val="2"/>
  </w:num>
  <w:num w:numId="6">
    <w:abstractNumId w:val="1"/>
  </w:num>
  <w:num w:numId="7">
    <w:abstractNumId w:val="0"/>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957"/>
    <w:rsid w:val="00F90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15:chartTrackingRefBased/>
  <w15:docId w15:val="{4EEF99BC-77D9-44AF-98E2-54FF7BCA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rPr>
  </w:style>
  <w:style w:type="paragraph" w:styleId="Heading1">
    <w:name w:val="heading 1"/>
    <w:basedOn w:val="Normal"/>
    <w:next w:val="Normal"/>
    <w:qFormat/>
    <w:pPr>
      <w:keepNext/>
      <w:pageBreakBefore/>
      <w:spacing w:after="360"/>
      <w:outlineLvl w:val="0"/>
    </w:pPr>
    <w:rPr>
      <w:b/>
      <w:sz w:val="32"/>
    </w:rPr>
  </w:style>
  <w:style w:type="paragraph" w:styleId="Heading2">
    <w:name w:val="heading 2"/>
    <w:basedOn w:val="Normal"/>
    <w:next w:val="Normal"/>
    <w:qFormat/>
    <w:pPr>
      <w:keepNext/>
      <w:spacing w:before="240" w:after="120"/>
      <w:outlineLvl w:val="1"/>
    </w:pPr>
    <w:rPr>
      <w:bCs/>
      <w:sz w:val="28"/>
    </w:rPr>
  </w:style>
  <w:style w:type="paragraph" w:styleId="Heading3">
    <w:name w:val="heading 3"/>
    <w:basedOn w:val="Normal"/>
    <w:next w:val="Normal"/>
    <w:qFormat/>
    <w:pPr>
      <w:keepNext/>
      <w:spacing w:before="120"/>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u w:val="single"/>
    </w:rPr>
  </w:style>
  <w:style w:type="paragraph" w:styleId="Heading6">
    <w:name w:val="heading 6"/>
    <w:basedOn w:val="Normal"/>
    <w:next w:val="Normal"/>
    <w:qFormat/>
    <w:pPr>
      <w:keepNext/>
      <w:outlineLvl w:val="5"/>
    </w:pPr>
    <w:rPr>
      <w:sz w:val="32"/>
    </w:rPr>
  </w:style>
  <w:style w:type="paragraph" w:styleId="Heading7">
    <w:name w:val="heading 7"/>
    <w:basedOn w:val="Normal"/>
    <w:next w:val="Normal"/>
    <w:qFormat/>
    <w:pPr>
      <w:keepNext/>
      <w:ind w:left="180"/>
      <w:outlineLvl w:val="6"/>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2"/>
    </w:rPr>
  </w:style>
  <w:style w:type="paragraph" w:styleId="Subtitle">
    <w:name w:val="Subtitle"/>
    <w:basedOn w:val="Normal"/>
    <w:qFormat/>
    <w:rPr>
      <w:b/>
      <w:bCs/>
      <w:sz w:val="28"/>
    </w:rPr>
  </w:style>
  <w:style w:type="paragraph" w:styleId="BodyText">
    <w:name w:val="Body Text"/>
    <w:basedOn w:val="Normal"/>
    <w:semiHidden/>
    <w:rPr>
      <w:sz w:val="20"/>
    </w:rPr>
  </w:style>
  <w:style w:type="paragraph" w:styleId="List">
    <w:name w:val="List"/>
    <w:basedOn w:val="Normal"/>
    <w:semiHidden/>
    <w:pPr>
      <w:ind w:left="283" w:hanging="283"/>
    </w:pPr>
  </w:style>
  <w:style w:type="paragraph" w:styleId="ListBullet">
    <w:name w:val="List Bullet"/>
    <w:basedOn w:val="Normal"/>
    <w:autoRedefine/>
    <w:semiHidden/>
    <w:pPr>
      <w:numPr>
        <w:numId w:val="1"/>
      </w:numPr>
    </w:pPr>
  </w:style>
  <w:style w:type="paragraph" w:customStyle="1" w:styleId="Picture">
    <w:name w:val="Picture"/>
    <w:basedOn w:val="Normal"/>
  </w:style>
  <w:style w:type="paragraph" w:styleId="Caption">
    <w:name w:val="caption"/>
    <w:basedOn w:val="Normal"/>
    <w:next w:val="Normal"/>
    <w:qFormat/>
    <w:pPr>
      <w:spacing w:before="120" w:after="120"/>
    </w:pPr>
    <w:rPr>
      <w:b/>
      <w:bCs/>
      <w:sz w:val="20"/>
      <w:szCs w:val="20"/>
    </w:rPr>
  </w:style>
  <w:style w:type="paragraph" w:styleId="BodyTextIndent">
    <w:name w:val="Body Text Indent"/>
    <w:basedOn w:val="Normal"/>
    <w:semiHidden/>
    <w:pPr>
      <w:spacing w:after="120"/>
      <w:ind w:left="283"/>
    </w:p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BodyTextIndent2">
    <w:name w:val="Body Text Indent 2"/>
    <w:basedOn w:val="Normal"/>
    <w:semiHidden/>
    <w:pPr>
      <w:ind w:left="180"/>
    </w:pPr>
  </w:style>
  <w:style w:type="paragraph" w:styleId="BodyText2">
    <w:name w:val="Body Text 2"/>
    <w:basedOn w:val="Normal"/>
    <w:semiHidden/>
    <w:pPr>
      <w:ind w:right="4392"/>
    </w:pPr>
    <w:rPr>
      <w:sz w:val="20"/>
    </w:rPr>
  </w:style>
  <w:style w:type="paragraph" w:styleId="BodyTextIndent3">
    <w:name w:val="Body Text Indent 3"/>
    <w:basedOn w:val="Normal"/>
    <w:semiHidden/>
    <w:pPr>
      <w:ind w:left="284"/>
    </w:pPr>
  </w:style>
  <w:style w:type="paragraph" w:styleId="Closing">
    <w:name w:val="Closing"/>
    <w:basedOn w:val="Normal"/>
    <w:semiHidden/>
    <w:pPr>
      <w:ind w:left="4252"/>
    </w:pPr>
  </w:style>
  <w:style w:type="paragraph" w:styleId="TableofFigures">
    <w:name w:val="table of figures"/>
    <w:basedOn w:val="Normal"/>
    <w:next w:val="Normal"/>
    <w:semiHidden/>
    <w:pPr>
      <w:ind w:left="480" w:hanging="480"/>
    </w:pPr>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ListNumber">
    <w:name w:val="List Number"/>
    <w:basedOn w:val="Normal"/>
    <w:semiHidden/>
    <w:pPr>
      <w:numPr>
        <w:numId w:val="3"/>
      </w:numPr>
    </w:pPr>
    <w:rPr>
      <w:szCs w:val="20"/>
      <w:lang w:val="sv-SE"/>
    </w:rPr>
  </w:style>
  <w:style w:type="paragraph" w:styleId="ListNumber2">
    <w:name w:val="List Number 2"/>
    <w:basedOn w:val="Normal"/>
    <w:semiHidden/>
    <w:pPr>
      <w:numPr>
        <w:numId w:val="4"/>
      </w:numPr>
    </w:pPr>
    <w:rPr>
      <w:szCs w:val="20"/>
      <w:lang w:val="sv-SE"/>
    </w:rPr>
  </w:style>
  <w:style w:type="paragraph" w:styleId="ListNumber3">
    <w:name w:val="List Number 3"/>
    <w:basedOn w:val="Normal"/>
    <w:semiHidden/>
    <w:pPr>
      <w:numPr>
        <w:numId w:val="5"/>
      </w:numPr>
    </w:pPr>
    <w:rPr>
      <w:szCs w:val="20"/>
      <w:lang w:val="sv-SE"/>
    </w:rPr>
  </w:style>
  <w:style w:type="paragraph" w:styleId="ListNumber4">
    <w:name w:val="List Number 4"/>
    <w:basedOn w:val="Normal"/>
    <w:semiHidden/>
    <w:pPr>
      <w:numPr>
        <w:numId w:val="6"/>
      </w:numPr>
    </w:pPr>
    <w:rPr>
      <w:szCs w:val="20"/>
      <w:lang w:val="sv-SE"/>
    </w:rPr>
  </w:style>
  <w:style w:type="paragraph" w:styleId="ListNumber5">
    <w:name w:val="List Number 5"/>
    <w:basedOn w:val="Normal"/>
    <w:semiHidden/>
    <w:pPr>
      <w:numPr>
        <w:numId w:val="7"/>
      </w:numPr>
    </w:pPr>
    <w:rPr>
      <w:szCs w:val="20"/>
      <w:lang w:val="sv-SE"/>
    </w:rPr>
  </w:style>
  <w:style w:type="paragraph" w:styleId="ListBullet2">
    <w:name w:val="List Bullet 2"/>
    <w:basedOn w:val="Normal"/>
    <w:autoRedefine/>
    <w:semiHidden/>
    <w:pPr>
      <w:numPr>
        <w:numId w:val="8"/>
      </w:numPr>
    </w:pPr>
    <w:rPr>
      <w:szCs w:val="20"/>
      <w:lang w:val="sv-SE"/>
    </w:rPr>
  </w:style>
  <w:style w:type="paragraph" w:styleId="ListBullet3">
    <w:name w:val="List Bullet 3"/>
    <w:basedOn w:val="Normal"/>
    <w:autoRedefine/>
    <w:semiHidden/>
    <w:pPr>
      <w:numPr>
        <w:numId w:val="9"/>
      </w:numPr>
    </w:pPr>
    <w:rPr>
      <w:szCs w:val="20"/>
      <w:lang w:val="sv-SE"/>
    </w:rPr>
  </w:style>
  <w:style w:type="paragraph" w:styleId="ListBullet4">
    <w:name w:val="List Bullet 4"/>
    <w:basedOn w:val="Normal"/>
    <w:autoRedefine/>
    <w:semiHidden/>
    <w:pPr>
      <w:numPr>
        <w:numId w:val="10"/>
      </w:numPr>
    </w:pPr>
    <w:rPr>
      <w:szCs w:val="20"/>
      <w:lang w:val="sv-SE"/>
    </w:rPr>
  </w:style>
  <w:style w:type="paragraph" w:styleId="ListBullet5">
    <w:name w:val="List Bullet 5"/>
    <w:basedOn w:val="Normal"/>
    <w:autoRedefine/>
    <w:semiHidden/>
    <w:pPr>
      <w:numPr>
        <w:numId w:val="11"/>
      </w:numPr>
    </w:pPr>
    <w:rPr>
      <w:szCs w:val="20"/>
      <w:lang w:val="sv-SE"/>
    </w:rPr>
  </w:style>
  <w:style w:type="paragraph" w:styleId="NoteHeading">
    <w:name w:val="Note Heading"/>
    <w:basedOn w:val="Normal"/>
    <w:next w:val="Normal"/>
    <w:semiHidden/>
    <w:rPr>
      <w:szCs w:val="20"/>
      <w:lang w:val="sv-SE"/>
    </w:rPr>
  </w:style>
  <w:style w:type="paragraph" w:customStyle="1" w:styleId="xl24">
    <w:name w:val="xl24"/>
    <w:basedOn w:val="Normal"/>
    <w:pPr>
      <w:shd w:val="clear" w:color="auto" w:fill="9999FF"/>
      <w:spacing w:before="100" w:beforeAutospacing="1" w:after="100" w:afterAutospacing="1"/>
    </w:pPr>
    <w:rPr>
      <w:rFonts w:ascii="Arial Unicode MS" w:eastAsia="Arial Unicode MS" w:hAnsi="Arial Unicode MS" w:cs="Arial Unicode MS"/>
    </w:rPr>
  </w:style>
  <w:style w:type="paragraph" w:customStyle="1" w:styleId="xl25">
    <w:name w:val="xl25"/>
    <w:basedOn w:val="Normal"/>
    <w:pPr>
      <w:shd w:val="clear" w:color="auto" w:fill="C0C0C0"/>
      <w:spacing w:before="100" w:beforeAutospacing="1" w:after="100" w:afterAutospacing="1"/>
    </w:pPr>
    <w:rPr>
      <w:rFonts w:ascii="Arial Unicode MS" w:eastAsia="Arial Unicode MS" w:hAnsi="Arial Unicode MS" w:cs="Arial Unicode MS"/>
    </w:rPr>
  </w:style>
  <w:style w:type="paragraph" w:customStyle="1" w:styleId="xl26">
    <w:name w:val="xl26"/>
    <w:basedOn w:val="Normal"/>
    <w:pPr>
      <w:shd w:val="clear" w:color="auto" w:fill="9999FF"/>
      <w:spacing w:before="100" w:beforeAutospacing="1" w:after="100" w:afterAutospacing="1"/>
    </w:pPr>
    <w:rPr>
      <w:rFonts w:ascii="Arial Unicode MS" w:eastAsia="Arial Unicode MS" w:hAnsi="Arial Unicode MS" w:cs="Arial Unicode MS"/>
    </w:rPr>
  </w:style>
  <w:style w:type="paragraph" w:customStyle="1" w:styleId="xl27">
    <w:name w:val="xl27"/>
    <w:basedOn w:val="Normal"/>
    <w:pPr>
      <w:pBdr>
        <w:lef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28">
    <w:name w:val="xl28"/>
    <w:basedOn w:val="Normal"/>
    <w:pPr>
      <w:pBdr>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30">
    <w:name w:val="xl30"/>
    <w:basedOn w:val="Normal"/>
    <w:pPr>
      <w:pBdr>
        <w:lef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31">
    <w:name w:val="xl31"/>
    <w:basedOn w:val="Normal"/>
    <w:pPr>
      <w:pBdr>
        <w:left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32">
    <w:name w:val="xl32"/>
    <w:basedOn w:val="Normal"/>
    <w:pPr>
      <w:shd w:val="clear" w:color="auto" w:fill="666699"/>
      <w:spacing w:before="100" w:beforeAutospacing="1" w:after="100" w:afterAutospacing="1"/>
    </w:pPr>
    <w:rPr>
      <w:rFonts w:ascii="Arial Unicode MS" w:eastAsia="Arial Unicode MS" w:hAnsi="Arial Unicode MS" w:cs="Arial Unicode MS"/>
    </w:rPr>
  </w:style>
  <w:style w:type="paragraph" w:customStyle="1" w:styleId="xl33">
    <w:name w:val="xl33"/>
    <w:basedOn w:val="Normal"/>
    <w:pPr>
      <w:shd w:val="clear" w:color="auto" w:fill="C0C0C0"/>
      <w:spacing w:before="100" w:beforeAutospacing="1" w:after="100" w:afterAutospacing="1"/>
    </w:pPr>
    <w:rPr>
      <w:rFonts w:ascii="Arial Unicode MS" w:eastAsia="Arial Unicode MS" w:hAnsi="Arial Unicode MS" w:cs="Arial Unicode MS"/>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customStyle="1" w:styleId="no">
    <w:name w:val="no"/>
    <w:basedOn w:val="Heading2"/>
    <w:rPr>
      <w:b/>
      <w:sz w:val="24"/>
    </w:rPr>
  </w:style>
  <w:style w:type="paragraph" w:styleId="Header">
    <w:name w:val="header"/>
    <w:basedOn w:val="Normal"/>
    <w:semiHidden/>
    <w:pPr>
      <w:tabs>
        <w:tab w:val="center" w:pos="4536"/>
        <w:tab w:val="right" w:pos="9072"/>
      </w:tabs>
    </w:pPr>
  </w:style>
  <w:style w:type="character" w:customStyle="1" w:styleId="Char">
    <w:name w:val=" Char"/>
    <w:basedOn w:val="DefaultParagraphFont"/>
    <w:rPr>
      <w:b/>
      <w:sz w:val="32"/>
      <w:szCs w:val="24"/>
      <w:lang w:val="en-GB" w:eastAsia="en-US" w:bidi="ar-SA"/>
    </w:rPr>
  </w:style>
  <w:style w:type="paragraph" w:styleId="Index1">
    <w:name w:val="index 1"/>
    <w:basedOn w:val="Normal"/>
    <w:next w:val="Normal"/>
    <w:autoRedefine/>
    <w:semiHidden/>
    <w:pPr>
      <w:ind w:left="240" w:hanging="240"/>
    </w:pPr>
  </w:style>
  <w:style w:type="character" w:customStyle="1" w:styleId="Char0">
    <w:name w:val=" Char"/>
    <w:basedOn w:val="DefaultParagraphFont"/>
    <w:rPr>
      <w:b/>
      <w:bCs/>
      <w:sz w:val="32"/>
      <w:szCs w:val="24"/>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44.wmf"/><Relationship Id="rId21" Type="http://schemas.openxmlformats.org/officeDocument/2006/relationships/oleObject" Target="embeddings/oleObject7.bin"/><Relationship Id="rId63" Type="http://schemas.openxmlformats.org/officeDocument/2006/relationships/image" Target="media/image28.wmf"/><Relationship Id="rId159" Type="http://schemas.openxmlformats.org/officeDocument/2006/relationships/image" Target="media/image76.wmf"/><Relationship Id="rId324" Type="http://schemas.openxmlformats.org/officeDocument/2006/relationships/image" Target="media/image156.wmf"/><Relationship Id="rId366" Type="http://schemas.openxmlformats.org/officeDocument/2006/relationships/image" Target="media/image174.wmf"/><Relationship Id="rId170" Type="http://schemas.openxmlformats.org/officeDocument/2006/relationships/oleObject" Target="embeddings/oleObject82.bin"/><Relationship Id="rId226" Type="http://schemas.openxmlformats.org/officeDocument/2006/relationships/image" Target="media/image109.wmf"/><Relationship Id="rId268" Type="http://schemas.openxmlformats.org/officeDocument/2006/relationships/image" Target="media/image130.wmf"/><Relationship Id="rId32" Type="http://schemas.openxmlformats.org/officeDocument/2006/relationships/image" Target="media/image13.wmf"/><Relationship Id="rId74" Type="http://schemas.openxmlformats.org/officeDocument/2006/relationships/oleObject" Target="embeddings/oleObject34.bin"/><Relationship Id="rId128" Type="http://schemas.openxmlformats.org/officeDocument/2006/relationships/oleObject" Target="embeddings/oleObject61.bin"/><Relationship Id="rId335" Type="http://schemas.openxmlformats.org/officeDocument/2006/relationships/oleObject" Target="embeddings/oleObject163.bin"/><Relationship Id="rId377" Type="http://schemas.openxmlformats.org/officeDocument/2006/relationships/oleObject" Target="embeddings/oleObject184.bin"/><Relationship Id="rId5" Type="http://schemas.openxmlformats.org/officeDocument/2006/relationships/footnotes" Target="footnotes.xml"/><Relationship Id="rId95" Type="http://schemas.openxmlformats.org/officeDocument/2006/relationships/image" Target="media/image44.wmf"/><Relationship Id="rId160" Type="http://schemas.openxmlformats.org/officeDocument/2006/relationships/oleObject" Target="embeddings/oleObject77.bin"/><Relationship Id="rId181" Type="http://schemas.openxmlformats.org/officeDocument/2006/relationships/image" Target="media/image87.wmf"/><Relationship Id="rId216" Type="http://schemas.openxmlformats.org/officeDocument/2006/relationships/oleObject" Target="embeddings/oleObject105.bin"/><Relationship Id="rId237" Type="http://schemas.openxmlformats.org/officeDocument/2006/relationships/oleObject" Target="embeddings/oleObject116.bin"/><Relationship Id="rId402" Type="http://schemas.openxmlformats.org/officeDocument/2006/relationships/image" Target="media/image192.wmf"/><Relationship Id="rId258" Type="http://schemas.openxmlformats.org/officeDocument/2006/relationships/image" Target="media/image125.wmf"/><Relationship Id="rId279" Type="http://schemas.openxmlformats.org/officeDocument/2006/relationships/oleObject" Target="embeddings/oleObject137.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6.wmf"/><Relationship Id="rId290" Type="http://schemas.openxmlformats.org/officeDocument/2006/relationships/image" Target="media/image140.wmf"/><Relationship Id="rId304" Type="http://schemas.openxmlformats.org/officeDocument/2006/relationships/oleObject" Target="embeddings/oleObject148.bin"/><Relationship Id="rId325" Type="http://schemas.openxmlformats.org/officeDocument/2006/relationships/oleObject" Target="embeddings/oleObject158.bin"/><Relationship Id="rId346" Type="http://schemas.openxmlformats.org/officeDocument/2006/relationships/image" Target="media/image165.wmf"/><Relationship Id="rId367" Type="http://schemas.openxmlformats.org/officeDocument/2006/relationships/oleObject" Target="embeddings/oleObject179.bin"/><Relationship Id="rId388" Type="http://schemas.openxmlformats.org/officeDocument/2006/relationships/image" Target="media/image185.wmf"/><Relationship Id="rId85" Type="http://schemas.openxmlformats.org/officeDocument/2006/relationships/image" Target="media/image39.wmf"/><Relationship Id="rId150" Type="http://schemas.openxmlformats.org/officeDocument/2006/relationships/oleObject" Target="embeddings/oleObject72.bin"/><Relationship Id="rId171" Type="http://schemas.openxmlformats.org/officeDocument/2006/relationships/image" Target="media/image82.wmf"/><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oleObject" Target="embeddings/oleObject111.bin"/><Relationship Id="rId413" Type="http://schemas.openxmlformats.org/officeDocument/2006/relationships/theme" Target="theme/theme1.xml"/><Relationship Id="rId248" Type="http://schemas.openxmlformats.org/officeDocument/2006/relationships/image" Target="media/image120.wmf"/><Relationship Id="rId269" Type="http://schemas.openxmlformats.org/officeDocument/2006/relationships/oleObject" Target="embeddings/oleObject132.bin"/><Relationship Id="rId12" Type="http://schemas.openxmlformats.org/officeDocument/2006/relationships/oleObject" Target="embeddings/oleObject3.bin"/><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image" Target="media/image61.wmf"/><Relationship Id="rId280" Type="http://schemas.openxmlformats.org/officeDocument/2006/relationships/image" Target="media/image136.wmf"/><Relationship Id="rId315" Type="http://schemas.openxmlformats.org/officeDocument/2006/relationships/image" Target="media/image152.wmf"/><Relationship Id="rId336" Type="http://schemas.openxmlformats.org/officeDocument/2006/relationships/image" Target="media/image162.wmf"/><Relationship Id="rId357" Type="http://schemas.openxmlformats.org/officeDocument/2006/relationships/oleObject" Target="embeddings/oleObject175.bin"/><Relationship Id="rId54" Type="http://schemas.openxmlformats.org/officeDocument/2006/relationships/image" Target="media/image24.wmf"/><Relationship Id="rId75" Type="http://schemas.openxmlformats.org/officeDocument/2006/relationships/image" Target="media/image34.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7.wmf"/><Relationship Id="rId182" Type="http://schemas.openxmlformats.org/officeDocument/2006/relationships/oleObject" Target="embeddings/oleObject88.bin"/><Relationship Id="rId217" Type="http://schemas.openxmlformats.org/officeDocument/2006/relationships/image" Target="media/image105.wmf"/><Relationship Id="rId378" Type="http://schemas.openxmlformats.org/officeDocument/2006/relationships/image" Target="media/image180.wmf"/><Relationship Id="rId399" Type="http://schemas.openxmlformats.org/officeDocument/2006/relationships/oleObject" Target="embeddings/oleObject195.bin"/><Relationship Id="rId403" Type="http://schemas.openxmlformats.org/officeDocument/2006/relationships/oleObject" Target="embeddings/oleObject197.bin"/><Relationship Id="rId6" Type="http://schemas.openxmlformats.org/officeDocument/2006/relationships/endnotes" Target="endnotes.xml"/><Relationship Id="rId238" Type="http://schemas.openxmlformats.org/officeDocument/2006/relationships/image" Target="media/image115.wmf"/><Relationship Id="rId259" Type="http://schemas.openxmlformats.org/officeDocument/2006/relationships/oleObject" Target="embeddings/oleObject127.bin"/><Relationship Id="rId23" Type="http://schemas.openxmlformats.org/officeDocument/2006/relationships/oleObject" Target="embeddings/oleObject8.bin"/><Relationship Id="rId119" Type="http://schemas.openxmlformats.org/officeDocument/2006/relationships/image" Target="media/image56.wmf"/><Relationship Id="rId270" Type="http://schemas.openxmlformats.org/officeDocument/2006/relationships/image" Target="media/image131.wmf"/><Relationship Id="rId291" Type="http://schemas.openxmlformats.org/officeDocument/2006/relationships/oleObject" Target="embeddings/oleObject142.bin"/><Relationship Id="rId305" Type="http://schemas.openxmlformats.org/officeDocument/2006/relationships/image" Target="media/image147.wmf"/><Relationship Id="rId326" Type="http://schemas.openxmlformats.org/officeDocument/2006/relationships/image" Target="media/image157.wmf"/><Relationship Id="rId347" Type="http://schemas.openxmlformats.org/officeDocument/2006/relationships/oleObject" Target="embeddings/oleObject170.bin"/><Relationship Id="rId44" Type="http://schemas.openxmlformats.org/officeDocument/2006/relationships/image" Target="media/image19.wmf"/><Relationship Id="rId65" Type="http://schemas.openxmlformats.org/officeDocument/2006/relationships/image" Target="media/image29.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72.wmf"/><Relationship Id="rId368" Type="http://schemas.openxmlformats.org/officeDocument/2006/relationships/image" Target="media/image175.wmf"/><Relationship Id="rId389" Type="http://schemas.openxmlformats.org/officeDocument/2006/relationships/oleObject" Target="embeddings/oleObject190.bin"/><Relationship Id="rId172" Type="http://schemas.openxmlformats.org/officeDocument/2006/relationships/oleObject" Target="embeddings/oleObject83.bin"/><Relationship Id="rId193" Type="http://schemas.openxmlformats.org/officeDocument/2006/relationships/image" Target="media/image93.wmf"/><Relationship Id="rId207" Type="http://schemas.openxmlformats.org/officeDocument/2006/relationships/image" Target="media/image100.wmf"/><Relationship Id="rId228" Type="http://schemas.openxmlformats.org/officeDocument/2006/relationships/image" Target="media/image110.wmf"/><Relationship Id="rId249" Type="http://schemas.openxmlformats.org/officeDocument/2006/relationships/oleObject" Target="embeddings/oleObject122.bin"/><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image" Target="media/image126.wmf"/><Relationship Id="rId281" Type="http://schemas.openxmlformats.org/officeDocument/2006/relationships/oleObject" Target="embeddings/oleObject138.bin"/><Relationship Id="rId316" Type="http://schemas.openxmlformats.org/officeDocument/2006/relationships/oleObject" Target="embeddings/oleObject154.bin"/><Relationship Id="rId337" Type="http://schemas.openxmlformats.org/officeDocument/2006/relationships/oleObject" Target="embeddings/oleObject164.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45.wmf"/><Relationship Id="rId120" Type="http://schemas.openxmlformats.org/officeDocument/2006/relationships/oleObject" Target="embeddings/oleObject57.bin"/><Relationship Id="rId141" Type="http://schemas.openxmlformats.org/officeDocument/2006/relationships/image" Target="media/image67.wmf"/><Relationship Id="rId358" Type="http://schemas.openxmlformats.org/officeDocument/2006/relationships/image" Target="media/image171.wmf"/><Relationship Id="rId379" Type="http://schemas.openxmlformats.org/officeDocument/2006/relationships/oleObject" Target="embeddings/oleObject185.bin"/><Relationship Id="rId7" Type="http://schemas.openxmlformats.org/officeDocument/2006/relationships/image" Target="media/image1.wmf"/><Relationship Id="rId162" Type="http://schemas.openxmlformats.org/officeDocument/2006/relationships/oleObject" Target="embeddings/oleObject78.bin"/><Relationship Id="rId183" Type="http://schemas.openxmlformats.org/officeDocument/2006/relationships/image" Target="media/image88.wmf"/><Relationship Id="rId218" Type="http://schemas.openxmlformats.org/officeDocument/2006/relationships/oleObject" Target="embeddings/oleObject106.bin"/><Relationship Id="rId239" Type="http://schemas.openxmlformats.org/officeDocument/2006/relationships/oleObject" Target="embeddings/oleObject117.bin"/><Relationship Id="rId390" Type="http://schemas.openxmlformats.org/officeDocument/2006/relationships/image" Target="media/image186.wmf"/><Relationship Id="rId404" Type="http://schemas.openxmlformats.org/officeDocument/2006/relationships/image" Target="media/image193.wmf"/><Relationship Id="rId250" Type="http://schemas.openxmlformats.org/officeDocument/2006/relationships/image" Target="media/image121.wmf"/><Relationship Id="rId271" Type="http://schemas.openxmlformats.org/officeDocument/2006/relationships/oleObject" Target="embeddings/oleObject133.bin"/><Relationship Id="rId292" Type="http://schemas.openxmlformats.org/officeDocument/2006/relationships/chart" Target="charts/chart4.xml"/><Relationship Id="rId306" Type="http://schemas.openxmlformats.org/officeDocument/2006/relationships/oleObject" Target="embeddings/oleObject149.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31" Type="http://schemas.openxmlformats.org/officeDocument/2006/relationships/image" Target="media/image62.wmf"/><Relationship Id="rId327" Type="http://schemas.openxmlformats.org/officeDocument/2006/relationships/oleObject" Target="embeddings/oleObject159.bin"/><Relationship Id="rId348" Type="http://schemas.openxmlformats.org/officeDocument/2006/relationships/image" Target="media/image166.wmf"/><Relationship Id="rId369" Type="http://schemas.openxmlformats.org/officeDocument/2006/relationships/oleObject" Target="embeddings/oleObject180.bin"/><Relationship Id="rId152" Type="http://schemas.openxmlformats.org/officeDocument/2006/relationships/oleObject" Target="embeddings/oleObject73.bin"/><Relationship Id="rId173" Type="http://schemas.openxmlformats.org/officeDocument/2006/relationships/image" Target="media/image83.wmf"/><Relationship Id="rId194" Type="http://schemas.openxmlformats.org/officeDocument/2006/relationships/oleObject" Target="embeddings/oleObject94.bin"/><Relationship Id="rId208" Type="http://schemas.openxmlformats.org/officeDocument/2006/relationships/oleObject" Target="embeddings/oleObject101.bin"/><Relationship Id="rId229" Type="http://schemas.openxmlformats.org/officeDocument/2006/relationships/oleObject" Target="embeddings/oleObject112.bin"/><Relationship Id="rId380" Type="http://schemas.openxmlformats.org/officeDocument/2006/relationships/image" Target="media/image181.wmf"/><Relationship Id="rId240" Type="http://schemas.openxmlformats.org/officeDocument/2006/relationships/image" Target="media/image116.wmf"/><Relationship Id="rId261" Type="http://schemas.openxmlformats.org/officeDocument/2006/relationships/oleObject" Target="embeddings/oleObject128.bin"/><Relationship Id="rId14" Type="http://schemas.openxmlformats.org/officeDocument/2006/relationships/oleObject" Target="embeddings/oleObject4.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7.bin"/><Relationship Id="rId282" Type="http://schemas.openxmlformats.org/officeDocument/2006/relationships/image" Target="media/image137.wmf"/><Relationship Id="rId317" Type="http://schemas.openxmlformats.org/officeDocument/2006/relationships/chart" Target="charts/chart5.xml"/><Relationship Id="rId338" Type="http://schemas.openxmlformats.org/officeDocument/2006/relationships/oleObject" Target="embeddings/oleObject165.bin"/><Relationship Id="rId359" Type="http://schemas.openxmlformats.org/officeDocument/2006/relationships/oleObject" Target="embeddings/oleObject176.bin"/><Relationship Id="rId8" Type="http://schemas.openxmlformats.org/officeDocument/2006/relationships/oleObject" Target="embeddings/oleObject1.bin"/><Relationship Id="rId98" Type="http://schemas.openxmlformats.org/officeDocument/2006/relationships/oleObject" Target="embeddings/oleObject46.bin"/><Relationship Id="rId121" Type="http://schemas.openxmlformats.org/officeDocument/2006/relationships/image" Target="media/image57.wmf"/><Relationship Id="rId142" Type="http://schemas.openxmlformats.org/officeDocument/2006/relationships/oleObject" Target="embeddings/oleObject68.bin"/><Relationship Id="rId163" Type="http://schemas.openxmlformats.org/officeDocument/2006/relationships/image" Target="media/image78.wmf"/><Relationship Id="rId184" Type="http://schemas.openxmlformats.org/officeDocument/2006/relationships/oleObject" Target="embeddings/oleObject89.bin"/><Relationship Id="rId219" Type="http://schemas.openxmlformats.org/officeDocument/2006/relationships/image" Target="media/image106.wmf"/><Relationship Id="rId370" Type="http://schemas.openxmlformats.org/officeDocument/2006/relationships/image" Target="media/image176.wmf"/><Relationship Id="rId391" Type="http://schemas.openxmlformats.org/officeDocument/2006/relationships/oleObject" Target="embeddings/oleObject191.bin"/><Relationship Id="rId405" Type="http://schemas.openxmlformats.org/officeDocument/2006/relationships/oleObject" Target="embeddings/oleObject198.bin"/><Relationship Id="rId230" Type="http://schemas.openxmlformats.org/officeDocument/2006/relationships/image" Target="media/image111.wmf"/><Relationship Id="rId251" Type="http://schemas.openxmlformats.org/officeDocument/2006/relationships/oleObject" Target="embeddings/oleObject123.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272" Type="http://schemas.openxmlformats.org/officeDocument/2006/relationships/image" Target="media/image132.wmf"/><Relationship Id="rId293" Type="http://schemas.openxmlformats.org/officeDocument/2006/relationships/image" Target="media/image141.wmf"/><Relationship Id="rId307" Type="http://schemas.openxmlformats.org/officeDocument/2006/relationships/image" Target="media/image148.wmf"/><Relationship Id="rId328" Type="http://schemas.openxmlformats.org/officeDocument/2006/relationships/image" Target="media/image158.wmf"/><Relationship Id="rId349" Type="http://schemas.openxmlformats.org/officeDocument/2006/relationships/oleObject" Target="embeddings/oleObject171.bin"/><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oleObject" Target="embeddings/oleObject63.bin"/><Relationship Id="rId153" Type="http://schemas.openxmlformats.org/officeDocument/2006/relationships/image" Target="media/image73.wmf"/><Relationship Id="rId174" Type="http://schemas.openxmlformats.org/officeDocument/2006/relationships/oleObject" Target="embeddings/oleObject84.bin"/><Relationship Id="rId195" Type="http://schemas.openxmlformats.org/officeDocument/2006/relationships/image" Target="media/image94.wmf"/><Relationship Id="rId209" Type="http://schemas.openxmlformats.org/officeDocument/2006/relationships/image" Target="media/image101.wmf"/><Relationship Id="rId360" Type="http://schemas.openxmlformats.org/officeDocument/2006/relationships/chart" Target="charts/chart7.xml"/><Relationship Id="rId381" Type="http://schemas.openxmlformats.org/officeDocument/2006/relationships/oleObject" Target="embeddings/oleObject186.bin"/><Relationship Id="rId220" Type="http://schemas.openxmlformats.org/officeDocument/2006/relationships/oleObject" Target="embeddings/oleObject107.bin"/><Relationship Id="rId241" Type="http://schemas.openxmlformats.org/officeDocument/2006/relationships/oleObject" Target="embeddings/oleObject118.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27.wmf"/><Relationship Id="rId283" Type="http://schemas.openxmlformats.org/officeDocument/2006/relationships/oleObject" Target="embeddings/oleObject139.bin"/><Relationship Id="rId318" Type="http://schemas.openxmlformats.org/officeDocument/2006/relationships/image" Target="media/image153.wmf"/><Relationship Id="rId339" Type="http://schemas.openxmlformats.org/officeDocument/2006/relationships/oleObject" Target="embeddings/oleObject166.bin"/><Relationship Id="rId78" Type="http://schemas.openxmlformats.org/officeDocument/2006/relationships/oleObject" Target="embeddings/oleObject36.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143" Type="http://schemas.openxmlformats.org/officeDocument/2006/relationships/image" Target="media/image68.wmf"/><Relationship Id="rId164" Type="http://schemas.openxmlformats.org/officeDocument/2006/relationships/oleObject" Target="embeddings/oleObject79.bin"/><Relationship Id="rId185" Type="http://schemas.openxmlformats.org/officeDocument/2006/relationships/image" Target="media/image89.wmf"/><Relationship Id="rId350" Type="http://schemas.openxmlformats.org/officeDocument/2006/relationships/image" Target="media/image167.wmf"/><Relationship Id="rId371" Type="http://schemas.openxmlformats.org/officeDocument/2006/relationships/oleObject" Target="embeddings/oleObject181.bin"/><Relationship Id="rId406" Type="http://schemas.openxmlformats.org/officeDocument/2006/relationships/image" Target="media/image194.wmf"/><Relationship Id="rId9" Type="http://schemas.openxmlformats.org/officeDocument/2006/relationships/image" Target="media/image2.wmf"/><Relationship Id="rId210" Type="http://schemas.openxmlformats.org/officeDocument/2006/relationships/oleObject" Target="embeddings/oleObject102.bin"/><Relationship Id="rId392" Type="http://schemas.openxmlformats.org/officeDocument/2006/relationships/image" Target="media/image187.wmf"/><Relationship Id="rId26" Type="http://schemas.openxmlformats.org/officeDocument/2006/relationships/image" Target="media/image10.wmf"/><Relationship Id="rId231" Type="http://schemas.openxmlformats.org/officeDocument/2006/relationships/oleObject" Target="embeddings/oleObject113.bin"/><Relationship Id="rId252" Type="http://schemas.openxmlformats.org/officeDocument/2006/relationships/image" Target="media/image122.wmf"/><Relationship Id="rId273" Type="http://schemas.openxmlformats.org/officeDocument/2006/relationships/oleObject" Target="embeddings/oleObject134.bin"/><Relationship Id="rId294" Type="http://schemas.openxmlformats.org/officeDocument/2006/relationships/oleObject" Target="embeddings/oleObject143.bin"/><Relationship Id="rId308" Type="http://schemas.openxmlformats.org/officeDocument/2006/relationships/oleObject" Target="embeddings/oleObject150.bin"/><Relationship Id="rId329" Type="http://schemas.openxmlformats.org/officeDocument/2006/relationships/oleObject" Target="embeddings/oleObject160.bin"/><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3.wmf"/><Relationship Id="rId154" Type="http://schemas.openxmlformats.org/officeDocument/2006/relationships/oleObject" Target="embeddings/oleObject74.bin"/><Relationship Id="rId175" Type="http://schemas.openxmlformats.org/officeDocument/2006/relationships/image" Target="media/image84.wmf"/><Relationship Id="rId340" Type="http://schemas.openxmlformats.org/officeDocument/2006/relationships/image" Target="media/image163.wmf"/><Relationship Id="rId361" Type="http://schemas.openxmlformats.org/officeDocument/2006/relationships/chart" Target="charts/chart8.xml"/><Relationship Id="rId196" Type="http://schemas.openxmlformats.org/officeDocument/2006/relationships/oleObject" Target="embeddings/oleObject95.bin"/><Relationship Id="rId200" Type="http://schemas.openxmlformats.org/officeDocument/2006/relationships/oleObject" Target="embeddings/oleObject97.bin"/><Relationship Id="rId382" Type="http://schemas.openxmlformats.org/officeDocument/2006/relationships/image" Target="media/image182.wmf"/><Relationship Id="rId16" Type="http://schemas.openxmlformats.org/officeDocument/2006/relationships/oleObject" Target="embeddings/oleObject5.bin"/><Relationship Id="rId221" Type="http://schemas.openxmlformats.org/officeDocument/2006/relationships/oleObject" Target="embeddings/oleObject108.bin"/><Relationship Id="rId242" Type="http://schemas.openxmlformats.org/officeDocument/2006/relationships/image" Target="media/image117.wmf"/><Relationship Id="rId263" Type="http://schemas.openxmlformats.org/officeDocument/2006/relationships/oleObject" Target="embeddings/oleObject129.bin"/><Relationship Id="rId284" Type="http://schemas.openxmlformats.org/officeDocument/2006/relationships/chart" Target="charts/chart2.xml"/><Relationship Id="rId319" Type="http://schemas.openxmlformats.org/officeDocument/2006/relationships/oleObject" Target="embeddings/oleObject155.bin"/><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8.wmf"/><Relationship Id="rId144" Type="http://schemas.openxmlformats.org/officeDocument/2006/relationships/oleObject" Target="embeddings/oleObject69.bin"/><Relationship Id="rId330" Type="http://schemas.openxmlformats.org/officeDocument/2006/relationships/image" Target="media/image159.wmf"/><Relationship Id="rId90" Type="http://schemas.openxmlformats.org/officeDocument/2006/relationships/oleObject" Target="embeddings/oleObject42.bin"/><Relationship Id="rId165" Type="http://schemas.openxmlformats.org/officeDocument/2006/relationships/image" Target="media/image79.wmf"/><Relationship Id="rId186" Type="http://schemas.openxmlformats.org/officeDocument/2006/relationships/oleObject" Target="embeddings/oleObject90.bin"/><Relationship Id="rId351" Type="http://schemas.openxmlformats.org/officeDocument/2006/relationships/oleObject" Target="embeddings/oleObject172.bin"/><Relationship Id="rId372" Type="http://schemas.openxmlformats.org/officeDocument/2006/relationships/image" Target="media/image177.wmf"/><Relationship Id="rId393" Type="http://schemas.openxmlformats.org/officeDocument/2006/relationships/oleObject" Target="embeddings/oleObject192.bin"/><Relationship Id="rId407" Type="http://schemas.openxmlformats.org/officeDocument/2006/relationships/oleObject" Target="embeddings/oleObject199.bin"/><Relationship Id="rId211" Type="http://schemas.openxmlformats.org/officeDocument/2006/relationships/image" Target="media/image102.wmf"/><Relationship Id="rId232" Type="http://schemas.openxmlformats.org/officeDocument/2006/relationships/image" Target="media/image112.wmf"/><Relationship Id="rId253" Type="http://schemas.openxmlformats.org/officeDocument/2006/relationships/oleObject" Target="embeddings/oleObject124.bin"/><Relationship Id="rId274" Type="http://schemas.openxmlformats.org/officeDocument/2006/relationships/image" Target="media/image133.wmf"/><Relationship Id="rId295" Type="http://schemas.openxmlformats.org/officeDocument/2006/relationships/image" Target="media/image142.wmf"/><Relationship Id="rId309" Type="http://schemas.openxmlformats.org/officeDocument/2006/relationships/image" Target="media/image149.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4.bin"/><Relationship Id="rId320" Type="http://schemas.openxmlformats.org/officeDocument/2006/relationships/image" Target="media/image154.wmf"/><Relationship Id="rId80" Type="http://schemas.openxmlformats.org/officeDocument/2006/relationships/oleObject" Target="embeddings/oleObject37.bin"/><Relationship Id="rId155" Type="http://schemas.openxmlformats.org/officeDocument/2006/relationships/image" Target="media/image74.wmf"/><Relationship Id="rId176" Type="http://schemas.openxmlformats.org/officeDocument/2006/relationships/oleObject" Target="embeddings/oleObject85.bin"/><Relationship Id="rId197" Type="http://schemas.openxmlformats.org/officeDocument/2006/relationships/image" Target="media/image95.wmf"/><Relationship Id="rId341" Type="http://schemas.openxmlformats.org/officeDocument/2006/relationships/oleObject" Target="embeddings/oleObject167.bin"/><Relationship Id="rId362" Type="http://schemas.openxmlformats.org/officeDocument/2006/relationships/image" Target="media/image172.wmf"/><Relationship Id="rId383" Type="http://schemas.openxmlformats.org/officeDocument/2006/relationships/oleObject" Target="embeddings/oleObject187.bin"/><Relationship Id="rId201" Type="http://schemas.openxmlformats.org/officeDocument/2006/relationships/image" Target="media/image97.wmf"/><Relationship Id="rId222" Type="http://schemas.openxmlformats.org/officeDocument/2006/relationships/image" Target="media/image107.wmf"/><Relationship Id="rId243" Type="http://schemas.openxmlformats.org/officeDocument/2006/relationships/oleObject" Target="embeddings/oleObject119.bin"/><Relationship Id="rId264" Type="http://schemas.openxmlformats.org/officeDocument/2006/relationships/image" Target="media/image128.wmf"/><Relationship Id="rId285" Type="http://schemas.openxmlformats.org/officeDocument/2006/relationships/chart" Target="charts/chart3.xml"/><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9.bin"/><Relationship Id="rId310" Type="http://schemas.openxmlformats.org/officeDocument/2006/relationships/oleObject" Target="embeddings/oleObject151.bin"/><Relationship Id="rId70" Type="http://schemas.openxmlformats.org/officeDocument/2006/relationships/oleObject" Target="embeddings/oleObject32.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oleObject" Target="embeddings/oleObject80.bin"/><Relationship Id="rId187" Type="http://schemas.openxmlformats.org/officeDocument/2006/relationships/image" Target="media/image90.wmf"/><Relationship Id="rId331" Type="http://schemas.openxmlformats.org/officeDocument/2006/relationships/oleObject" Target="embeddings/oleObject161.bin"/><Relationship Id="rId352" Type="http://schemas.openxmlformats.org/officeDocument/2006/relationships/image" Target="media/image168.wmf"/><Relationship Id="rId373" Type="http://schemas.openxmlformats.org/officeDocument/2006/relationships/oleObject" Target="embeddings/oleObject182.bin"/><Relationship Id="rId394" Type="http://schemas.openxmlformats.org/officeDocument/2006/relationships/image" Target="media/image188.wmf"/><Relationship Id="rId408" Type="http://schemas.openxmlformats.org/officeDocument/2006/relationships/image" Target="media/image195.wmf"/><Relationship Id="rId1" Type="http://schemas.openxmlformats.org/officeDocument/2006/relationships/numbering" Target="numbering.xml"/><Relationship Id="rId212" Type="http://schemas.openxmlformats.org/officeDocument/2006/relationships/oleObject" Target="embeddings/oleObject103.bin"/><Relationship Id="rId233" Type="http://schemas.openxmlformats.org/officeDocument/2006/relationships/oleObject" Target="embeddings/oleObject114.bin"/><Relationship Id="rId254" Type="http://schemas.openxmlformats.org/officeDocument/2006/relationships/image" Target="media/image123.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4.bin"/><Relationship Id="rId275" Type="http://schemas.openxmlformats.org/officeDocument/2006/relationships/oleObject" Target="embeddings/oleObject135.bin"/><Relationship Id="rId296" Type="http://schemas.openxmlformats.org/officeDocument/2006/relationships/oleObject" Target="embeddings/oleObject144.bin"/><Relationship Id="rId300" Type="http://schemas.openxmlformats.org/officeDocument/2006/relationships/oleObject" Target="embeddings/oleObject146.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5.bin"/><Relationship Id="rId177" Type="http://schemas.openxmlformats.org/officeDocument/2006/relationships/image" Target="media/image85.wmf"/><Relationship Id="rId198" Type="http://schemas.openxmlformats.org/officeDocument/2006/relationships/oleObject" Target="embeddings/oleObject96.bin"/><Relationship Id="rId321" Type="http://schemas.openxmlformats.org/officeDocument/2006/relationships/oleObject" Target="embeddings/oleObject156.bin"/><Relationship Id="rId342" Type="http://schemas.openxmlformats.org/officeDocument/2006/relationships/chart" Target="charts/chart6.xml"/><Relationship Id="rId363" Type="http://schemas.openxmlformats.org/officeDocument/2006/relationships/oleObject" Target="embeddings/oleObject177.bin"/><Relationship Id="rId384" Type="http://schemas.openxmlformats.org/officeDocument/2006/relationships/image" Target="media/image183.wmf"/><Relationship Id="rId202" Type="http://schemas.openxmlformats.org/officeDocument/2006/relationships/oleObject" Target="embeddings/oleObject98.bin"/><Relationship Id="rId223" Type="http://schemas.openxmlformats.org/officeDocument/2006/relationships/oleObject" Target="embeddings/oleObject109.bin"/><Relationship Id="rId244" Type="http://schemas.openxmlformats.org/officeDocument/2006/relationships/image" Target="media/image118.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oleObject" Target="embeddings/oleObject130.bin"/><Relationship Id="rId286" Type="http://schemas.openxmlformats.org/officeDocument/2006/relationships/image" Target="media/image138.wmf"/><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9.wmf"/><Relationship Id="rId146" Type="http://schemas.openxmlformats.org/officeDocument/2006/relationships/oleObject" Target="embeddings/oleObject70.bin"/><Relationship Id="rId167" Type="http://schemas.openxmlformats.org/officeDocument/2006/relationships/image" Target="media/image80.wmf"/><Relationship Id="rId188" Type="http://schemas.openxmlformats.org/officeDocument/2006/relationships/oleObject" Target="embeddings/oleObject91.bin"/><Relationship Id="rId311" Type="http://schemas.openxmlformats.org/officeDocument/2006/relationships/image" Target="media/image150.wmf"/><Relationship Id="rId332" Type="http://schemas.openxmlformats.org/officeDocument/2006/relationships/image" Target="media/image160.wmf"/><Relationship Id="rId353" Type="http://schemas.openxmlformats.org/officeDocument/2006/relationships/oleObject" Target="embeddings/oleObject173.bin"/><Relationship Id="rId374" Type="http://schemas.openxmlformats.org/officeDocument/2006/relationships/image" Target="media/image178.wmf"/><Relationship Id="rId395" Type="http://schemas.openxmlformats.org/officeDocument/2006/relationships/oleObject" Target="embeddings/oleObject193.bin"/><Relationship Id="rId409" Type="http://schemas.openxmlformats.org/officeDocument/2006/relationships/oleObject" Target="embeddings/oleObject200.bin"/><Relationship Id="rId71" Type="http://schemas.openxmlformats.org/officeDocument/2006/relationships/image" Target="media/image32.wmf"/><Relationship Id="rId92" Type="http://schemas.openxmlformats.org/officeDocument/2006/relationships/oleObject" Target="embeddings/oleObject43.bin"/><Relationship Id="rId213" Type="http://schemas.openxmlformats.org/officeDocument/2006/relationships/image" Target="media/image103.wmf"/><Relationship Id="rId234" Type="http://schemas.openxmlformats.org/officeDocument/2006/relationships/image" Target="media/image113.wmf"/><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oleObject" Target="embeddings/oleObject125.bin"/><Relationship Id="rId276" Type="http://schemas.openxmlformats.org/officeDocument/2006/relationships/image" Target="media/image134.wmf"/><Relationship Id="rId297" Type="http://schemas.openxmlformats.org/officeDocument/2006/relationships/image" Target="media/image143.wmf"/><Relationship Id="rId40" Type="http://schemas.openxmlformats.org/officeDocument/2006/relationships/image" Target="media/image17.wmf"/><Relationship Id="rId115" Type="http://schemas.openxmlformats.org/officeDocument/2006/relationships/image" Target="media/image54.wmf"/><Relationship Id="rId136" Type="http://schemas.openxmlformats.org/officeDocument/2006/relationships/oleObject" Target="embeddings/oleObject65.bin"/><Relationship Id="rId157" Type="http://schemas.openxmlformats.org/officeDocument/2006/relationships/image" Target="media/image75.wmf"/><Relationship Id="rId178" Type="http://schemas.openxmlformats.org/officeDocument/2006/relationships/oleObject" Target="embeddings/oleObject86.bin"/><Relationship Id="rId301" Type="http://schemas.openxmlformats.org/officeDocument/2006/relationships/image" Target="media/image145.wmf"/><Relationship Id="rId322" Type="http://schemas.openxmlformats.org/officeDocument/2006/relationships/image" Target="media/image155.wmf"/><Relationship Id="rId343" Type="http://schemas.openxmlformats.org/officeDocument/2006/relationships/image" Target="media/image164.wmf"/><Relationship Id="rId364" Type="http://schemas.openxmlformats.org/officeDocument/2006/relationships/image" Target="media/image173.wmf"/><Relationship Id="rId61" Type="http://schemas.openxmlformats.org/officeDocument/2006/relationships/image" Target="media/image27.wmf"/><Relationship Id="rId82" Type="http://schemas.openxmlformats.org/officeDocument/2006/relationships/oleObject" Target="embeddings/oleObject38.bin"/><Relationship Id="rId199" Type="http://schemas.openxmlformats.org/officeDocument/2006/relationships/image" Target="media/image96.wmf"/><Relationship Id="rId203" Type="http://schemas.openxmlformats.org/officeDocument/2006/relationships/image" Target="media/image98.wmf"/><Relationship Id="rId385" Type="http://schemas.openxmlformats.org/officeDocument/2006/relationships/oleObject" Target="embeddings/oleObject188.bin"/><Relationship Id="rId19" Type="http://schemas.openxmlformats.org/officeDocument/2006/relationships/chart" Target="charts/chart1.xml"/><Relationship Id="rId224" Type="http://schemas.openxmlformats.org/officeDocument/2006/relationships/image" Target="media/image108.wmf"/><Relationship Id="rId245" Type="http://schemas.openxmlformats.org/officeDocument/2006/relationships/oleObject" Target="embeddings/oleObject120.bin"/><Relationship Id="rId266" Type="http://schemas.openxmlformats.org/officeDocument/2006/relationships/image" Target="media/image129.wmf"/><Relationship Id="rId287" Type="http://schemas.openxmlformats.org/officeDocument/2006/relationships/oleObject" Target="embeddings/oleObject140.bin"/><Relationship Id="rId410" Type="http://schemas.openxmlformats.org/officeDocument/2006/relationships/footer" Target="footer1.xml"/><Relationship Id="rId30" Type="http://schemas.openxmlformats.org/officeDocument/2006/relationships/image" Target="media/image12.wmf"/><Relationship Id="rId105" Type="http://schemas.openxmlformats.org/officeDocument/2006/relationships/image" Target="media/image49.wmf"/><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oleObject" Target="embeddings/oleObject81.bin"/><Relationship Id="rId312" Type="http://schemas.openxmlformats.org/officeDocument/2006/relationships/oleObject" Target="embeddings/oleObject152.bin"/><Relationship Id="rId333" Type="http://schemas.openxmlformats.org/officeDocument/2006/relationships/oleObject" Target="embeddings/oleObject162.bin"/><Relationship Id="rId354" Type="http://schemas.openxmlformats.org/officeDocument/2006/relationships/image" Target="media/image169.wmf"/><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3.wmf"/><Relationship Id="rId189" Type="http://schemas.openxmlformats.org/officeDocument/2006/relationships/image" Target="media/image91.wmf"/><Relationship Id="rId375" Type="http://schemas.openxmlformats.org/officeDocument/2006/relationships/oleObject" Target="embeddings/oleObject183.bin"/><Relationship Id="rId396" Type="http://schemas.openxmlformats.org/officeDocument/2006/relationships/image" Target="media/image189.wmf"/><Relationship Id="rId3" Type="http://schemas.openxmlformats.org/officeDocument/2006/relationships/settings" Target="settings.xml"/><Relationship Id="rId214" Type="http://schemas.openxmlformats.org/officeDocument/2006/relationships/oleObject" Target="embeddings/oleObject104.bin"/><Relationship Id="rId235" Type="http://schemas.openxmlformats.org/officeDocument/2006/relationships/oleObject" Target="embeddings/oleObject115.bin"/><Relationship Id="rId256" Type="http://schemas.openxmlformats.org/officeDocument/2006/relationships/image" Target="media/image124.wmf"/><Relationship Id="rId277" Type="http://schemas.openxmlformats.org/officeDocument/2006/relationships/oleObject" Target="embeddings/oleObject136.bin"/><Relationship Id="rId298" Type="http://schemas.openxmlformats.org/officeDocument/2006/relationships/oleObject" Target="embeddings/oleObject145.bin"/><Relationship Id="rId400" Type="http://schemas.openxmlformats.org/officeDocument/2006/relationships/image" Target="media/image191.wmf"/><Relationship Id="rId116" Type="http://schemas.openxmlformats.org/officeDocument/2006/relationships/oleObject" Target="embeddings/oleObject55.bin"/><Relationship Id="rId137" Type="http://schemas.openxmlformats.org/officeDocument/2006/relationships/image" Target="media/image65.wmf"/><Relationship Id="rId158" Type="http://schemas.openxmlformats.org/officeDocument/2006/relationships/oleObject" Target="embeddings/oleObject76.bin"/><Relationship Id="rId302" Type="http://schemas.openxmlformats.org/officeDocument/2006/relationships/oleObject" Target="embeddings/oleObject147.bin"/><Relationship Id="rId323" Type="http://schemas.openxmlformats.org/officeDocument/2006/relationships/oleObject" Target="embeddings/oleObject157.bin"/><Relationship Id="rId344" Type="http://schemas.openxmlformats.org/officeDocument/2006/relationships/oleObject" Target="embeddings/oleObject168.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8.wmf"/><Relationship Id="rId179" Type="http://schemas.openxmlformats.org/officeDocument/2006/relationships/image" Target="media/image86.wmf"/><Relationship Id="rId365" Type="http://schemas.openxmlformats.org/officeDocument/2006/relationships/oleObject" Target="embeddings/oleObject178.bin"/><Relationship Id="rId386" Type="http://schemas.openxmlformats.org/officeDocument/2006/relationships/image" Target="media/image184.wmf"/><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oleObject" Target="embeddings/oleObject110.bin"/><Relationship Id="rId246" Type="http://schemas.openxmlformats.org/officeDocument/2006/relationships/image" Target="media/image119.wmf"/><Relationship Id="rId267" Type="http://schemas.openxmlformats.org/officeDocument/2006/relationships/oleObject" Target="embeddings/oleObject131.bin"/><Relationship Id="rId288" Type="http://schemas.openxmlformats.org/officeDocument/2006/relationships/image" Target="media/image139.wmf"/><Relationship Id="rId411" Type="http://schemas.openxmlformats.org/officeDocument/2006/relationships/footer" Target="footer2.xml"/><Relationship Id="rId106" Type="http://schemas.openxmlformats.org/officeDocument/2006/relationships/oleObject" Target="embeddings/oleObject50.bin"/><Relationship Id="rId127" Type="http://schemas.openxmlformats.org/officeDocument/2006/relationships/image" Target="media/image60.wmf"/><Relationship Id="rId313" Type="http://schemas.openxmlformats.org/officeDocument/2006/relationships/image" Target="media/image151.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3.wmf"/><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image" Target="media/image81.wmf"/><Relationship Id="rId334" Type="http://schemas.openxmlformats.org/officeDocument/2006/relationships/image" Target="media/image161.wmf"/><Relationship Id="rId355" Type="http://schemas.openxmlformats.org/officeDocument/2006/relationships/oleObject" Target="embeddings/oleObject174.bin"/><Relationship Id="rId376" Type="http://schemas.openxmlformats.org/officeDocument/2006/relationships/image" Target="media/image179.wmf"/><Relationship Id="rId397" Type="http://schemas.openxmlformats.org/officeDocument/2006/relationships/oleObject" Target="embeddings/oleObject194.bin"/><Relationship Id="rId4" Type="http://schemas.openxmlformats.org/officeDocument/2006/relationships/webSettings" Target="webSettings.xml"/><Relationship Id="rId180" Type="http://schemas.openxmlformats.org/officeDocument/2006/relationships/oleObject" Target="embeddings/oleObject87.bin"/><Relationship Id="rId215" Type="http://schemas.openxmlformats.org/officeDocument/2006/relationships/image" Target="media/image104.wmf"/><Relationship Id="rId236" Type="http://schemas.openxmlformats.org/officeDocument/2006/relationships/image" Target="media/image114.wmf"/><Relationship Id="rId257" Type="http://schemas.openxmlformats.org/officeDocument/2006/relationships/oleObject" Target="embeddings/oleObject126.bin"/><Relationship Id="rId278" Type="http://schemas.openxmlformats.org/officeDocument/2006/relationships/image" Target="media/image135.wmf"/><Relationship Id="rId401" Type="http://schemas.openxmlformats.org/officeDocument/2006/relationships/oleObject" Target="embeddings/oleObject196.bin"/><Relationship Id="rId303" Type="http://schemas.openxmlformats.org/officeDocument/2006/relationships/image" Target="media/image146.wmf"/><Relationship Id="rId42" Type="http://schemas.openxmlformats.org/officeDocument/2006/relationships/image" Target="media/image18.wmf"/><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oleObject" Target="embeddings/oleObject169.bin"/><Relationship Id="rId387" Type="http://schemas.openxmlformats.org/officeDocument/2006/relationships/oleObject" Target="embeddings/oleObject189.bin"/><Relationship Id="rId191" Type="http://schemas.openxmlformats.org/officeDocument/2006/relationships/image" Target="media/image92.wmf"/><Relationship Id="rId205" Type="http://schemas.openxmlformats.org/officeDocument/2006/relationships/image" Target="media/image99.wmf"/><Relationship Id="rId247" Type="http://schemas.openxmlformats.org/officeDocument/2006/relationships/oleObject" Target="embeddings/oleObject121.bin"/><Relationship Id="rId412" Type="http://schemas.openxmlformats.org/officeDocument/2006/relationships/fontTable" Target="fontTable.xml"/><Relationship Id="rId107" Type="http://schemas.openxmlformats.org/officeDocument/2006/relationships/image" Target="media/image50.wmf"/><Relationship Id="rId289" Type="http://schemas.openxmlformats.org/officeDocument/2006/relationships/oleObject" Target="embeddings/oleObject141.bin"/><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71.wmf"/><Relationship Id="rId314" Type="http://schemas.openxmlformats.org/officeDocument/2006/relationships/oleObject" Target="embeddings/oleObject153.bin"/><Relationship Id="rId356" Type="http://schemas.openxmlformats.org/officeDocument/2006/relationships/image" Target="media/image170.wmf"/><Relationship Id="rId398" Type="http://schemas.openxmlformats.org/officeDocument/2006/relationships/image" Target="media/image190.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Macro-Enabled_Worksheet1.xlsm"/></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Macro-Enabled_Worksheet2.xlsm"/></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Macro-Enabled_Worksheet3.xlsm"/></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50" b="1" i="0" u="none" strike="noStrike" baseline="0">
                <a:solidFill>
                  <a:srgbClr val="000000"/>
                </a:solidFill>
                <a:latin typeface="Arial"/>
                <a:ea typeface="Arial"/>
                <a:cs typeface="Arial"/>
              </a:defRPr>
            </a:pPr>
            <a:r>
              <a:rPr lang="en-US"/>
              <a:t>Implied zero rates, 2000-10-02</a:t>
            </a:r>
          </a:p>
        </c:rich>
      </c:tx>
      <c:layout>
        <c:manualLayout>
          <c:xMode val="edge"/>
          <c:yMode val="edge"/>
          <c:x val="0.26010101010101011"/>
          <c:y val="1.9021739130434784E-2"/>
        </c:manualLayout>
      </c:layout>
      <c:overlay val="0"/>
      <c:spPr>
        <a:noFill/>
        <a:ln w="25399">
          <a:noFill/>
        </a:ln>
      </c:spPr>
    </c:title>
    <c:autoTitleDeleted val="0"/>
    <c:plotArea>
      <c:layout>
        <c:manualLayout>
          <c:layoutTarget val="inner"/>
          <c:xMode val="edge"/>
          <c:yMode val="edge"/>
          <c:x val="0.12121212121212122"/>
          <c:y val="0.16032608695652173"/>
          <c:w val="0.85353535353535348"/>
          <c:h val="0.74184782608695654"/>
        </c:manualLayout>
      </c:layout>
      <c:scatterChart>
        <c:scatterStyle val="lineMarker"/>
        <c:varyColors val="0"/>
        <c:ser>
          <c:idx val="5"/>
          <c:order val="0"/>
          <c:tx>
            <c:v>Swedish government bonds</c:v>
          </c:tx>
          <c:spPr>
            <a:ln w="12699">
              <a:solidFill>
                <a:srgbClr val="FF6600"/>
              </a:solidFill>
              <a:prstDash val="solid"/>
            </a:ln>
          </c:spPr>
          <c:marker>
            <c:symbol val="none"/>
          </c:marker>
          <c:xVal>
            <c:numRef>
              <c:f>Sheet1!$Q$2:$Q$100</c:f>
              <c:numCache>
                <c:formatCode>General</c:formatCode>
                <c:ptCount val="99"/>
                <c:pt idx="0">
                  <c:v>2.7397260273972603E-3</c:v>
                </c:pt>
                <c:pt idx="1">
                  <c:v>3.0136986301369864E-2</c:v>
                </c:pt>
                <c:pt idx="2">
                  <c:v>5.7534246575342465E-2</c:v>
                </c:pt>
                <c:pt idx="3">
                  <c:v>8.4931506849315067E-2</c:v>
                </c:pt>
                <c:pt idx="4">
                  <c:v>0.11232876712328767</c:v>
                </c:pt>
                <c:pt idx="5">
                  <c:v>0.13972602739726028</c:v>
                </c:pt>
                <c:pt idx="6">
                  <c:v>0.16712328767123288</c:v>
                </c:pt>
                <c:pt idx="7">
                  <c:v>0.19452054794520549</c:v>
                </c:pt>
                <c:pt idx="8">
                  <c:v>0.22191780821917809</c:v>
                </c:pt>
                <c:pt idx="9">
                  <c:v>0.24931506849315069</c:v>
                </c:pt>
                <c:pt idx="10">
                  <c:v>0.27671232876712326</c:v>
                </c:pt>
                <c:pt idx="11">
                  <c:v>0.30410958904109592</c:v>
                </c:pt>
                <c:pt idx="12">
                  <c:v>0.33150684931506852</c:v>
                </c:pt>
                <c:pt idx="13">
                  <c:v>0.35890410958904112</c:v>
                </c:pt>
                <c:pt idx="14">
                  <c:v>0.38630136986301372</c:v>
                </c:pt>
                <c:pt idx="15">
                  <c:v>0.41369863013698632</c:v>
                </c:pt>
                <c:pt idx="16">
                  <c:v>0.44109589041095892</c:v>
                </c:pt>
                <c:pt idx="17">
                  <c:v>0.46849315068493153</c:v>
                </c:pt>
                <c:pt idx="18">
                  <c:v>0.49589041095890413</c:v>
                </c:pt>
                <c:pt idx="19">
                  <c:v>0.57808219178082187</c:v>
                </c:pt>
                <c:pt idx="20">
                  <c:v>0.66027397260273968</c:v>
                </c:pt>
                <c:pt idx="21">
                  <c:v>0.74246575342465748</c:v>
                </c:pt>
                <c:pt idx="22">
                  <c:v>0.8246575342465754</c:v>
                </c:pt>
                <c:pt idx="23">
                  <c:v>0.9068493150684932</c:v>
                </c:pt>
                <c:pt idx="24">
                  <c:v>0.989041095890411</c:v>
                </c:pt>
                <c:pt idx="25">
                  <c:v>1.0712328767123287</c:v>
                </c:pt>
                <c:pt idx="26">
                  <c:v>1.1534246575342466</c:v>
                </c:pt>
                <c:pt idx="27">
                  <c:v>1.2356164383561643</c:v>
                </c:pt>
                <c:pt idx="28">
                  <c:v>1.3178082191780822</c:v>
                </c:pt>
                <c:pt idx="29">
                  <c:v>1.4</c:v>
                </c:pt>
                <c:pt idx="30">
                  <c:v>1.4821917808219178</c:v>
                </c:pt>
                <c:pt idx="31">
                  <c:v>1.5643835616438355</c:v>
                </c:pt>
                <c:pt idx="32">
                  <c:v>1.6465753424657534</c:v>
                </c:pt>
                <c:pt idx="33">
                  <c:v>1.7287671232876711</c:v>
                </c:pt>
                <c:pt idx="34">
                  <c:v>1.8383561643835618</c:v>
                </c:pt>
                <c:pt idx="35">
                  <c:v>1.9479452054794522</c:v>
                </c:pt>
                <c:pt idx="36">
                  <c:v>2.0575342465753423</c:v>
                </c:pt>
                <c:pt idx="37">
                  <c:v>2.1671232876712327</c:v>
                </c:pt>
                <c:pt idx="38">
                  <c:v>2.2767123287671232</c:v>
                </c:pt>
                <c:pt idx="39">
                  <c:v>2.3863013698630136</c:v>
                </c:pt>
                <c:pt idx="40">
                  <c:v>2.495890410958904</c:v>
                </c:pt>
                <c:pt idx="41">
                  <c:v>2.6054794520547944</c:v>
                </c:pt>
                <c:pt idx="42">
                  <c:v>2.7150684931506848</c:v>
                </c:pt>
                <c:pt idx="43">
                  <c:v>2.8246575342465752</c:v>
                </c:pt>
                <c:pt idx="44">
                  <c:v>2.9342465753424656</c:v>
                </c:pt>
                <c:pt idx="45">
                  <c:v>3.043835616438356</c:v>
                </c:pt>
                <c:pt idx="46">
                  <c:v>3.1534246575342464</c:v>
                </c:pt>
                <c:pt idx="47">
                  <c:v>3.2630136986301368</c:v>
                </c:pt>
                <c:pt idx="48">
                  <c:v>3.4</c:v>
                </c:pt>
                <c:pt idx="49">
                  <c:v>3.536986301369863</c:v>
                </c:pt>
                <c:pt idx="50">
                  <c:v>3.6739726027397261</c:v>
                </c:pt>
                <c:pt idx="51">
                  <c:v>3.8109589041095893</c:v>
                </c:pt>
                <c:pt idx="52">
                  <c:v>3.9479452054794519</c:v>
                </c:pt>
                <c:pt idx="53">
                  <c:v>4.0849315068493155</c:v>
                </c:pt>
                <c:pt idx="54">
                  <c:v>4.2219178082191782</c:v>
                </c:pt>
                <c:pt idx="55">
                  <c:v>4.3589041095890408</c:v>
                </c:pt>
                <c:pt idx="56">
                  <c:v>4.4958904109589044</c:v>
                </c:pt>
                <c:pt idx="57">
                  <c:v>4.6328767123287671</c:v>
                </c:pt>
                <c:pt idx="58">
                  <c:v>4.7698630136986298</c:v>
                </c:pt>
                <c:pt idx="59">
                  <c:v>4.9068493150684933</c:v>
                </c:pt>
                <c:pt idx="60">
                  <c:v>5.043835616438356</c:v>
                </c:pt>
                <c:pt idx="61">
                  <c:v>5.1808219178082195</c:v>
                </c:pt>
                <c:pt idx="62">
                  <c:v>5.4547945205479449</c:v>
                </c:pt>
                <c:pt idx="63">
                  <c:v>5.7287671232876711</c:v>
                </c:pt>
                <c:pt idx="64">
                  <c:v>6.0027397260273974</c:v>
                </c:pt>
                <c:pt idx="65">
                  <c:v>6.2767123287671236</c:v>
                </c:pt>
                <c:pt idx="66">
                  <c:v>6.5506849315068489</c:v>
                </c:pt>
                <c:pt idx="67">
                  <c:v>6.8246575342465752</c:v>
                </c:pt>
                <c:pt idx="68">
                  <c:v>7.0986301369863014</c:v>
                </c:pt>
                <c:pt idx="69">
                  <c:v>7.3726027397260276</c:v>
                </c:pt>
                <c:pt idx="70">
                  <c:v>7.646575342465753</c:v>
                </c:pt>
                <c:pt idx="71">
                  <c:v>7.9205479452054792</c:v>
                </c:pt>
                <c:pt idx="72">
                  <c:v>8.1945205479452063</c:v>
                </c:pt>
                <c:pt idx="73">
                  <c:v>8.4684931506849317</c:v>
                </c:pt>
                <c:pt idx="74">
                  <c:v>8.742465753424657</c:v>
                </c:pt>
                <c:pt idx="75">
                  <c:v>9.0164383561643842</c:v>
                </c:pt>
                <c:pt idx="76">
                  <c:v>9.2904109589041095</c:v>
                </c:pt>
                <c:pt idx="77">
                  <c:v>9.5643835616438349</c:v>
                </c:pt>
                <c:pt idx="78">
                  <c:v>9.838356164383562</c:v>
                </c:pt>
                <c:pt idx="79">
                  <c:v>10.112328767123287</c:v>
                </c:pt>
                <c:pt idx="80">
                  <c:v>10.386301369863014</c:v>
                </c:pt>
                <c:pt idx="81">
                  <c:v>10.66027397260274</c:v>
                </c:pt>
                <c:pt idx="82">
                  <c:v>11.07123287671233</c:v>
                </c:pt>
                <c:pt idx="83">
                  <c:v>11.482191780821918</c:v>
                </c:pt>
                <c:pt idx="84">
                  <c:v>11.893150684931507</c:v>
                </c:pt>
                <c:pt idx="85">
                  <c:v>12.304109589041095</c:v>
                </c:pt>
                <c:pt idx="86">
                  <c:v>12.715068493150685</c:v>
                </c:pt>
                <c:pt idx="87">
                  <c:v>13.126027397260273</c:v>
                </c:pt>
                <c:pt idx="88">
                  <c:v>13.536986301369863</c:v>
                </c:pt>
                <c:pt idx="89">
                  <c:v>13.947945205479453</c:v>
                </c:pt>
                <c:pt idx="90">
                  <c:v>14.358904109589041</c:v>
                </c:pt>
                <c:pt idx="91">
                  <c:v>14.769863013698631</c:v>
                </c:pt>
                <c:pt idx="92">
                  <c:v>15.180821917808219</c:v>
                </c:pt>
                <c:pt idx="93">
                  <c:v>15.591780821917808</c:v>
                </c:pt>
                <c:pt idx="94">
                  <c:v>16.002739726027396</c:v>
                </c:pt>
                <c:pt idx="95">
                  <c:v>16.413698630136988</c:v>
                </c:pt>
                <c:pt idx="96">
                  <c:v>16.712328767123289</c:v>
                </c:pt>
                <c:pt idx="97">
                  <c:v>17.260273972602739</c:v>
                </c:pt>
                <c:pt idx="98">
                  <c:v>18.082191780821919</c:v>
                </c:pt>
              </c:numCache>
            </c:numRef>
          </c:xVal>
          <c:yVal>
            <c:numRef>
              <c:f>Sheet1!$G$2:$G$100</c:f>
              <c:numCache>
                <c:formatCode>0.000</c:formatCode>
                <c:ptCount val="99"/>
                <c:pt idx="0">
                  <c:v>4.2736924355466961</c:v>
                </c:pt>
                <c:pt idx="1">
                  <c:v>4.282143601866335</c:v>
                </c:pt>
                <c:pt idx="2">
                  <c:v>4.290550676623738</c:v>
                </c:pt>
                <c:pt idx="3">
                  <c:v>4.2989136490449003</c:v>
                </c:pt>
                <c:pt idx="4">
                  <c:v>4.3072325084119054</c:v>
                </c:pt>
                <c:pt idx="5">
                  <c:v>4.3155072440624904</c:v>
                </c:pt>
                <c:pt idx="6">
                  <c:v>4.3237378453908075</c:v>
                </c:pt>
                <c:pt idx="7">
                  <c:v>4.3319243018466178</c:v>
                </c:pt>
                <c:pt idx="8">
                  <c:v>4.3400666029360844</c:v>
                </c:pt>
                <c:pt idx="9">
                  <c:v>4.348164738221171</c:v>
                </c:pt>
                <c:pt idx="10">
                  <c:v>4.356218697320057</c:v>
                </c:pt>
                <c:pt idx="11">
                  <c:v>4.3642284699069167</c:v>
                </c:pt>
                <c:pt idx="12">
                  <c:v>4.3721940457121011</c:v>
                </c:pt>
                <c:pt idx="13">
                  <c:v>4.3801154145221339</c:v>
                </c:pt>
                <c:pt idx="14">
                  <c:v>4.3879925661796406</c:v>
                </c:pt>
                <c:pt idx="15">
                  <c:v>4.395825490583511</c:v>
                </c:pt>
                <c:pt idx="16">
                  <c:v>4.4036141776887208</c:v>
                </c:pt>
                <c:pt idx="17">
                  <c:v>4.411358617506604</c:v>
                </c:pt>
                <c:pt idx="18">
                  <c:v>4.4190588001046605</c:v>
                </c:pt>
                <c:pt idx="19">
                  <c:v>4.441893706099485</c:v>
                </c:pt>
                <c:pt idx="20">
                  <c:v>4.4643299449515714</c:v>
                </c:pt>
                <c:pt idx="21">
                  <c:v>4.4863672576093716</c:v>
                </c:pt>
                <c:pt idx="22">
                  <c:v>4.5080053895910872</c:v>
                </c:pt>
                <c:pt idx="23">
                  <c:v>4.5292440909896801</c:v>
                </c:pt>
                <c:pt idx="24">
                  <c:v>4.5500831164775484</c:v>
                </c:pt>
                <c:pt idx="25">
                  <c:v>4.570522225311378</c:v>
                </c:pt>
                <c:pt idx="26">
                  <c:v>4.5905611813366827</c:v>
                </c:pt>
                <c:pt idx="27">
                  <c:v>4.6101997529924041</c:v>
                </c:pt>
                <c:pt idx="28">
                  <c:v>4.6294377133153501</c:v>
                </c:pt>
                <c:pt idx="29">
                  <c:v>4.6482748399445821</c:v>
                </c:pt>
                <c:pt idx="30">
                  <c:v>4.6667109151256758</c:v>
                </c:pt>
                <c:pt idx="31">
                  <c:v>4.6847457257149339</c:v>
                </c:pt>
                <c:pt idx="32">
                  <c:v>4.7023790631834883</c:v>
                </c:pt>
                <c:pt idx="33">
                  <c:v>4.719610723621332</c:v>
                </c:pt>
                <c:pt idx="34">
                  <c:v>4.7419610961543359</c:v>
                </c:pt>
                <c:pt idx="35">
                  <c:v>4.7635965628447225</c:v>
                </c:pt>
                <c:pt idx="36">
                  <c:v>4.7845166787423645</c:v>
                </c:pt>
                <c:pt idx="37">
                  <c:v>4.8047210135505187</c:v>
                </c:pt>
                <c:pt idx="38">
                  <c:v>4.824209151640531</c:v>
                </c:pt>
                <c:pt idx="39">
                  <c:v>4.8429806920661411</c:v>
                </c:pt>
                <c:pt idx="40">
                  <c:v>4.8610352485771893</c:v>
                </c:pt>
                <c:pt idx="41">
                  <c:v>4.8783694767665216</c:v>
                </c:pt>
                <c:pt idx="42">
                  <c:v>4.8949181338351311</c:v>
                </c:pt>
                <c:pt idx="43">
                  <c:v>4.9106971373232149</c:v>
                </c:pt>
                <c:pt idx="44">
                  <c:v>4.9257634560187986</c:v>
                </c:pt>
                <c:pt idx="45">
                  <c:v>4.9401741069643093</c:v>
                </c:pt>
                <c:pt idx="46">
                  <c:v>4.9539861517288832</c:v>
                </c:pt>
                <c:pt idx="47">
                  <c:v>4.967256692990393</c:v>
                </c:pt>
                <c:pt idx="48">
                  <c:v>4.9828736979426944</c:v>
                </c:pt>
                <c:pt idx="49">
                  <c:v>4.997156854988674</c:v>
                </c:pt>
                <c:pt idx="50">
                  <c:v>5.0103346328196059</c:v>
                </c:pt>
                <c:pt idx="51">
                  <c:v>5.0226414699446282</c:v>
                </c:pt>
                <c:pt idx="52">
                  <c:v>5.0343119410460773</c:v>
                </c:pt>
                <c:pt idx="53">
                  <c:v>5.0455807401361357</c:v>
                </c:pt>
                <c:pt idx="54">
                  <c:v>5.0566826689550819</c:v>
                </c:pt>
                <c:pt idx="55">
                  <c:v>5.0678520105952973</c:v>
                </c:pt>
                <c:pt idx="56">
                  <c:v>5.0790703544872642</c:v>
                </c:pt>
                <c:pt idx="57">
                  <c:v>5.0901393522837415</c:v>
                </c:pt>
                <c:pt idx="58">
                  <c:v>5.100964240338949</c:v>
                </c:pt>
                <c:pt idx="59">
                  <c:v>5.1114502173324752</c:v>
                </c:pt>
                <c:pt idx="60">
                  <c:v>5.1215024468976393</c:v>
                </c:pt>
                <c:pt idx="61">
                  <c:v>5.1310260611052279</c:v>
                </c:pt>
                <c:pt idx="62">
                  <c:v>5.1481078408117069</c:v>
                </c:pt>
                <c:pt idx="63">
                  <c:v>5.1616618650221611</c:v>
                </c:pt>
                <c:pt idx="64">
                  <c:v>5.1733241952870834</c:v>
                </c:pt>
                <c:pt idx="65">
                  <c:v>5.1881119952036334</c:v>
                </c:pt>
                <c:pt idx="66">
                  <c:v>5.2049850764040144</c:v>
                </c:pt>
                <c:pt idx="67">
                  <c:v>5.2204100440069601</c:v>
                </c:pt>
                <c:pt idx="68">
                  <c:v>5.2322907470132156</c:v>
                </c:pt>
                <c:pt idx="69">
                  <c:v>5.2421121954218748</c:v>
                </c:pt>
                <c:pt idx="70">
                  <c:v>5.2509832202591511</c:v>
                </c:pt>
                <c:pt idx="71">
                  <c:v>5.2610605520227525</c:v>
                </c:pt>
                <c:pt idx="72">
                  <c:v>5.2677671408833646</c:v>
                </c:pt>
                <c:pt idx="73">
                  <c:v>5.2649509562926644</c:v>
                </c:pt>
                <c:pt idx="74">
                  <c:v>5.2602097225621076</c:v>
                </c:pt>
                <c:pt idx="75">
                  <c:v>5.257377556463581</c:v>
                </c:pt>
                <c:pt idx="76">
                  <c:v>5.2562249252827726</c:v>
                </c:pt>
                <c:pt idx="77">
                  <c:v>5.2567517738448295</c:v>
                </c:pt>
                <c:pt idx="78">
                  <c:v>5.2589581273692092</c:v>
                </c:pt>
                <c:pt idx="79">
                  <c:v>5.2628440914716927</c:v>
                </c:pt>
                <c:pt idx="80">
                  <c:v>5.2684098521728115</c:v>
                </c:pt>
                <c:pt idx="81">
                  <c:v>5.2756556759126845</c:v>
                </c:pt>
                <c:pt idx="82">
                  <c:v>5.289675310524494</c:v>
                </c:pt>
                <c:pt idx="83">
                  <c:v>5.3074773965512243</c:v>
                </c:pt>
                <c:pt idx="84">
                  <c:v>5.3290638518785318</c:v>
                </c:pt>
                <c:pt idx="85">
                  <c:v>5.3544370023862768</c:v>
                </c:pt>
                <c:pt idx="86">
                  <c:v>5.3835995823662088</c:v>
                </c:pt>
                <c:pt idx="87">
                  <c:v>5.4165547350130678</c:v>
                </c:pt>
                <c:pt idx="88">
                  <c:v>5.4533060129892146</c:v>
                </c:pt>
                <c:pt idx="89">
                  <c:v>5.4938573790629626</c:v>
                </c:pt>
                <c:pt idx="90">
                  <c:v>5.5382132068207284</c:v>
                </c:pt>
                <c:pt idx="91">
                  <c:v>5.5863782814532206</c:v>
                </c:pt>
                <c:pt idx="92">
                  <c:v>5.6383578006158412</c:v>
                </c:pt>
                <c:pt idx="93">
                  <c:v>5.6941573753635195</c:v>
                </c:pt>
                <c:pt idx="94">
                  <c:v>5.7537830311602258</c:v>
                </c:pt>
                <c:pt idx="95">
                  <c:v>5.8172412089634014</c:v>
                </c:pt>
                <c:pt idx="96">
                  <c:v>5.8657623993887738</c:v>
                </c:pt>
                <c:pt idx="97">
                  <c:v>5.960074121170436</c:v>
                </c:pt>
                <c:pt idx="98">
                  <c:v>6.1143972410044141</c:v>
                </c:pt>
              </c:numCache>
            </c:numRef>
          </c:yVal>
          <c:smooth val="0"/>
        </c:ser>
        <c:ser>
          <c:idx val="1"/>
          <c:order val="1"/>
          <c:tx>
            <c:v>Stadshypotek mortgage bonds</c:v>
          </c:tx>
          <c:spPr>
            <a:ln w="12699">
              <a:solidFill>
                <a:srgbClr val="0000FF"/>
              </a:solidFill>
              <a:prstDash val="sysDash"/>
            </a:ln>
          </c:spPr>
          <c:marker>
            <c:symbol val="none"/>
          </c:marker>
          <c:xVal>
            <c:numRef>
              <c:f>Sheet1!$Q$2:$Q$100</c:f>
              <c:numCache>
                <c:formatCode>General</c:formatCode>
                <c:ptCount val="99"/>
                <c:pt idx="0">
                  <c:v>2.7397260273972603E-3</c:v>
                </c:pt>
                <c:pt idx="1">
                  <c:v>3.0136986301369864E-2</c:v>
                </c:pt>
                <c:pt idx="2">
                  <c:v>5.7534246575342465E-2</c:v>
                </c:pt>
                <c:pt idx="3">
                  <c:v>8.4931506849315067E-2</c:v>
                </c:pt>
                <c:pt idx="4">
                  <c:v>0.11232876712328767</c:v>
                </c:pt>
                <c:pt idx="5">
                  <c:v>0.13972602739726028</c:v>
                </c:pt>
                <c:pt idx="6">
                  <c:v>0.16712328767123288</c:v>
                </c:pt>
                <c:pt idx="7">
                  <c:v>0.19452054794520549</c:v>
                </c:pt>
                <c:pt idx="8">
                  <c:v>0.22191780821917809</c:v>
                </c:pt>
                <c:pt idx="9">
                  <c:v>0.24931506849315069</c:v>
                </c:pt>
                <c:pt idx="10">
                  <c:v>0.27671232876712326</c:v>
                </c:pt>
                <c:pt idx="11">
                  <c:v>0.30410958904109592</c:v>
                </c:pt>
                <c:pt idx="12">
                  <c:v>0.33150684931506852</c:v>
                </c:pt>
                <c:pt idx="13">
                  <c:v>0.35890410958904112</c:v>
                </c:pt>
                <c:pt idx="14">
                  <c:v>0.38630136986301372</c:v>
                </c:pt>
                <c:pt idx="15">
                  <c:v>0.41369863013698632</c:v>
                </c:pt>
                <c:pt idx="16">
                  <c:v>0.44109589041095892</c:v>
                </c:pt>
                <c:pt idx="17">
                  <c:v>0.46849315068493153</c:v>
                </c:pt>
                <c:pt idx="18">
                  <c:v>0.49589041095890413</c:v>
                </c:pt>
                <c:pt idx="19">
                  <c:v>0.57808219178082187</c:v>
                </c:pt>
                <c:pt idx="20">
                  <c:v>0.66027397260273968</c:v>
                </c:pt>
                <c:pt idx="21">
                  <c:v>0.74246575342465748</c:v>
                </c:pt>
                <c:pt idx="22">
                  <c:v>0.8246575342465754</c:v>
                </c:pt>
                <c:pt idx="23">
                  <c:v>0.9068493150684932</c:v>
                </c:pt>
                <c:pt idx="24">
                  <c:v>0.989041095890411</c:v>
                </c:pt>
                <c:pt idx="25">
                  <c:v>1.0712328767123287</c:v>
                </c:pt>
                <c:pt idx="26">
                  <c:v>1.1534246575342466</c:v>
                </c:pt>
                <c:pt idx="27">
                  <c:v>1.2356164383561643</c:v>
                </c:pt>
                <c:pt idx="28">
                  <c:v>1.3178082191780822</c:v>
                </c:pt>
                <c:pt idx="29">
                  <c:v>1.4</c:v>
                </c:pt>
                <c:pt idx="30">
                  <c:v>1.4821917808219178</c:v>
                </c:pt>
                <c:pt idx="31">
                  <c:v>1.5643835616438355</c:v>
                </c:pt>
                <c:pt idx="32">
                  <c:v>1.6465753424657534</c:v>
                </c:pt>
                <c:pt idx="33">
                  <c:v>1.7287671232876711</c:v>
                </c:pt>
                <c:pt idx="34">
                  <c:v>1.8383561643835618</c:v>
                </c:pt>
                <c:pt idx="35">
                  <c:v>1.9479452054794522</c:v>
                </c:pt>
                <c:pt idx="36">
                  <c:v>2.0575342465753423</c:v>
                </c:pt>
                <c:pt idx="37">
                  <c:v>2.1671232876712327</c:v>
                </c:pt>
                <c:pt idx="38">
                  <c:v>2.2767123287671232</c:v>
                </c:pt>
                <c:pt idx="39">
                  <c:v>2.3863013698630136</c:v>
                </c:pt>
                <c:pt idx="40">
                  <c:v>2.495890410958904</c:v>
                </c:pt>
                <c:pt idx="41">
                  <c:v>2.6054794520547944</c:v>
                </c:pt>
                <c:pt idx="42">
                  <c:v>2.7150684931506848</c:v>
                </c:pt>
                <c:pt idx="43">
                  <c:v>2.8246575342465752</c:v>
                </c:pt>
                <c:pt idx="44">
                  <c:v>2.9342465753424656</c:v>
                </c:pt>
                <c:pt idx="45">
                  <c:v>3.043835616438356</c:v>
                </c:pt>
                <c:pt idx="46">
                  <c:v>3.1534246575342464</c:v>
                </c:pt>
                <c:pt idx="47">
                  <c:v>3.2630136986301368</c:v>
                </c:pt>
                <c:pt idx="48">
                  <c:v>3.4</c:v>
                </c:pt>
                <c:pt idx="49">
                  <c:v>3.536986301369863</c:v>
                </c:pt>
                <c:pt idx="50">
                  <c:v>3.6739726027397261</c:v>
                </c:pt>
                <c:pt idx="51">
                  <c:v>3.8109589041095893</c:v>
                </c:pt>
                <c:pt idx="52">
                  <c:v>3.9479452054794519</c:v>
                </c:pt>
                <c:pt idx="53">
                  <c:v>4.0849315068493155</c:v>
                </c:pt>
                <c:pt idx="54">
                  <c:v>4.2219178082191782</c:v>
                </c:pt>
                <c:pt idx="55">
                  <c:v>4.3589041095890408</c:v>
                </c:pt>
                <c:pt idx="56">
                  <c:v>4.4958904109589044</c:v>
                </c:pt>
                <c:pt idx="57">
                  <c:v>4.6328767123287671</c:v>
                </c:pt>
                <c:pt idx="58">
                  <c:v>4.7698630136986298</c:v>
                </c:pt>
                <c:pt idx="59">
                  <c:v>4.9068493150684933</c:v>
                </c:pt>
                <c:pt idx="60">
                  <c:v>5.043835616438356</c:v>
                </c:pt>
                <c:pt idx="61">
                  <c:v>5.1808219178082195</c:v>
                </c:pt>
                <c:pt idx="62">
                  <c:v>5.4547945205479449</c:v>
                </c:pt>
                <c:pt idx="63">
                  <c:v>5.7287671232876711</c:v>
                </c:pt>
                <c:pt idx="64">
                  <c:v>6.0027397260273974</c:v>
                </c:pt>
                <c:pt idx="65">
                  <c:v>6.2767123287671236</c:v>
                </c:pt>
                <c:pt idx="66">
                  <c:v>6.5506849315068489</c:v>
                </c:pt>
                <c:pt idx="67">
                  <c:v>6.8246575342465752</c:v>
                </c:pt>
                <c:pt idx="68">
                  <c:v>7.0986301369863014</c:v>
                </c:pt>
                <c:pt idx="69">
                  <c:v>7.3726027397260276</c:v>
                </c:pt>
                <c:pt idx="70">
                  <c:v>7.646575342465753</c:v>
                </c:pt>
                <c:pt idx="71">
                  <c:v>7.9205479452054792</c:v>
                </c:pt>
                <c:pt idx="72">
                  <c:v>8.1945205479452063</c:v>
                </c:pt>
                <c:pt idx="73">
                  <c:v>8.4684931506849317</c:v>
                </c:pt>
                <c:pt idx="74">
                  <c:v>8.742465753424657</c:v>
                </c:pt>
                <c:pt idx="75">
                  <c:v>9.0164383561643842</c:v>
                </c:pt>
                <c:pt idx="76">
                  <c:v>9.2904109589041095</c:v>
                </c:pt>
                <c:pt idx="77">
                  <c:v>9.5643835616438349</c:v>
                </c:pt>
                <c:pt idx="78">
                  <c:v>9.838356164383562</c:v>
                </c:pt>
                <c:pt idx="79">
                  <c:v>10.112328767123287</c:v>
                </c:pt>
                <c:pt idx="80">
                  <c:v>10.386301369863014</c:v>
                </c:pt>
                <c:pt idx="81">
                  <c:v>10.66027397260274</c:v>
                </c:pt>
                <c:pt idx="82">
                  <c:v>11.07123287671233</c:v>
                </c:pt>
                <c:pt idx="83">
                  <c:v>11.482191780821918</c:v>
                </c:pt>
                <c:pt idx="84">
                  <c:v>11.893150684931507</c:v>
                </c:pt>
                <c:pt idx="85">
                  <c:v>12.304109589041095</c:v>
                </c:pt>
                <c:pt idx="86">
                  <c:v>12.715068493150685</c:v>
                </c:pt>
                <c:pt idx="87">
                  <c:v>13.126027397260273</c:v>
                </c:pt>
                <c:pt idx="88">
                  <c:v>13.536986301369863</c:v>
                </c:pt>
                <c:pt idx="89">
                  <c:v>13.947945205479453</c:v>
                </c:pt>
                <c:pt idx="90">
                  <c:v>14.358904109589041</c:v>
                </c:pt>
                <c:pt idx="91">
                  <c:v>14.769863013698631</c:v>
                </c:pt>
                <c:pt idx="92">
                  <c:v>15.180821917808219</c:v>
                </c:pt>
                <c:pt idx="93">
                  <c:v>15.591780821917808</c:v>
                </c:pt>
                <c:pt idx="94">
                  <c:v>16.002739726027396</c:v>
                </c:pt>
                <c:pt idx="95">
                  <c:v>16.413698630136988</c:v>
                </c:pt>
                <c:pt idx="96">
                  <c:v>16.712328767123289</c:v>
                </c:pt>
                <c:pt idx="97">
                  <c:v>17.260273972602739</c:v>
                </c:pt>
                <c:pt idx="98">
                  <c:v>18.082191780821919</c:v>
                </c:pt>
              </c:numCache>
            </c:numRef>
          </c:xVal>
          <c:yVal>
            <c:numRef>
              <c:f>Sheet1!$H$2:$H$100</c:f>
              <c:numCache>
                <c:formatCode>0.000</c:formatCode>
                <c:ptCount val="99"/>
                <c:pt idx="0">
                  <c:v>4.2526387607283551</c:v>
                </c:pt>
                <c:pt idx="1">
                  <c:v>4.2672854218801657</c:v>
                </c:pt>
                <c:pt idx="2">
                  <c:v>4.2818601901960864</c:v>
                </c:pt>
                <c:pt idx="3">
                  <c:v>4.2963630349553021</c:v>
                </c:pt>
                <c:pt idx="4">
                  <c:v>4.3107939255845729</c:v>
                </c:pt>
                <c:pt idx="5">
                  <c:v>4.3251528316595893</c:v>
                </c:pt>
                <c:pt idx="6">
                  <c:v>4.3394397229049737</c:v>
                </c:pt>
                <c:pt idx="7">
                  <c:v>4.3536545691943278</c:v>
                </c:pt>
                <c:pt idx="8">
                  <c:v>4.3677973405504193</c:v>
                </c:pt>
                <c:pt idx="9">
                  <c:v>4.3818680071454317</c:v>
                </c:pt>
                <c:pt idx="10">
                  <c:v>4.3958665393008092</c:v>
                </c:pt>
                <c:pt idx="11">
                  <c:v>4.4097929074874775</c:v>
                </c:pt>
                <c:pt idx="12">
                  <c:v>4.4236470823259531</c:v>
                </c:pt>
                <c:pt idx="13">
                  <c:v>4.4374290345864305</c:v>
                </c:pt>
                <c:pt idx="14">
                  <c:v>4.4511387351889642</c:v>
                </c:pt>
                <c:pt idx="15">
                  <c:v>4.4647761552034222</c:v>
                </c:pt>
                <c:pt idx="16">
                  <c:v>4.4783412658496831</c:v>
                </c:pt>
                <c:pt idx="17">
                  <c:v>4.4918340384977355</c:v>
                </c:pt>
                <c:pt idx="18">
                  <c:v>4.5052544446677736</c:v>
                </c:pt>
                <c:pt idx="19">
                  <c:v>4.5450811817665837</c:v>
                </c:pt>
                <c:pt idx="20">
                  <c:v>4.5842556097294027</c:v>
                </c:pt>
                <c:pt idx="21">
                  <c:v>4.622776983991761</c:v>
                </c:pt>
                <c:pt idx="22">
                  <c:v>4.6606445722187138</c:v>
                </c:pt>
                <c:pt idx="23">
                  <c:v>4.6978576543281001</c:v>
                </c:pt>
                <c:pt idx="24">
                  <c:v>4.7344155225133271</c:v>
                </c:pt>
                <c:pt idx="25">
                  <c:v>4.7703174812657743</c:v>
                </c:pt>
                <c:pt idx="26">
                  <c:v>4.8055628473969492</c:v>
                </c:pt>
                <c:pt idx="27">
                  <c:v>4.8401509500600426</c:v>
                </c:pt>
                <c:pt idx="28">
                  <c:v>4.8740811307712653</c:v>
                </c:pt>
                <c:pt idx="29">
                  <c:v>4.9073527434307449</c:v>
                </c:pt>
                <c:pt idx="30">
                  <c:v>4.9399651543430245</c:v>
                </c:pt>
                <c:pt idx="31">
                  <c:v>4.9719177422371565</c:v>
                </c:pt>
                <c:pt idx="32">
                  <c:v>5.0032098982864506</c:v>
                </c:pt>
                <c:pt idx="33">
                  <c:v>5.0338509299046397</c:v>
                </c:pt>
                <c:pt idx="34">
                  <c:v>5.0739024387201308</c:v>
                </c:pt>
                <c:pt idx="35">
                  <c:v>5.1129634550413954</c:v>
                </c:pt>
                <c:pt idx="36">
                  <c:v>5.150854819146284</c:v>
                </c:pt>
                <c:pt idx="37">
                  <c:v>5.1873971500657383</c:v>
                </c:pt>
                <c:pt idx="38">
                  <c:v>5.2224108669902636</c:v>
                </c:pt>
                <c:pt idx="39">
                  <c:v>5.2557162137363935</c:v>
                </c:pt>
                <c:pt idx="40">
                  <c:v>5.2870705057142979</c:v>
                </c:pt>
                <c:pt idx="41">
                  <c:v>5.3159562782619343</c:v>
                </c:pt>
                <c:pt idx="42">
                  <c:v>5.3427526244596146</c:v>
                </c:pt>
                <c:pt idx="43">
                  <c:v>5.3680252752599662</c:v>
                </c:pt>
                <c:pt idx="44">
                  <c:v>5.3923405914815392</c:v>
                </c:pt>
                <c:pt idx="45">
                  <c:v>5.41626549707469</c:v>
                </c:pt>
                <c:pt idx="46">
                  <c:v>5.4403674428582827</c:v>
                </c:pt>
                <c:pt idx="47">
                  <c:v>5.4650219496851831</c:v>
                </c:pt>
                <c:pt idx="48">
                  <c:v>5.4957746957455482</c:v>
                </c:pt>
                <c:pt idx="49">
                  <c:v>5.5261300271370608</c:v>
                </c:pt>
                <c:pt idx="50">
                  <c:v>5.5558656472934116</c:v>
                </c:pt>
                <c:pt idx="51">
                  <c:v>5.5847590183318641</c:v>
                </c:pt>
                <c:pt idx="52">
                  <c:v>5.6125873764456449</c:v>
                </c:pt>
                <c:pt idx="53">
                  <c:v>5.6393669049325901</c:v>
                </c:pt>
                <c:pt idx="54">
                  <c:v>5.6652619546245608</c:v>
                </c:pt>
                <c:pt idx="55">
                  <c:v>5.6902718718211771</c:v>
                </c:pt>
                <c:pt idx="56">
                  <c:v>5.7143960250649313</c:v>
                </c:pt>
                <c:pt idx="57">
                  <c:v>5.7376338051677296</c:v>
                </c:pt>
                <c:pt idx="58">
                  <c:v>5.7599846252365436</c:v>
                </c:pt>
                <c:pt idx="59">
                  <c:v>5.7814479206981186</c:v>
                </c:pt>
                <c:pt idx="60">
                  <c:v>5.8020231493227268</c:v>
                </c:pt>
                <c:pt idx="61">
                  <c:v>5.8217097912470086</c:v>
                </c:pt>
                <c:pt idx="62">
                  <c:v>5.8584153475034197</c:v>
                </c:pt>
                <c:pt idx="63">
                  <c:v>5.8915608786961826</c:v>
                </c:pt>
                <c:pt idx="64">
                  <c:v>5.921143033219197</c:v>
                </c:pt>
                <c:pt idx="65">
                  <c:v>5.9471588191962486</c:v>
                </c:pt>
                <c:pt idx="66">
                  <c:v>5.9696056049853379</c:v>
                </c:pt>
                <c:pt idx="67">
                  <c:v>5.9884811196223406</c:v>
                </c:pt>
                <c:pt idx="68">
                  <c:v>6.0037834532039307</c:v>
                </c:pt>
                <c:pt idx="69">
                  <c:v>6.0155110572096717</c:v>
                </c:pt>
                <c:pt idx="70">
                  <c:v>6.0236627447631701</c:v>
                </c:pt>
                <c:pt idx="71">
                  <c:v>6.0282376908322872</c:v>
                </c:pt>
                <c:pt idx="72">
                  <c:v>6.0292354323682886</c:v>
                </c:pt>
                <c:pt idx="73">
                  <c:v>6.0266558683839557</c:v>
                </c:pt>
                <c:pt idx="74">
                  <c:v>6.0204992599706433</c:v>
                </c:pt>
                <c:pt idx="75">
                  <c:v>6.0107662302542035</c:v>
                </c:pt>
                <c:pt idx="76">
                  <c:v>5.9974577642898996</c:v>
                </c:pt>
                <c:pt idx="77">
                  <c:v>5.9805752088962363</c:v>
                </c:pt>
                <c:pt idx="78">
                  <c:v>5.9601202724278011</c:v>
                </c:pt>
                <c:pt idx="79">
                  <c:v>5.9360950244871562</c:v>
                </c:pt>
                <c:pt idx="80">
                  <c:v>5.9085018955758404</c:v>
                </c:pt>
                <c:pt idx="81">
                  <c:v>5.8773436766845677</c:v>
                </c:pt>
                <c:pt idx="82">
                  <c:v>5.8239287957814492</c:v>
                </c:pt>
                <c:pt idx="83">
                  <c:v>5.7625117870713725</c:v>
                </c:pt>
                <c:pt idx="84">
                  <c:v>5.693106616411022</c:v>
                </c:pt>
                <c:pt idx="85">
                  <c:v>5.6157290595999267</c:v>
                </c:pt>
                <c:pt idx="86">
                  <c:v>5.5303966964042237</c:v>
                </c:pt>
                <c:pt idx="87">
                  <c:v>5.4371289039001143</c:v>
                </c:pt>
                <c:pt idx="88">
                  <c:v>5.3359468491405826</c:v>
                </c:pt>
                <c:pt idx="89">
                  <c:v>5.2268734811492168</c:v>
                </c:pt>
                <c:pt idx="90">
                  <c:v>5.1099335222454041</c:v>
                </c:pt>
                <c:pt idx="91">
                  <c:v>4.9851534587054758</c:v>
                </c:pt>
                <c:pt idx="92">
                  <c:v>4.8525615307647492</c:v>
                </c:pt>
                <c:pt idx="93">
                  <c:v>4.7121877219657282</c:v>
                </c:pt>
                <c:pt idx="94">
                  <c:v>4.5640637478581283</c:v>
                </c:pt>
                <c:pt idx="95">
                  <c:v>4.4082230440566414</c:v>
                </c:pt>
                <c:pt idx="96">
                  <c:v>4.2901576383734774</c:v>
                </c:pt>
                <c:pt idx="97">
                  <c:v>4.0630214211530244</c:v>
                </c:pt>
                <c:pt idx="98">
                  <c:v>3.6970010701946938</c:v>
                </c:pt>
              </c:numCache>
            </c:numRef>
          </c:yVal>
          <c:smooth val="0"/>
        </c:ser>
        <c:dLbls>
          <c:showLegendKey val="0"/>
          <c:showVal val="0"/>
          <c:showCatName val="0"/>
          <c:showSerName val="0"/>
          <c:showPercent val="0"/>
          <c:showBubbleSize val="0"/>
        </c:dLbls>
        <c:axId val="520277024"/>
        <c:axId val="520277416"/>
      </c:scatterChart>
      <c:valAx>
        <c:axId val="520277024"/>
        <c:scaling>
          <c:orientation val="minMax"/>
          <c:max val="6"/>
          <c:min val="0"/>
        </c:scaling>
        <c:delete val="0"/>
        <c:axPos val="b"/>
        <c:numFmt formatCode="General" sourceLinked="0"/>
        <c:majorTickMark val="out"/>
        <c:minorTickMark val="none"/>
        <c:tickLblPos val="nextTo"/>
        <c:spPr>
          <a:ln w="3175">
            <a:solidFill>
              <a:srgbClr val="000000"/>
            </a:solidFill>
            <a:prstDash val="solid"/>
          </a:ln>
        </c:spPr>
        <c:txPr>
          <a:bodyPr rot="0" vert="horz"/>
          <a:lstStyle/>
          <a:p>
            <a:pPr>
              <a:defRPr sz="825" b="0" i="0" u="none" strike="noStrike" baseline="0">
                <a:solidFill>
                  <a:srgbClr val="000000"/>
                </a:solidFill>
                <a:latin typeface="Arial"/>
                <a:ea typeface="Arial"/>
                <a:cs typeface="Arial"/>
              </a:defRPr>
            </a:pPr>
            <a:endParaRPr lang="en-US"/>
          </a:p>
        </c:txPr>
        <c:crossAx val="520277416"/>
        <c:crosses val="autoZero"/>
        <c:crossBetween val="midCat"/>
        <c:majorUnit val="1"/>
      </c:valAx>
      <c:valAx>
        <c:axId val="520277416"/>
        <c:scaling>
          <c:orientation val="minMax"/>
          <c:max val="7"/>
          <c:min val="2.5"/>
        </c:scaling>
        <c:delete val="0"/>
        <c:axPos val="l"/>
        <c:majorGridlines>
          <c:spPr>
            <a:ln w="3175">
              <a:solidFill>
                <a:srgbClr val="000000"/>
              </a:solidFill>
              <a:prstDash val="solid"/>
            </a:ln>
          </c:spPr>
        </c:majorGridlines>
        <c:numFmt formatCode="0.000" sourceLinked="1"/>
        <c:majorTickMark val="out"/>
        <c:minorTickMark val="none"/>
        <c:tickLblPos val="nextTo"/>
        <c:spPr>
          <a:ln w="3175">
            <a:solidFill>
              <a:srgbClr val="000000"/>
            </a:solidFill>
            <a:prstDash val="solid"/>
          </a:ln>
        </c:spPr>
        <c:txPr>
          <a:bodyPr rot="0" vert="horz"/>
          <a:lstStyle/>
          <a:p>
            <a:pPr>
              <a:defRPr sz="825" b="0" i="0" u="none" strike="noStrike" baseline="0">
                <a:solidFill>
                  <a:srgbClr val="000000"/>
                </a:solidFill>
                <a:latin typeface="Arial"/>
                <a:ea typeface="Arial"/>
                <a:cs typeface="Arial"/>
              </a:defRPr>
            </a:pPr>
            <a:endParaRPr lang="en-US"/>
          </a:p>
        </c:txPr>
        <c:crossAx val="520277024"/>
        <c:crosses val="autoZero"/>
        <c:crossBetween val="midCat"/>
      </c:valAx>
      <c:spPr>
        <a:solidFill>
          <a:srgbClr val="C0C0C0"/>
        </a:solidFill>
        <a:ln w="12699">
          <a:solidFill>
            <a:srgbClr val="808080"/>
          </a:solidFill>
          <a:prstDash val="solid"/>
        </a:ln>
      </c:spPr>
    </c:plotArea>
    <c:legend>
      <c:legendPos val="r"/>
      <c:layout>
        <c:manualLayout>
          <c:xMode val="edge"/>
          <c:yMode val="edge"/>
          <c:x val="0.64898989898989901"/>
          <c:y val="0.60597826086956519"/>
          <c:w val="0.32575757575757575"/>
          <c:h val="0.25815217391304346"/>
        </c:manualLayout>
      </c:layout>
      <c:overlay val="0"/>
      <c:spPr>
        <a:solidFill>
          <a:srgbClr val="FFFFFF"/>
        </a:solidFill>
        <a:ln w="3175">
          <a:solidFill>
            <a:srgbClr val="000000"/>
          </a:solidFill>
          <a:prstDash val="solid"/>
        </a:ln>
      </c:spPr>
      <c:txPr>
        <a:bodyPr/>
        <a:lstStyle/>
        <a:p>
          <a:pPr>
            <a:defRPr sz="75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825"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1" i="0" u="none" strike="noStrike" baseline="0">
                <a:solidFill>
                  <a:srgbClr val="000000"/>
                </a:solidFill>
                <a:latin typeface="Arial"/>
                <a:ea typeface="Arial"/>
                <a:cs typeface="Arial"/>
              </a:defRPr>
            </a:pPr>
            <a:r>
              <a:rPr lang="en-US"/>
              <a:t>The principal axes of the daily zero curve movement (data sapmle: 2000-01-01 - 2000-09-18)</a:t>
            </a:r>
          </a:p>
        </c:rich>
      </c:tx>
      <c:layout>
        <c:manualLayout>
          <c:xMode val="edge"/>
          <c:yMode val="edge"/>
          <c:x val="0.10071942446043165"/>
          <c:y val="2.1582733812949641E-2"/>
        </c:manualLayout>
      </c:layout>
      <c:overlay val="0"/>
      <c:spPr>
        <a:noFill/>
        <a:ln w="25400">
          <a:noFill/>
        </a:ln>
      </c:spPr>
    </c:title>
    <c:autoTitleDeleted val="0"/>
    <c:plotArea>
      <c:layout>
        <c:manualLayout>
          <c:layoutTarget val="inner"/>
          <c:xMode val="edge"/>
          <c:yMode val="edge"/>
          <c:x val="0.1223021582733813"/>
          <c:y val="0.28776978417266186"/>
          <c:w val="0.6079136690647482"/>
          <c:h val="0.65467625899280579"/>
        </c:manualLayout>
      </c:layout>
      <c:scatterChart>
        <c:scatterStyle val="smoothMarker"/>
        <c:varyColors val="0"/>
        <c:ser>
          <c:idx val="0"/>
          <c:order val="0"/>
          <c:tx>
            <c:v>axis 1</c:v>
          </c:tx>
          <c:spPr>
            <a:ln w="12700">
              <a:solidFill>
                <a:srgbClr val="000080"/>
              </a:solidFill>
              <a:prstDash val="solid"/>
            </a:ln>
          </c:spPr>
          <c:marker>
            <c:symbol val="diamond"/>
            <c:size val="5"/>
            <c:spPr>
              <a:solidFill>
                <a:srgbClr val="000080"/>
              </a:solidFill>
              <a:ln>
                <a:solidFill>
                  <a:srgbClr val="000080"/>
                </a:solidFill>
                <a:prstDash val="solid"/>
              </a:ln>
            </c:spPr>
          </c:marker>
          <c:xVal>
            <c:numRef>
              <c:f>Fit!$D$3:$M$3</c:f>
              <c:numCache>
                <c:formatCode>0.00</c:formatCode>
                <c:ptCount val="10"/>
                <c:pt idx="0">
                  <c:v>1</c:v>
                </c:pt>
                <c:pt idx="1">
                  <c:v>2</c:v>
                </c:pt>
                <c:pt idx="2">
                  <c:v>3</c:v>
                </c:pt>
                <c:pt idx="3">
                  <c:v>4</c:v>
                </c:pt>
                <c:pt idx="4">
                  <c:v>5</c:v>
                </c:pt>
                <c:pt idx="5">
                  <c:v>6</c:v>
                </c:pt>
                <c:pt idx="6">
                  <c:v>7</c:v>
                </c:pt>
                <c:pt idx="7">
                  <c:v>8</c:v>
                </c:pt>
                <c:pt idx="8">
                  <c:v>9</c:v>
                </c:pt>
                <c:pt idx="9">
                  <c:v>10</c:v>
                </c:pt>
              </c:numCache>
            </c:numRef>
          </c:xVal>
          <c:yVal>
            <c:numRef>
              <c:f>Sheet1!$A$103:$A$112</c:f>
              <c:numCache>
                <c:formatCode>General</c:formatCode>
                <c:ptCount val="10"/>
                <c:pt idx="0">
                  <c:v>0.17923061003195723</c:v>
                </c:pt>
                <c:pt idx="1">
                  <c:v>0.27262671615395867</c:v>
                </c:pt>
                <c:pt idx="2">
                  <c:v>0.31780581893191368</c:v>
                </c:pt>
                <c:pt idx="3">
                  <c:v>0.34100067850668486</c:v>
                </c:pt>
                <c:pt idx="4">
                  <c:v>0.34359852867919333</c:v>
                </c:pt>
                <c:pt idx="5">
                  <c:v>0.3421901569444521</c:v>
                </c:pt>
                <c:pt idx="6">
                  <c:v>0.33302595406651936</c:v>
                </c:pt>
                <c:pt idx="7">
                  <c:v>0.32963288384302192</c:v>
                </c:pt>
                <c:pt idx="8">
                  <c:v>0.32237934413912844</c:v>
                </c:pt>
                <c:pt idx="9">
                  <c:v>0.34296128445838459</c:v>
                </c:pt>
              </c:numCache>
            </c:numRef>
          </c:yVal>
          <c:smooth val="1"/>
        </c:ser>
        <c:ser>
          <c:idx val="1"/>
          <c:order val="1"/>
          <c:tx>
            <c:v>axis 2</c:v>
          </c:tx>
          <c:spPr>
            <a:ln w="12700">
              <a:solidFill>
                <a:srgbClr val="FF00FF"/>
              </a:solidFill>
              <a:prstDash val="solid"/>
            </a:ln>
          </c:spPr>
          <c:marker>
            <c:symbol val="square"/>
            <c:size val="5"/>
            <c:spPr>
              <a:solidFill>
                <a:srgbClr val="FF00FF"/>
              </a:solidFill>
              <a:ln>
                <a:solidFill>
                  <a:srgbClr val="FF00FF"/>
                </a:solidFill>
                <a:prstDash val="solid"/>
              </a:ln>
            </c:spPr>
          </c:marker>
          <c:xVal>
            <c:numRef>
              <c:f>Fit!$D$3:$M$3</c:f>
              <c:numCache>
                <c:formatCode>0.00</c:formatCode>
                <c:ptCount val="10"/>
                <c:pt idx="0">
                  <c:v>1</c:v>
                </c:pt>
                <c:pt idx="1">
                  <c:v>2</c:v>
                </c:pt>
                <c:pt idx="2">
                  <c:v>3</c:v>
                </c:pt>
                <c:pt idx="3">
                  <c:v>4</c:v>
                </c:pt>
                <c:pt idx="4">
                  <c:v>5</c:v>
                </c:pt>
                <c:pt idx="5">
                  <c:v>6</c:v>
                </c:pt>
                <c:pt idx="6">
                  <c:v>7</c:v>
                </c:pt>
                <c:pt idx="7">
                  <c:v>8</c:v>
                </c:pt>
                <c:pt idx="8">
                  <c:v>9</c:v>
                </c:pt>
                <c:pt idx="9">
                  <c:v>10</c:v>
                </c:pt>
              </c:numCache>
            </c:numRef>
          </c:xVal>
          <c:yVal>
            <c:numRef>
              <c:f>Sheet1!$B$103:$B$112</c:f>
              <c:numCache>
                <c:formatCode>General</c:formatCode>
                <c:ptCount val="10"/>
                <c:pt idx="0">
                  <c:v>-0.61966128806938514</c:v>
                </c:pt>
                <c:pt idx="1">
                  <c:v>-0.47796439739739682</c:v>
                </c:pt>
                <c:pt idx="2">
                  <c:v>-0.28878432522284408</c:v>
                </c:pt>
                <c:pt idx="3">
                  <c:v>-0.10729090547690723</c:v>
                </c:pt>
                <c:pt idx="4">
                  <c:v>-4.7319839155646973E-3</c:v>
                </c:pt>
                <c:pt idx="5">
                  <c:v>7.9719199760925383E-2</c:v>
                </c:pt>
                <c:pt idx="6">
                  <c:v>0.16889830420779064</c:v>
                </c:pt>
                <c:pt idx="7">
                  <c:v>0.23666360987039145</c:v>
                </c:pt>
                <c:pt idx="8">
                  <c:v>0.26513281380327536</c:v>
                </c:pt>
                <c:pt idx="9">
                  <c:v>0.36256440139314849</c:v>
                </c:pt>
              </c:numCache>
            </c:numRef>
          </c:yVal>
          <c:smooth val="1"/>
        </c:ser>
        <c:ser>
          <c:idx val="2"/>
          <c:order val="2"/>
          <c:tx>
            <c:v>axis 3</c:v>
          </c:tx>
          <c:spPr>
            <a:ln w="12700">
              <a:solidFill>
                <a:srgbClr val="FFFF00"/>
              </a:solidFill>
              <a:prstDash val="solid"/>
            </a:ln>
          </c:spPr>
          <c:marker>
            <c:symbol val="triangle"/>
            <c:size val="5"/>
            <c:spPr>
              <a:solidFill>
                <a:srgbClr val="FFFF00"/>
              </a:solidFill>
              <a:ln>
                <a:solidFill>
                  <a:srgbClr val="FFFF00"/>
                </a:solidFill>
                <a:prstDash val="solid"/>
              </a:ln>
            </c:spPr>
          </c:marker>
          <c:xVal>
            <c:numRef>
              <c:f>Fit!$D$3:$M$3</c:f>
              <c:numCache>
                <c:formatCode>0.00</c:formatCode>
                <c:ptCount val="10"/>
                <c:pt idx="0">
                  <c:v>1</c:v>
                </c:pt>
                <c:pt idx="1">
                  <c:v>2</c:v>
                </c:pt>
                <c:pt idx="2">
                  <c:v>3</c:v>
                </c:pt>
                <c:pt idx="3">
                  <c:v>4</c:v>
                </c:pt>
                <c:pt idx="4">
                  <c:v>5</c:v>
                </c:pt>
                <c:pt idx="5">
                  <c:v>6</c:v>
                </c:pt>
                <c:pt idx="6">
                  <c:v>7</c:v>
                </c:pt>
                <c:pt idx="7">
                  <c:v>8</c:v>
                </c:pt>
                <c:pt idx="8">
                  <c:v>9</c:v>
                </c:pt>
                <c:pt idx="9">
                  <c:v>10</c:v>
                </c:pt>
              </c:numCache>
            </c:numRef>
          </c:xVal>
          <c:yVal>
            <c:numRef>
              <c:f>Sheet1!$C$103:$C$112</c:f>
              <c:numCache>
                <c:formatCode>General</c:formatCode>
                <c:ptCount val="10"/>
                <c:pt idx="0">
                  <c:v>0.63335401063258567</c:v>
                </c:pt>
                <c:pt idx="1">
                  <c:v>-5.2610135223856221E-2</c:v>
                </c:pt>
                <c:pt idx="2">
                  <c:v>-0.36505776543578089</c:v>
                </c:pt>
                <c:pt idx="3">
                  <c:v>-0.28460930399564083</c:v>
                </c:pt>
                <c:pt idx="4">
                  <c:v>-0.2406338740031794</c:v>
                </c:pt>
                <c:pt idx="5">
                  <c:v>-0.11202729382034279</c:v>
                </c:pt>
                <c:pt idx="6">
                  <c:v>-7.4218689370336849E-2</c:v>
                </c:pt>
                <c:pt idx="7">
                  <c:v>0.12041957238139911</c:v>
                </c:pt>
                <c:pt idx="8">
                  <c:v>0.12311973229957185</c:v>
                </c:pt>
                <c:pt idx="9">
                  <c:v>0.52554991317392663</c:v>
                </c:pt>
              </c:numCache>
            </c:numRef>
          </c:yVal>
          <c:smooth val="1"/>
        </c:ser>
        <c:dLbls>
          <c:showLegendKey val="0"/>
          <c:showVal val="0"/>
          <c:showCatName val="0"/>
          <c:showSerName val="0"/>
          <c:showPercent val="0"/>
          <c:showBubbleSize val="0"/>
        </c:dLbls>
        <c:axId val="515472656"/>
        <c:axId val="515473048"/>
      </c:scatterChart>
      <c:valAx>
        <c:axId val="515472656"/>
        <c:scaling>
          <c:orientation val="minMax"/>
        </c:scaling>
        <c:delete val="0"/>
        <c:axPos val="b"/>
        <c:numFmt formatCode="0" sourceLinked="0"/>
        <c:majorTickMark val="out"/>
        <c:minorTickMark val="none"/>
        <c:tickLblPos val="nextTo"/>
        <c:spPr>
          <a:ln w="3175">
            <a:solidFill>
              <a:srgbClr val="000000"/>
            </a:solidFill>
            <a:prstDash val="solid"/>
          </a:ln>
        </c:spPr>
        <c:txPr>
          <a:bodyPr rot="0" vert="horz"/>
          <a:lstStyle/>
          <a:p>
            <a:pPr>
              <a:defRPr sz="575" b="0" i="0" u="none" strike="noStrike" baseline="0">
                <a:solidFill>
                  <a:srgbClr val="000000"/>
                </a:solidFill>
                <a:latin typeface="Arial"/>
                <a:ea typeface="Arial"/>
                <a:cs typeface="Arial"/>
              </a:defRPr>
            </a:pPr>
            <a:endParaRPr lang="en-US"/>
          </a:p>
        </c:txPr>
        <c:crossAx val="515473048"/>
        <c:crosses val="autoZero"/>
        <c:crossBetween val="midCat"/>
        <c:majorUnit val="1"/>
      </c:valAx>
      <c:valAx>
        <c:axId val="515473048"/>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575" b="0" i="0" u="none" strike="noStrike" baseline="0">
                <a:solidFill>
                  <a:srgbClr val="000000"/>
                </a:solidFill>
                <a:latin typeface="Arial"/>
                <a:ea typeface="Arial"/>
                <a:cs typeface="Arial"/>
              </a:defRPr>
            </a:pPr>
            <a:endParaRPr lang="en-US"/>
          </a:p>
        </c:txPr>
        <c:crossAx val="515472656"/>
        <c:crosses val="autoZero"/>
        <c:crossBetween val="midCat"/>
      </c:valAx>
      <c:spPr>
        <a:solidFill>
          <a:srgbClr val="C0C0C0"/>
        </a:solidFill>
        <a:ln w="12700">
          <a:solidFill>
            <a:srgbClr val="808080"/>
          </a:solidFill>
          <a:prstDash val="solid"/>
        </a:ln>
      </c:spPr>
    </c:plotArea>
    <c:legend>
      <c:legendPos val="r"/>
      <c:layout>
        <c:manualLayout>
          <c:xMode val="edge"/>
          <c:yMode val="edge"/>
          <c:x val="0.78417266187050361"/>
          <c:y val="0.53956834532374098"/>
          <c:w val="0.20143884892086331"/>
          <c:h val="0.14388489208633093"/>
        </c:manualLayout>
      </c:layout>
      <c:overlay val="0"/>
      <c:spPr>
        <a:solidFill>
          <a:srgbClr val="FFFFFF"/>
        </a:solidFill>
        <a:ln w="3175">
          <a:solidFill>
            <a:srgbClr val="000000"/>
          </a:solidFill>
          <a:prstDash val="solid"/>
        </a:ln>
      </c:spPr>
      <c:txPr>
        <a:bodyPr/>
        <a:lstStyle/>
        <a:p>
          <a:pPr>
            <a:defRPr sz="52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575"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1" i="0" u="none" strike="noStrike" baseline="0">
                <a:solidFill>
                  <a:srgbClr val="000000"/>
                </a:solidFill>
                <a:latin typeface="Arial"/>
                <a:ea typeface="Arial"/>
                <a:cs typeface="Arial"/>
              </a:defRPr>
            </a:pPr>
            <a:r>
              <a:rPr lang="en-US"/>
              <a:t>The principal axes of the daily zero curve movement (data sample: 1998-06-01 - 1998-12-01)</a:t>
            </a:r>
          </a:p>
        </c:rich>
      </c:tx>
      <c:layout>
        <c:manualLayout>
          <c:xMode val="edge"/>
          <c:yMode val="edge"/>
          <c:x val="0.11851851851851852"/>
          <c:y val="2.1582733812949641E-2"/>
        </c:manualLayout>
      </c:layout>
      <c:overlay val="0"/>
      <c:spPr>
        <a:noFill/>
        <a:ln w="25400">
          <a:noFill/>
        </a:ln>
      </c:spPr>
    </c:title>
    <c:autoTitleDeleted val="0"/>
    <c:plotArea>
      <c:layout>
        <c:manualLayout>
          <c:layoutTarget val="inner"/>
          <c:xMode val="edge"/>
          <c:yMode val="edge"/>
          <c:x val="0.1111111111111111"/>
          <c:y val="0.28776978417266186"/>
          <c:w val="0.62592592592592589"/>
          <c:h val="0.65467625899280579"/>
        </c:manualLayout>
      </c:layout>
      <c:scatterChart>
        <c:scatterStyle val="smoothMarker"/>
        <c:varyColors val="0"/>
        <c:ser>
          <c:idx val="0"/>
          <c:order val="0"/>
          <c:tx>
            <c:v>axis 1</c:v>
          </c:tx>
          <c:spPr>
            <a:ln w="12700">
              <a:solidFill>
                <a:srgbClr val="000080"/>
              </a:solidFill>
              <a:prstDash val="solid"/>
            </a:ln>
          </c:spPr>
          <c:marker>
            <c:symbol val="diamond"/>
            <c:size val="5"/>
            <c:spPr>
              <a:solidFill>
                <a:srgbClr val="000080"/>
              </a:solidFill>
              <a:ln>
                <a:solidFill>
                  <a:srgbClr val="000080"/>
                </a:solidFill>
                <a:prstDash val="solid"/>
              </a:ln>
            </c:spPr>
          </c:marker>
          <c:xVal>
            <c:numRef>
              <c:f>Fit!$D$3:$M$3</c:f>
              <c:numCache>
                <c:formatCode>0.00</c:formatCode>
                <c:ptCount val="10"/>
                <c:pt idx="0">
                  <c:v>1</c:v>
                </c:pt>
                <c:pt idx="1">
                  <c:v>2</c:v>
                </c:pt>
                <c:pt idx="2">
                  <c:v>3</c:v>
                </c:pt>
                <c:pt idx="3">
                  <c:v>4</c:v>
                </c:pt>
                <c:pt idx="4">
                  <c:v>5</c:v>
                </c:pt>
                <c:pt idx="5">
                  <c:v>6</c:v>
                </c:pt>
                <c:pt idx="6">
                  <c:v>7</c:v>
                </c:pt>
                <c:pt idx="7">
                  <c:v>8</c:v>
                </c:pt>
                <c:pt idx="8">
                  <c:v>9</c:v>
                </c:pt>
                <c:pt idx="9">
                  <c:v>10</c:v>
                </c:pt>
              </c:numCache>
            </c:numRef>
          </c:xVal>
          <c:yVal>
            <c:numRef>
              <c:f>Sheet1!$A$103:$A$112</c:f>
              <c:numCache>
                <c:formatCode>General</c:formatCode>
                <c:ptCount val="10"/>
                <c:pt idx="0">
                  <c:v>0.30036054280950386</c:v>
                </c:pt>
                <c:pt idx="1">
                  <c:v>0.29250840092809738</c:v>
                </c:pt>
                <c:pt idx="2">
                  <c:v>0.29629837930095382</c:v>
                </c:pt>
                <c:pt idx="3">
                  <c:v>0.31244275438307612</c:v>
                </c:pt>
                <c:pt idx="4">
                  <c:v>0.34252668738668596</c:v>
                </c:pt>
                <c:pt idx="5">
                  <c:v>0.32461466883476547</c:v>
                </c:pt>
                <c:pt idx="6">
                  <c:v>0.31595947615545594</c:v>
                </c:pt>
                <c:pt idx="7">
                  <c:v>0.32632786901444033</c:v>
                </c:pt>
                <c:pt idx="8">
                  <c:v>0.32997901595757506</c:v>
                </c:pt>
                <c:pt idx="9">
                  <c:v>0.31765317711577468</c:v>
                </c:pt>
              </c:numCache>
            </c:numRef>
          </c:yVal>
          <c:smooth val="1"/>
        </c:ser>
        <c:ser>
          <c:idx val="1"/>
          <c:order val="1"/>
          <c:tx>
            <c:v>axis 2</c:v>
          </c:tx>
          <c:spPr>
            <a:ln w="12700">
              <a:solidFill>
                <a:srgbClr val="FF00FF"/>
              </a:solidFill>
              <a:prstDash val="solid"/>
            </a:ln>
          </c:spPr>
          <c:marker>
            <c:symbol val="square"/>
            <c:size val="5"/>
            <c:spPr>
              <a:solidFill>
                <a:srgbClr val="FF00FF"/>
              </a:solidFill>
              <a:ln>
                <a:solidFill>
                  <a:srgbClr val="FF00FF"/>
                </a:solidFill>
                <a:prstDash val="solid"/>
              </a:ln>
            </c:spPr>
          </c:marker>
          <c:xVal>
            <c:numRef>
              <c:f>Fit!$D$3:$M$3</c:f>
              <c:numCache>
                <c:formatCode>0.00</c:formatCode>
                <c:ptCount val="10"/>
                <c:pt idx="0">
                  <c:v>1</c:v>
                </c:pt>
                <c:pt idx="1">
                  <c:v>2</c:v>
                </c:pt>
                <c:pt idx="2">
                  <c:v>3</c:v>
                </c:pt>
                <c:pt idx="3">
                  <c:v>4</c:v>
                </c:pt>
                <c:pt idx="4">
                  <c:v>5</c:v>
                </c:pt>
                <c:pt idx="5">
                  <c:v>6</c:v>
                </c:pt>
                <c:pt idx="6">
                  <c:v>7</c:v>
                </c:pt>
                <c:pt idx="7">
                  <c:v>8</c:v>
                </c:pt>
                <c:pt idx="8">
                  <c:v>9</c:v>
                </c:pt>
                <c:pt idx="9">
                  <c:v>10</c:v>
                </c:pt>
              </c:numCache>
            </c:numRef>
          </c:xVal>
          <c:yVal>
            <c:numRef>
              <c:f>Sheet1!$B$103:$B$112</c:f>
              <c:numCache>
                <c:formatCode>General</c:formatCode>
                <c:ptCount val="10"/>
                <c:pt idx="0">
                  <c:v>-0.39992474982331144</c:v>
                </c:pt>
                <c:pt idx="1">
                  <c:v>-0.46702052520908705</c:v>
                </c:pt>
                <c:pt idx="2">
                  <c:v>-0.38818872027255624</c:v>
                </c:pt>
                <c:pt idx="3">
                  <c:v>-0.17594389948405828</c:v>
                </c:pt>
                <c:pt idx="4">
                  <c:v>-9.9347763280639469E-3</c:v>
                </c:pt>
                <c:pt idx="5">
                  <c:v>4.2731388678315128E-2</c:v>
                </c:pt>
                <c:pt idx="6">
                  <c:v>0.19326761918257584</c:v>
                </c:pt>
                <c:pt idx="7">
                  <c:v>0.34547381004758004</c:v>
                </c:pt>
                <c:pt idx="8">
                  <c:v>0.35466732430191533</c:v>
                </c:pt>
                <c:pt idx="9">
                  <c:v>0.39482550178509251</c:v>
                </c:pt>
              </c:numCache>
            </c:numRef>
          </c:yVal>
          <c:smooth val="1"/>
        </c:ser>
        <c:ser>
          <c:idx val="2"/>
          <c:order val="2"/>
          <c:tx>
            <c:v>axis 3</c:v>
          </c:tx>
          <c:spPr>
            <a:ln w="12700">
              <a:solidFill>
                <a:srgbClr val="FFFF00"/>
              </a:solidFill>
              <a:prstDash val="solid"/>
            </a:ln>
          </c:spPr>
          <c:marker>
            <c:symbol val="triangle"/>
            <c:size val="5"/>
            <c:spPr>
              <a:solidFill>
                <a:srgbClr val="FFFF00"/>
              </a:solidFill>
              <a:ln>
                <a:solidFill>
                  <a:srgbClr val="FFFF00"/>
                </a:solidFill>
                <a:prstDash val="solid"/>
              </a:ln>
            </c:spPr>
          </c:marker>
          <c:xVal>
            <c:numRef>
              <c:f>Fit!$D$3:$M$3</c:f>
              <c:numCache>
                <c:formatCode>0.00</c:formatCode>
                <c:ptCount val="10"/>
                <c:pt idx="0">
                  <c:v>1</c:v>
                </c:pt>
                <c:pt idx="1">
                  <c:v>2</c:v>
                </c:pt>
                <c:pt idx="2">
                  <c:v>3</c:v>
                </c:pt>
                <c:pt idx="3">
                  <c:v>4</c:v>
                </c:pt>
                <c:pt idx="4">
                  <c:v>5</c:v>
                </c:pt>
                <c:pt idx="5">
                  <c:v>6</c:v>
                </c:pt>
                <c:pt idx="6">
                  <c:v>7</c:v>
                </c:pt>
                <c:pt idx="7">
                  <c:v>8</c:v>
                </c:pt>
                <c:pt idx="8">
                  <c:v>9</c:v>
                </c:pt>
                <c:pt idx="9">
                  <c:v>10</c:v>
                </c:pt>
              </c:numCache>
            </c:numRef>
          </c:xVal>
          <c:yVal>
            <c:numRef>
              <c:f>Sheet1!$C$103:$C$112</c:f>
              <c:numCache>
                <c:formatCode>General</c:formatCode>
                <c:ptCount val="10"/>
                <c:pt idx="0">
                  <c:v>-0.82030091586346754</c:v>
                </c:pt>
                <c:pt idx="1">
                  <c:v>0.24517622385257745</c:v>
                </c:pt>
                <c:pt idx="2">
                  <c:v>0.50620588627312413</c:v>
                </c:pt>
                <c:pt idx="3">
                  <c:v>7.6509898201262555E-2</c:v>
                </c:pt>
                <c:pt idx="4">
                  <c:v>3.7113621158136101E-2</c:v>
                </c:pt>
                <c:pt idx="5">
                  <c:v>-3.067510816174724E-3</c:v>
                </c:pt>
                <c:pt idx="6">
                  <c:v>-5.2044129286693858E-2</c:v>
                </c:pt>
                <c:pt idx="7">
                  <c:v>-1.5843061572312429E-2</c:v>
                </c:pt>
                <c:pt idx="8">
                  <c:v>1.4911818347554543E-2</c:v>
                </c:pt>
                <c:pt idx="9">
                  <c:v>1.811286981455942E-2</c:v>
                </c:pt>
              </c:numCache>
            </c:numRef>
          </c:yVal>
          <c:smooth val="1"/>
        </c:ser>
        <c:dLbls>
          <c:showLegendKey val="0"/>
          <c:showVal val="0"/>
          <c:showCatName val="0"/>
          <c:showSerName val="0"/>
          <c:showPercent val="0"/>
          <c:showBubbleSize val="0"/>
        </c:dLbls>
        <c:axId val="521567920"/>
        <c:axId val="515471872"/>
      </c:scatterChart>
      <c:valAx>
        <c:axId val="521567920"/>
        <c:scaling>
          <c:orientation val="minMax"/>
        </c:scaling>
        <c:delete val="0"/>
        <c:axPos val="b"/>
        <c:numFmt formatCode="0" sourceLinked="0"/>
        <c:majorTickMark val="out"/>
        <c:minorTickMark val="none"/>
        <c:tickLblPos val="nextTo"/>
        <c:spPr>
          <a:ln w="3175">
            <a:solidFill>
              <a:srgbClr val="000000"/>
            </a:solidFill>
            <a:prstDash val="solid"/>
          </a:ln>
        </c:spPr>
        <c:txPr>
          <a:bodyPr rot="0" vert="horz"/>
          <a:lstStyle/>
          <a:p>
            <a:pPr>
              <a:defRPr sz="550" b="0" i="0" u="none" strike="noStrike" baseline="0">
                <a:solidFill>
                  <a:srgbClr val="000000"/>
                </a:solidFill>
                <a:latin typeface="Arial"/>
                <a:ea typeface="Arial"/>
                <a:cs typeface="Arial"/>
              </a:defRPr>
            </a:pPr>
            <a:endParaRPr lang="en-US"/>
          </a:p>
        </c:txPr>
        <c:crossAx val="515471872"/>
        <c:crosses val="autoZero"/>
        <c:crossBetween val="midCat"/>
        <c:majorUnit val="1"/>
      </c:valAx>
      <c:valAx>
        <c:axId val="515471872"/>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550" b="0" i="0" u="none" strike="noStrike" baseline="0">
                <a:solidFill>
                  <a:srgbClr val="000000"/>
                </a:solidFill>
                <a:latin typeface="Arial"/>
                <a:ea typeface="Arial"/>
                <a:cs typeface="Arial"/>
              </a:defRPr>
            </a:pPr>
            <a:endParaRPr lang="en-US"/>
          </a:p>
        </c:txPr>
        <c:crossAx val="521567920"/>
        <c:crosses val="autoZero"/>
        <c:crossBetween val="midCat"/>
      </c:valAx>
      <c:spPr>
        <a:solidFill>
          <a:srgbClr val="C0C0C0"/>
        </a:solidFill>
        <a:ln w="12700">
          <a:solidFill>
            <a:srgbClr val="808080"/>
          </a:solidFill>
          <a:prstDash val="solid"/>
        </a:ln>
      </c:spPr>
    </c:plotArea>
    <c:legend>
      <c:legendPos val="r"/>
      <c:layout>
        <c:manualLayout>
          <c:xMode val="edge"/>
          <c:yMode val="edge"/>
          <c:x val="0.78888888888888886"/>
          <c:y val="0.53956834532374098"/>
          <c:w val="0.1962962962962963"/>
          <c:h val="0.14388489208633093"/>
        </c:manualLayout>
      </c:layout>
      <c:overlay val="0"/>
      <c:spPr>
        <a:solidFill>
          <a:srgbClr val="FFFFFF"/>
        </a:solidFill>
        <a:ln w="3175">
          <a:solidFill>
            <a:srgbClr val="000000"/>
          </a:solidFill>
          <a:prstDash val="solid"/>
        </a:ln>
      </c:spPr>
      <c:txPr>
        <a:bodyPr/>
        <a:lstStyle/>
        <a:p>
          <a:pPr>
            <a:defRPr sz="50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55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25" b="1" i="0" u="none" strike="noStrike" baseline="0">
                <a:solidFill>
                  <a:srgbClr val="000000"/>
                </a:solidFill>
                <a:latin typeface="Arial"/>
                <a:ea typeface="Arial"/>
                <a:cs typeface="Arial"/>
              </a:defRPr>
            </a:pPr>
            <a:r>
              <a:rPr lang="en-US"/>
              <a:t>The shift, twist and butterfly vectors</a:t>
            </a:r>
          </a:p>
        </c:rich>
      </c:tx>
      <c:layout>
        <c:manualLayout>
          <c:xMode val="edge"/>
          <c:yMode val="edge"/>
          <c:x val="0.22269807280513917"/>
          <c:y val="2.0905923344947737E-2"/>
        </c:manualLayout>
      </c:layout>
      <c:overlay val="0"/>
      <c:spPr>
        <a:noFill/>
        <a:ln w="25399">
          <a:noFill/>
        </a:ln>
      </c:spPr>
    </c:title>
    <c:autoTitleDeleted val="0"/>
    <c:plotArea>
      <c:layout>
        <c:manualLayout>
          <c:layoutTarget val="inner"/>
          <c:xMode val="edge"/>
          <c:yMode val="edge"/>
          <c:x val="9.6359743040685231E-2"/>
          <c:y val="0.21254355400696864"/>
          <c:w val="0.69164882226980728"/>
          <c:h val="0.71777003484320556"/>
        </c:manualLayout>
      </c:layout>
      <c:lineChart>
        <c:grouping val="standard"/>
        <c:varyColors val="0"/>
        <c:ser>
          <c:idx val="1"/>
          <c:order val="0"/>
          <c:tx>
            <c:v>shift</c:v>
          </c:tx>
          <c:spPr>
            <a:ln w="12700">
              <a:solidFill>
                <a:srgbClr val="FF00FF"/>
              </a:solidFill>
              <a:prstDash val="solid"/>
            </a:ln>
          </c:spPr>
          <c:marker>
            <c:symbol val="square"/>
            <c:size val="4"/>
            <c:spPr>
              <a:solidFill>
                <a:srgbClr val="FF00FF"/>
              </a:solidFill>
              <a:ln>
                <a:solidFill>
                  <a:srgbClr val="FF00FF"/>
                </a:solidFill>
                <a:prstDash val="solid"/>
              </a:ln>
            </c:spPr>
          </c:marker>
          <c:cat>
            <c:numRef>
              <c:f>Sheet1!$A$1:$A$10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Sheet1!$B$1:$B$10</c:f>
              <c:numCache>
                <c:formatCode>General</c:formatCode>
                <c:ptCount val="10"/>
                <c:pt idx="0">
                  <c:v>1</c:v>
                </c:pt>
                <c:pt idx="1">
                  <c:v>1</c:v>
                </c:pt>
                <c:pt idx="2">
                  <c:v>1</c:v>
                </c:pt>
                <c:pt idx="3">
                  <c:v>1</c:v>
                </c:pt>
                <c:pt idx="4">
                  <c:v>1</c:v>
                </c:pt>
                <c:pt idx="5">
                  <c:v>1</c:v>
                </c:pt>
                <c:pt idx="6">
                  <c:v>1</c:v>
                </c:pt>
                <c:pt idx="7">
                  <c:v>1</c:v>
                </c:pt>
                <c:pt idx="8">
                  <c:v>1</c:v>
                </c:pt>
                <c:pt idx="9">
                  <c:v>1</c:v>
                </c:pt>
              </c:numCache>
            </c:numRef>
          </c:val>
          <c:smooth val="0"/>
        </c:ser>
        <c:ser>
          <c:idx val="2"/>
          <c:order val="1"/>
          <c:tx>
            <c:v>twist</c:v>
          </c:tx>
          <c:spPr>
            <a:ln w="12700">
              <a:solidFill>
                <a:srgbClr val="FFFF00"/>
              </a:solidFill>
              <a:prstDash val="solid"/>
            </a:ln>
          </c:spPr>
          <c:marker>
            <c:symbol val="triangle"/>
            <c:size val="4"/>
            <c:spPr>
              <a:solidFill>
                <a:srgbClr val="FFFF00"/>
              </a:solidFill>
              <a:ln>
                <a:solidFill>
                  <a:srgbClr val="FFFF00"/>
                </a:solidFill>
                <a:prstDash val="solid"/>
              </a:ln>
            </c:spPr>
          </c:marker>
          <c:cat>
            <c:numRef>
              <c:f>Sheet1!$A$1:$A$10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Sheet1!$C$1:$C$10</c:f>
              <c:numCache>
                <c:formatCode>General</c:formatCode>
                <c:ptCount val="10"/>
                <c:pt idx="0">
                  <c:v>-1</c:v>
                </c:pt>
                <c:pt idx="1">
                  <c:v>-0.77777777777777779</c:v>
                </c:pt>
                <c:pt idx="2">
                  <c:v>-0.55555555555555558</c:v>
                </c:pt>
                <c:pt idx="3">
                  <c:v>-0.33333333333333337</c:v>
                </c:pt>
                <c:pt idx="4">
                  <c:v>-0.11111111111111116</c:v>
                </c:pt>
                <c:pt idx="5">
                  <c:v>0.11111111111111116</c:v>
                </c:pt>
                <c:pt idx="6">
                  <c:v>0.33333333333333326</c:v>
                </c:pt>
                <c:pt idx="7">
                  <c:v>0.55555555555555536</c:v>
                </c:pt>
                <c:pt idx="8">
                  <c:v>0.77777777777777768</c:v>
                </c:pt>
                <c:pt idx="9">
                  <c:v>1</c:v>
                </c:pt>
              </c:numCache>
            </c:numRef>
          </c:val>
          <c:smooth val="0"/>
        </c:ser>
        <c:ser>
          <c:idx val="3"/>
          <c:order val="2"/>
          <c:tx>
            <c:v>butterfly</c:v>
          </c:tx>
          <c:spPr>
            <a:ln w="12700">
              <a:solidFill>
                <a:srgbClr val="00FFFF"/>
              </a:solidFill>
              <a:prstDash val="solid"/>
            </a:ln>
          </c:spPr>
          <c:marker>
            <c:symbol val="x"/>
            <c:size val="4"/>
            <c:spPr>
              <a:noFill/>
              <a:ln>
                <a:solidFill>
                  <a:srgbClr val="00FFFF"/>
                </a:solidFill>
                <a:prstDash val="solid"/>
              </a:ln>
            </c:spPr>
          </c:marker>
          <c:cat>
            <c:numRef>
              <c:f>Sheet1!$A$1:$A$10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Sheet1!$D$1:$D$10</c:f>
              <c:numCache>
                <c:formatCode>General</c:formatCode>
                <c:ptCount val="10"/>
                <c:pt idx="0">
                  <c:v>1</c:v>
                </c:pt>
                <c:pt idx="1">
                  <c:v>0.5</c:v>
                </c:pt>
                <c:pt idx="2">
                  <c:v>0</c:v>
                </c:pt>
                <c:pt idx="3">
                  <c:v>-0.5</c:v>
                </c:pt>
                <c:pt idx="4">
                  <c:v>-1</c:v>
                </c:pt>
                <c:pt idx="5">
                  <c:v>-1</c:v>
                </c:pt>
                <c:pt idx="6">
                  <c:v>-0.5</c:v>
                </c:pt>
                <c:pt idx="7">
                  <c:v>0</c:v>
                </c:pt>
                <c:pt idx="8">
                  <c:v>0.5</c:v>
                </c:pt>
                <c:pt idx="9">
                  <c:v>1</c:v>
                </c:pt>
              </c:numCache>
            </c:numRef>
          </c:val>
          <c:smooth val="0"/>
        </c:ser>
        <c:dLbls>
          <c:showLegendKey val="0"/>
          <c:showVal val="0"/>
          <c:showCatName val="0"/>
          <c:showSerName val="0"/>
          <c:showPercent val="0"/>
          <c:showBubbleSize val="0"/>
        </c:dLbls>
        <c:marker val="1"/>
        <c:smooth val="0"/>
        <c:axId val="676251376"/>
        <c:axId val="524382440"/>
      </c:lineChart>
      <c:catAx>
        <c:axId val="67625137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524382440"/>
        <c:crosses val="autoZero"/>
        <c:auto val="1"/>
        <c:lblAlgn val="ctr"/>
        <c:lblOffset val="100"/>
        <c:tickLblSkip val="1"/>
        <c:tickMarkSkip val="1"/>
        <c:noMultiLvlLbl val="0"/>
      </c:catAx>
      <c:valAx>
        <c:axId val="524382440"/>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676251376"/>
        <c:crosses val="autoZero"/>
        <c:crossBetween val="between"/>
      </c:valAx>
      <c:spPr>
        <a:solidFill>
          <a:srgbClr val="C0C0C0"/>
        </a:solidFill>
        <a:ln w="12700">
          <a:solidFill>
            <a:srgbClr val="808080"/>
          </a:solidFill>
          <a:prstDash val="solid"/>
        </a:ln>
      </c:spPr>
    </c:plotArea>
    <c:legend>
      <c:legendPos val="r"/>
      <c:layout>
        <c:manualLayout>
          <c:xMode val="edge"/>
          <c:yMode val="edge"/>
          <c:x val="0.80942184154175589"/>
          <c:y val="0.45644599303135891"/>
          <c:w val="0.18201284796573874"/>
          <c:h val="0.22299651567944251"/>
        </c:manualLayout>
      </c:layout>
      <c:overlay val="0"/>
      <c:spPr>
        <a:solidFill>
          <a:srgbClr val="FFFFFF"/>
        </a:solidFill>
        <a:ln w="3175">
          <a:solidFill>
            <a:srgbClr val="000000"/>
          </a:solidFill>
          <a:prstDash val="solid"/>
        </a:ln>
      </c:spPr>
      <c:txPr>
        <a:bodyPr/>
        <a:lstStyle/>
        <a:p>
          <a:pPr>
            <a:defRPr sz="87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50"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25" b="1" i="0" u="none" strike="noStrike" baseline="0">
                <a:solidFill>
                  <a:srgbClr val="000000"/>
                </a:solidFill>
                <a:latin typeface="Arial"/>
                <a:ea typeface="Arial"/>
                <a:cs typeface="Arial"/>
              </a:defRPr>
            </a:pPr>
            <a:r>
              <a:rPr lang="en-US"/>
              <a:t>The shift, twist and butterfly functions</a:t>
            </a:r>
          </a:p>
        </c:rich>
      </c:tx>
      <c:layout>
        <c:manualLayout>
          <c:xMode val="edge"/>
          <c:yMode val="edge"/>
          <c:x val="0.20985010706638116"/>
          <c:y val="2.0905923344947737E-2"/>
        </c:manualLayout>
      </c:layout>
      <c:overlay val="0"/>
      <c:spPr>
        <a:noFill/>
        <a:ln w="25399">
          <a:noFill/>
        </a:ln>
      </c:spPr>
    </c:title>
    <c:autoTitleDeleted val="0"/>
    <c:plotArea>
      <c:layout>
        <c:manualLayout>
          <c:layoutTarget val="inner"/>
          <c:xMode val="edge"/>
          <c:yMode val="edge"/>
          <c:x val="9.6359743040685231E-2"/>
          <c:y val="0.21254355400696864"/>
          <c:w val="0.86509635974304067"/>
          <c:h val="0.71777003484320556"/>
        </c:manualLayout>
      </c:layout>
      <c:scatterChart>
        <c:scatterStyle val="smoothMarker"/>
        <c:varyColors val="0"/>
        <c:ser>
          <c:idx val="0"/>
          <c:order val="0"/>
          <c:spPr>
            <a:ln w="12700">
              <a:solidFill>
                <a:srgbClr val="000080"/>
              </a:solidFill>
              <a:prstDash val="lgDash"/>
            </a:ln>
          </c:spPr>
          <c:marker>
            <c:symbol val="none"/>
          </c:marker>
          <c:xVal>
            <c:numRef>
              <c:f>Sheet1!$A$1:$A$13</c:f>
              <c:numCache>
                <c:formatCode>General</c:formatCode>
                <c:ptCount val="13"/>
                <c:pt idx="0">
                  <c:v>0</c:v>
                </c:pt>
                <c:pt idx="1">
                  <c:v>1</c:v>
                </c:pt>
                <c:pt idx="2">
                  <c:v>2</c:v>
                </c:pt>
                <c:pt idx="3">
                  <c:v>3</c:v>
                </c:pt>
                <c:pt idx="4">
                  <c:v>4</c:v>
                </c:pt>
                <c:pt idx="5">
                  <c:v>5</c:v>
                </c:pt>
                <c:pt idx="6">
                  <c:v>5.5</c:v>
                </c:pt>
                <c:pt idx="7">
                  <c:v>6</c:v>
                </c:pt>
                <c:pt idx="8">
                  <c:v>7</c:v>
                </c:pt>
                <c:pt idx="9">
                  <c:v>8</c:v>
                </c:pt>
                <c:pt idx="10">
                  <c:v>9</c:v>
                </c:pt>
                <c:pt idx="11">
                  <c:v>10</c:v>
                </c:pt>
                <c:pt idx="12">
                  <c:v>11</c:v>
                </c:pt>
              </c:numCache>
            </c:numRef>
          </c:xVal>
          <c:yVal>
            <c:numRef>
              <c:f>Sheet1!$E$1:$E$13</c:f>
              <c:numCache>
                <c:formatCode>General</c:formatCode>
                <c:ptCount val="13"/>
                <c:pt idx="0">
                  <c:v>0.31622776601683794</c:v>
                </c:pt>
                <c:pt idx="1">
                  <c:v>0.31622776601683794</c:v>
                </c:pt>
                <c:pt idx="2">
                  <c:v>0.31622776601683794</c:v>
                </c:pt>
                <c:pt idx="3">
                  <c:v>0.31622776601683794</c:v>
                </c:pt>
                <c:pt idx="4">
                  <c:v>0.31622776601683794</c:v>
                </c:pt>
                <c:pt idx="5">
                  <c:v>0.31622776601683794</c:v>
                </c:pt>
                <c:pt idx="6">
                  <c:v>0.31622776601683794</c:v>
                </c:pt>
                <c:pt idx="7">
                  <c:v>0.31622776601683794</c:v>
                </c:pt>
                <c:pt idx="8">
                  <c:v>0.31622776601683794</c:v>
                </c:pt>
                <c:pt idx="9">
                  <c:v>0.31622776601683794</c:v>
                </c:pt>
                <c:pt idx="10">
                  <c:v>0.31622776601683794</c:v>
                </c:pt>
                <c:pt idx="11">
                  <c:v>0.31622776601683794</c:v>
                </c:pt>
                <c:pt idx="12">
                  <c:v>0.31622776601683794</c:v>
                </c:pt>
              </c:numCache>
            </c:numRef>
          </c:yVal>
          <c:smooth val="1"/>
        </c:ser>
        <c:ser>
          <c:idx val="1"/>
          <c:order val="1"/>
          <c:spPr>
            <a:ln w="12700">
              <a:solidFill>
                <a:srgbClr val="FF00FF"/>
              </a:solidFill>
              <a:prstDash val="sysDash"/>
            </a:ln>
          </c:spPr>
          <c:marker>
            <c:symbol val="none"/>
          </c:marker>
          <c:xVal>
            <c:numRef>
              <c:f>Sheet1!$A$1:$A$13</c:f>
              <c:numCache>
                <c:formatCode>General</c:formatCode>
                <c:ptCount val="13"/>
                <c:pt idx="0">
                  <c:v>0</c:v>
                </c:pt>
                <c:pt idx="1">
                  <c:v>1</c:v>
                </c:pt>
                <c:pt idx="2">
                  <c:v>2</c:v>
                </c:pt>
                <c:pt idx="3">
                  <c:v>3</c:v>
                </c:pt>
                <c:pt idx="4">
                  <c:v>4</c:v>
                </c:pt>
                <c:pt idx="5">
                  <c:v>5</c:v>
                </c:pt>
                <c:pt idx="6">
                  <c:v>5.5</c:v>
                </c:pt>
                <c:pt idx="7">
                  <c:v>6</c:v>
                </c:pt>
                <c:pt idx="8">
                  <c:v>7</c:v>
                </c:pt>
                <c:pt idx="9">
                  <c:v>8</c:v>
                </c:pt>
                <c:pt idx="10">
                  <c:v>9</c:v>
                </c:pt>
                <c:pt idx="11">
                  <c:v>10</c:v>
                </c:pt>
                <c:pt idx="12">
                  <c:v>11</c:v>
                </c:pt>
              </c:numCache>
            </c:numRef>
          </c:xVal>
          <c:yVal>
            <c:numRef>
              <c:f>Sheet1!$F$1:$F$13</c:f>
              <c:numCache>
                <c:formatCode>General</c:formatCode>
                <c:ptCount val="13"/>
                <c:pt idx="0">
                  <c:v>-0.60553007081949839</c:v>
                </c:pt>
                <c:pt idx="1">
                  <c:v>-0.49543369430686235</c:v>
                </c:pt>
                <c:pt idx="2">
                  <c:v>-0.38533731779422625</c:v>
                </c:pt>
                <c:pt idx="3">
                  <c:v>-0.27524094128159021</c:v>
                </c:pt>
                <c:pt idx="4">
                  <c:v>-0.16514456476895412</c:v>
                </c:pt>
                <c:pt idx="5">
                  <c:v>-5.5048188256318062E-2</c:v>
                </c:pt>
                <c:pt idx="6">
                  <c:v>0</c:v>
                </c:pt>
                <c:pt idx="7">
                  <c:v>5.5048188256318062E-2</c:v>
                </c:pt>
                <c:pt idx="8">
                  <c:v>0.16514456476895409</c:v>
                </c:pt>
                <c:pt idx="9">
                  <c:v>0.2752409412815901</c:v>
                </c:pt>
                <c:pt idx="10">
                  <c:v>0.3853373177942262</c:v>
                </c:pt>
                <c:pt idx="11">
                  <c:v>0.49543369430686235</c:v>
                </c:pt>
                <c:pt idx="12">
                  <c:v>0.6055300708194985</c:v>
                </c:pt>
              </c:numCache>
            </c:numRef>
          </c:yVal>
          <c:smooth val="1"/>
        </c:ser>
        <c:ser>
          <c:idx val="2"/>
          <c:order val="2"/>
          <c:spPr>
            <a:ln w="12700">
              <a:solidFill>
                <a:srgbClr val="FFFF00"/>
              </a:solidFill>
              <a:prstDash val="solid"/>
            </a:ln>
          </c:spPr>
          <c:marker>
            <c:symbol val="none"/>
          </c:marker>
          <c:xVal>
            <c:numRef>
              <c:f>Sheet1!$A$1:$A$13</c:f>
              <c:numCache>
                <c:formatCode>General</c:formatCode>
                <c:ptCount val="13"/>
                <c:pt idx="0">
                  <c:v>0</c:v>
                </c:pt>
                <c:pt idx="1">
                  <c:v>1</c:v>
                </c:pt>
                <c:pt idx="2">
                  <c:v>2</c:v>
                </c:pt>
                <c:pt idx="3">
                  <c:v>3</c:v>
                </c:pt>
                <c:pt idx="4">
                  <c:v>4</c:v>
                </c:pt>
                <c:pt idx="5">
                  <c:v>5</c:v>
                </c:pt>
                <c:pt idx="6">
                  <c:v>5.5</c:v>
                </c:pt>
                <c:pt idx="7">
                  <c:v>6</c:v>
                </c:pt>
                <c:pt idx="8">
                  <c:v>7</c:v>
                </c:pt>
                <c:pt idx="9">
                  <c:v>8</c:v>
                </c:pt>
                <c:pt idx="10">
                  <c:v>9</c:v>
                </c:pt>
                <c:pt idx="11">
                  <c:v>10</c:v>
                </c:pt>
                <c:pt idx="12">
                  <c:v>11</c:v>
                </c:pt>
              </c:numCache>
            </c:numRef>
          </c:xVal>
          <c:yVal>
            <c:numRef>
              <c:f>Sheet1!$G$1:$G$13</c:f>
              <c:numCache>
                <c:formatCode>General</c:formatCode>
                <c:ptCount val="13"/>
                <c:pt idx="0">
                  <c:v>0.67082039324993692</c:v>
                </c:pt>
                <c:pt idx="1">
                  <c:v>0.44721359549995793</c:v>
                </c:pt>
                <c:pt idx="2">
                  <c:v>0.22360679774997896</c:v>
                </c:pt>
                <c:pt idx="3">
                  <c:v>0</c:v>
                </c:pt>
                <c:pt idx="4">
                  <c:v>-0.22360679774997896</c:v>
                </c:pt>
                <c:pt idx="5">
                  <c:v>-0.44721359549995793</c:v>
                </c:pt>
                <c:pt idx="6">
                  <c:v>-0.55901699437494745</c:v>
                </c:pt>
                <c:pt idx="7">
                  <c:v>-0.44721359549995793</c:v>
                </c:pt>
                <c:pt idx="8">
                  <c:v>-0.22360679774997896</c:v>
                </c:pt>
                <c:pt idx="9">
                  <c:v>0</c:v>
                </c:pt>
                <c:pt idx="10">
                  <c:v>0.22360679774997896</c:v>
                </c:pt>
                <c:pt idx="11">
                  <c:v>0.44721359549995793</c:v>
                </c:pt>
                <c:pt idx="12">
                  <c:v>0.67082039324993692</c:v>
                </c:pt>
              </c:numCache>
            </c:numRef>
          </c:yVal>
          <c:smooth val="1"/>
        </c:ser>
        <c:dLbls>
          <c:showLegendKey val="0"/>
          <c:showVal val="0"/>
          <c:showCatName val="0"/>
          <c:showSerName val="0"/>
          <c:showPercent val="0"/>
          <c:showBubbleSize val="0"/>
        </c:dLbls>
        <c:axId val="521245680"/>
        <c:axId val="521246072"/>
      </c:scatterChart>
      <c:valAx>
        <c:axId val="521245680"/>
        <c:scaling>
          <c:orientation val="minMax"/>
          <c:max val="11"/>
          <c:min val="0"/>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521246072"/>
        <c:crosses val="autoZero"/>
        <c:crossBetween val="midCat"/>
      </c:valAx>
      <c:valAx>
        <c:axId val="521246072"/>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521245680"/>
        <c:crosses val="autoZero"/>
        <c:crossBetween val="midCat"/>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950" b="0" i="0" u="none" strike="noStrike" baseline="0">
          <a:solidFill>
            <a:srgbClr val="000000"/>
          </a:solidFill>
          <a:latin typeface="Arial"/>
          <a:ea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1" i="0" u="none" strike="noStrike" baseline="0">
                <a:solidFill>
                  <a:srgbClr val="000000"/>
                </a:solidFill>
                <a:latin typeface="Arial"/>
                <a:ea typeface="Arial"/>
                <a:cs typeface="Arial"/>
              </a:defRPr>
            </a:pPr>
            <a:r>
              <a:rPr lang="en-US"/>
              <a:t>The implied zero curve for September 5, 1998 and October 5, 1998</a:t>
            </a:r>
          </a:p>
        </c:rich>
      </c:tx>
      <c:layout>
        <c:manualLayout>
          <c:xMode val="edge"/>
          <c:yMode val="edge"/>
          <c:x val="0.10909090909090909"/>
          <c:y val="2.2123893805309734E-2"/>
        </c:manualLayout>
      </c:layout>
      <c:overlay val="0"/>
      <c:spPr>
        <a:noFill/>
        <a:ln w="25399">
          <a:noFill/>
        </a:ln>
      </c:spPr>
    </c:title>
    <c:autoTitleDeleted val="0"/>
    <c:plotArea>
      <c:layout>
        <c:manualLayout>
          <c:layoutTarget val="inner"/>
          <c:xMode val="edge"/>
          <c:yMode val="edge"/>
          <c:x val="0.12"/>
          <c:y val="0.27876106194690264"/>
          <c:w val="0.84363636363636363"/>
          <c:h val="0.64601769911504425"/>
        </c:manualLayout>
      </c:layout>
      <c:scatterChart>
        <c:scatterStyle val="lineMarker"/>
        <c:varyColors val="0"/>
        <c:ser>
          <c:idx val="5"/>
          <c:order val="0"/>
          <c:tx>
            <c:v>Septemer 5, 1998</c:v>
          </c:tx>
          <c:spPr>
            <a:ln w="12699">
              <a:solidFill>
                <a:srgbClr val="FF6600"/>
              </a:solidFill>
              <a:prstDash val="solid"/>
            </a:ln>
          </c:spPr>
          <c:marker>
            <c:symbol val="none"/>
          </c:marker>
          <c:xVal>
            <c:numRef>
              <c:f>'G:\KVANT\exjobb\[newreturnattribution.xls]Sheet1'!$Q$2:$Q$100</c:f>
              <c:numCache>
                <c:formatCode>General</c:formatCode>
                <c:ptCount val="99"/>
                <c:pt idx="0">
                  <c:v>2.7397260273972603E-3</c:v>
                </c:pt>
                <c:pt idx="1">
                  <c:v>3.0136986301369864E-2</c:v>
                </c:pt>
                <c:pt idx="2">
                  <c:v>5.7534246575342465E-2</c:v>
                </c:pt>
                <c:pt idx="3">
                  <c:v>8.4931506849315067E-2</c:v>
                </c:pt>
                <c:pt idx="4">
                  <c:v>0.11232876712328767</c:v>
                </c:pt>
                <c:pt idx="5">
                  <c:v>0.13972602739726028</c:v>
                </c:pt>
                <c:pt idx="6">
                  <c:v>0.16712328767123288</c:v>
                </c:pt>
                <c:pt idx="7">
                  <c:v>0.19452054794520549</c:v>
                </c:pt>
                <c:pt idx="8">
                  <c:v>0.22191780821917809</c:v>
                </c:pt>
                <c:pt idx="9">
                  <c:v>0.24931506849315069</c:v>
                </c:pt>
                <c:pt idx="10">
                  <c:v>0.27671232876712326</c:v>
                </c:pt>
                <c:pt idx="11">
                  <c:v>0.30410958904109592</c:v>
                </c:pt>
                <c:pt idx="12">
                  <c:v>0.33150684931506852</c:v>
                </c:pt>
                <c:pt idx="13">
                  <c:v>0.35890410958904112</c:v>
                </c:pt>
                <c:pt idx="14">
                  <c:v>0.38630136986301372</c:v>
                </c:pt>
                <c:pt idx="15">
                  <c:v>0.41369863013698632</c:v>
                </c:pt>
                <c:pt idx="16">
                  <c:v>0.44109589041095892</c:v>
                </c:pt>
                <c:pt idx="17">
                  <c:v>0.46849315068493153</c:v>
                </c:pt>
                <c:pt idx="18">
                  <c:v>0.49589041095890413</c:v>
                </c:pt>
                <c:pt idx="19">
                  <c:v>0.57808219178082187</c:v>
                </c:pt>
                <c:pt idx="20">
                  <c:v>0.66027397260273968</c:v>
                </c:pt>
                <c:pt idx="21">
                  <c:v>0.74246575342465748</c:v>
                </c:pt>
                <c:pt idx="22">
                  <c:v>0.8246575342465754</c:v>
                </c:pt>
                <c:pt idx="23">
                  <c:v>0.9068493150684932</c:v>
                </c:pt>
                <c:pt idx="24">
                  <c:v>0.989041095890411</c:v>
                </c:pt>
                <c:pt idx="25">
                  <c:v>1.0712328767123287</c:v>
                </c:pt>
                <c:pt idx="26">
                  <c:v>1.1534246575342466</c:v>
                </c:pt>
                <c:pt idx="27">
                  <c:v>1.2356164383561643</c:v>
                </c:pt>
                <c:pt idx="28">
                  <c:v>1.3178082191780822</c:v>
                </c:pt>
                <c:pt idx="29">
                  <c:v>1.4</c:v>
                </c:pt>
                <c:pt idx="30">
                  <c:v>1.4821917808219178</c:v>
                </c:pt>
                <c:pt idx="31">
                  <c:v>1.5643835616438355</c:v>
                </c:pt>
                <c:pt idx="32">
                  <c:v>1.6465753424657534</c:v>
                </c:pt>
                <c:pt idx="33">
                  <c:v>1.7287671232876711</c:v>
                </c:pt>
                <c:pt idx="34">
                  <c:v>1.8383561643835618</c:v>
                </c:pt>
                <c:pt idx="35">
                  <c:v>1.9479452054794522</c:v>
                </c:pt>
                <c:pt idx="36">
                  <c:v>2.0575342465753423</c:v>
                </c:pt>
                <c:pt idx="37">
                  <c:v>2.1671232876712327</c:v>
                </c:pt>
                <c:pt idx="38">
                  <c:v>2.2767123287671232</c:v>
                </c:pt>
                <c:pt idx="39">
                  <c:v>2.3863013698630136</c:v>
                </c:pt>
                <c:pt idx="40">
                  <c:v>2.495890410958904</c:v>
                </c:pt>
                <c:pt idx="41">
                  <c:v>2.6054794520547944</c:v>
                </c:pt>
                <c:pt idx="42">
                  <c:v>2.7150684931506848</c:v>
                </c:pt>
                <c:pt idx="43">
                  <c:v>2.8246575342465752</c:v>
                </c:pt>
                <c:pt idx="44">
                  <c:v>2.9342465753424656</c:v>
                </c:pt>
                <c:pt idx="45">
                  <c:v>3.043835616438356</c:v>
                </c:pt>
                <c:pt idx="46">
                  <c:v>3.1534246575342464</c:v>
                </c:pt>
                <c:pt idx="47">
                  <c:v>3.2630136986301368</c:v>
                </c:pt>
                <c:pt idx="48">
                  <c:v>3.4</c:v>
                </c:pt>
                <c:pt idx="49">
                  <c:v>3.536986301369863</c:v>
                </c:pt>
                <c:pt idx="50">
                  <c:v>3.6739726027397261</c:v>
                </c:pt>
                <c:pt idx="51">
                  <c:v>3.8109589041095893</c:v>
                </c:pt>
                <c:pt idx="52">
                  <c:v>3.9479452054794519</c:v>
                </c:pt>
                <c:pt idx="53">
                  <c:v>4.0849315068493155</c:v>
                </c:pt>
                <c:pt idx="54">
                  <c:v>4.2219178082191782</c:v>
                </c:pt>
                <c:pt idx="55">
                  <c:v>4.3589041095890408</c:v>
                </c:pt>
                <c:pt idx="56">
                  <c:v>4.4958904109589044</c:v>
                </c:pt>
                <c:pt idx="57">
                  <c:v>4.6328767123287671</c:v>
                </c:pt>
                <c:pt idx="58">
                  <c:v>4.7698630136986298</c:v>
                </c:pt>
                <c:pt idx="59">
                  <c:v>4.9068493150684933</c:v>
                </c:pt>
                <c:pt idx="60">
                  <c:v>5.043835616438356</c:v>
                </c:pt>
                <c:pt idx="61">
                  <c:v>5.1808219178082195</c:v>
                </c:pt>
                <c:pt idx="62">
                  <c:v>5.4547945205479449</c:v>
                </c:pt>
                <c:pt idx="63">
                  <c:v>5.7287671232876711</c:v>
                </c:pt>
                <c:pt idx="64">
                  <c:v>6.0027397260273974</c:v>
                </c:pt>
                <c:pt idx="65">
                  <c:v>6.2767123287671236</c:v>
                </c:pt>
                <c:pt idx="66">
                  <c:v>6.5506849315068489</c:v>
                </c:pt>
                <c:pt idx="67">
                  <c:v>6.8246575342465752</c:v>
                </c:pt>
                <c:pt idx="68">
                  <c:v>7.0986301369863014</c:v>
                </c:pt>
                <c:pt idx="69">
                  <c:v>7.3726027397260276</c:v>
                </c:pt>
                <c:pt idx="70">
                  <c:v>7.646575342465753</c:v>
                </c:pt>
                <c:pt idx="71">
                  <c:v>7.9205479452054792</c:v>
                </c:pt>
                <c:pt idx="72">
                  <c:v>8.1945205479452063</c:v>
                </c:pt>
                <c:pt idx="73">
                  <c:v>8.4684931506849317</c:v>
                </c:pt>
                <c:pt idx="74">
                  <c:v>8.742465753424657</c:v>
                </c:pt>
                <c:pt idx="75">
                  <c:v>9.0164383561643842</c:v>
                </c:pt>
                <c:pt idx="76">
                  <c:v>9.2904109589041095</c:v>
                </c:pt>
                <c:pt idx="77">
                  <c:v>9.5643835616438349</c:v>
                </c:pt>
                <c:pt idx="78">
                  <c:v>9.838356164383562</c:v>
                </c:pt>
                <c:pt idx="79">
                  <c:v>10.112328767123287</c:v>
                </c:pt>
                <c:pt idx="80">
                  <c:v>10.386301369863014</c:v>
                </c:pt>
                <c:pt idx="81">
                  <c:v>10.66027397260274</c:v>
                </c:pt>
                <c:pt idx="82">
                  <c:v>11.07123287671233</c:v>
                </c:pt>
                <c:pt idx="83">
                  <c:v>11.482191780821918</c:v>
                </c:pt>
                <c:pt idx="84">
                  <c:v>11.893150684931507</c:v>
                </c:pt>
                <c:pt idx="85">
                  <c:v>12.304109589041095</c:v>
                </c:pt>
                <c:pt idx="86">
                  <c:v>12.715068493150685</c:v>
                </c:pt>
                <c:pt idx="87">
                  <c:v>13.126027397260273</c:v>
                </c:pt>
                <c:pt idx="88">
                  <c:v>13.536986301369863</c:v>
                </c:pt>
                <c:pt idx="89">
                  <c:v>13.947945205479453</c:v>
                </c:pt>
                <c:pt idx="90">
                  <c:v>14.358904109589041</c:v>
                </c:pt>
                <c:pt idx="91">
                  <c:v>14.769863013698631</c:v>
                </c:pt>
                <c:pt idx="92">
                  <c:v>15.180821917808219</c:v>
                </c:pt>
                <c:pt idx="93">
                  <c:v>15.591780821917808</c:v>
                </c:pt>
                <c:pt idx="94">
                  <c:v>16.002739726027396</c:v>
                </c:pt>
                <c:pt idx="95">
                  <c:v>16.413698630136988</c:v>
                </c:pt>
                <c:pt idx="96">
                  <c:v>16.712328767123289</c:v>
                </c:pt>
                <c:pt idx="97">
                  <c:v>17.260273972602739</c:v>
                </c:pt>
                <c:pt idx="98">
                  <c:v>18.082191780821919</c:v>
                </c:pt>
              </c:numCache>
            </c:numRef>
          </c:xVal>
          <c:yVal>
            <c:numRef>
              <c:f>'G:\KVANT\exjobb\[newreturnattribution.xls]Sheet1'!$G$2:$G$100</c:f>
              <c:numCache>
                <c:formatCode>General</c:formatCode>
                <c:ptCount val="99"/>
                <c:pt idx="0">
                  <c:v>4.1776242095918681</c:v>
                </c:pt>
                <c:pt idx="1">
                  <c:v>4.1813641972869426</c:v>
                </c:pt>
                <c:pt idx="2">
                  <c:v>4.1850910504885075</c:v>
                </c:pt>
                <c:pt idx="3">
                  <c:v>4.1888047677799012</c:v>
                </c:pt>
                <c:pt idx="4">
                  <c:v>4.1925053477469518</c:v>
                </c:pt>
                <c:pt idx="5">
                  <c:v>4.1961927889801487</c:v>
                </c:pt>
                <c:pt idx="6">
                  <c:v>4.1998670900754993</c:v>
                </c:pt>
                <c:pt idx="7">
                  <c:v>4.2035282496335835</c:v>
                </c:pt>
                <c:pt idx="8">
                  <c:v>4.2071762662601078</c:v>
                </c:pt>
                <c:pt idx="9">
                  <c:v>4.2108111385657843</c:v>
                </c:pt>
                <c:pt idx="10">
                  <c:v>4.2144328651662128</c:v>
                </c:pt>
                <c:pt idx="11">
                  <c:v>4.218041444682024</c:v>
                </c:pt>
                <c:pt idx="12">
                  <c:v>4.2216368757388025</c:v>
                </c:pt>
                <c:pt idx="13">
                  <c:v>4.2252191569671087</c:v>
                </c:pt>
                <c:pt idx="14">
                  <c:v>4.2287882870024553</c:v>
                </c:pt>
                <c:pt idx="15">
                  <c:v>4.2323442644854152</c:v>
                </c:pt>
                <c:pt idx="16">
                  <c:v>4.2358870880614381</c:v>
                </c:pt>
                <c:pt idx="17">
                  <c:v>4.2394167563810248</c:v>
                </c:pt>
                <c:pt idx="18">
                  <c:v>4.2429332680996241</c:v>
                </c:pt>
                <c:pt idx="19">
                  <c:v>4.2534038502788203</c:v>
                </c:pt>
                <c:pt idx="20">
                  <c:v>4.2637559751239777</c:v>
                </c:pt>
                <c:pt idx="21">
                  <c:v>4.2739896071397583</c:v>
                </c:pt>
                <c:pt idx="22">
                  <c:v>4.2841047112348933</c:v>
                </c:pt>
                <c:pt idx="23">
                  <c:v>4.2941012527222</c:v>
                </c:pt>
                <c:pt idx="24">
                  <c:v>4.3039791973189443</c:v>
                </c:pt>
                <c:pt idx="25">
                  <c:v>4.3137385111468838</c:v>
                </c:pt>
                <c:pt idx="26">
                  <c:v>4.3233791607325855</c:v>
                </c:pt>
                <c:pt idx="27">
                  <c:v>4.3329011130075621</c:v>
                </c:pt>
                <c:pt idx="28">
                  <c:v>4.3423043353084445</c:v>
                </c:pt>
                <c:pt idx="29">
                  <c:v>4.3515887953772063</c:v>
                </c:pt>
                <c:pt idx="30">
                  <c:v>4.3607544613613314</c:v>
                </c:pt>
                <c:pt idx="31">
                  <c:v>4.369801301813987</c:v>
                </c:pt>
                <c:pt idx="32">
                  <c:v>4.3787292856942361</c:v>
                </c:pt>
                <c:pt idx="33">
                  <c:v>4.3875383823671683</c:v>
                </c:pt>
                <c:pt idx="34">
                  <c:v>4.3990988567533638</c:v>
                </c:pt>
                <c:pt idx="35">
                  <c:v>4.4104478518820835</c:v>
                </c:pt>
                <c:pt idx="36">
                  <c:v>4.4215852985092683</c:v>
                </c:pt>
                <c:pt idx="37">
                  <c:v>4.4325111286766745</c:v>
                </c:pt>
                <c:pt idx="38">
                  <c:v>4.4432252757126198</c:v>
                </c:pt>
                <c:pt idx="39">
                  <c:v>4.45372767423261</c:v>
                </c:pt>
                <c:pt idx="40">
                  <c:v>4.4640182601400396</c:v>
                </c:pt>
                <c:pt idx="41">
                  <c:v>4.4740969706268308</c:v>
                </c:pt>
                <c:pt idx="42">
                  <c:v>4.4839637441740559</c:v>
                </c:pt>
                <c:pt idx="43">
                  <c:v>4.4935480779117469</c:v>
                </c:pt>
                <c:pt idx="44">
                  <c:v>4.5025819426894884</c:v>
                </c:pt>
                <c:pt idx="45">
                  <c:v>4.5112116204375292</c:v>
                </c:pt>
                <c:pt idx="46">
                  <c:v>4.5196373774131704</c:v>
                </c:pt>
                <c:pt idx="47">
                  <c:v>4.5280595468426386</c:v>
                </c:pt>
                <c:pt idx="48">
                  <c:v>4.5388875140834459</c:v>
                </c:pt>
                <c:pt idx="49">
                  <c:v>4.5504145539253917</c:v>
                </c:pt>
                <c:pt idx="50">
                  <c:v>4.5630064996942448</c:v>
                </c:pt>
                <c:pt idx="51">
                  <c:v>4.5766503798149074</c:v>
                </c:pt>
                <c:pt idx="52">
                  <c:v>4.5910461509156626</c:v>
                </c:pt>
                <c:pt idx="53">
                  <c:v>4.6058865304128824</c:v>
                </c:pt>
                <c:pt idx="54">
                  <c:v>4.6208640703591453</c:v>
                </c:pt>
                <c:pt idx="55">
                  <c:v>4.6356711488922615</c:v>
                </c:pt>
                <c:pt idx="56">
                  <c:v>4.6499999707256903</c:v>
                </c:pt>
                <c:pt idx="57">
                  <c:v>4.6635425766891752</c:v>
                </c:pt>
                <c:pt idx="58">
                  <c:v>4.6762149378916931</c:v>
                </c:pt>
                <c:pt idx="59">
                  <c:v>4.6883759890305665</c:v>
                </c:pt>
                <c:pt idx="60">
                  <c:v>4.7002269180787808</c:v>
                </c:pt>
                <c:pt idx="61">
                  <c:v>4.7119647179723181</c:v>
                </c:pt>
                <c:pt idx="62">
                  <c:v>4.7358693128322402</c:v>
                </c:pt>
                <c:pt idx="63">
                  <c:v>4.7606218906597224</c:v>
                </c:pt>
                <c:pt idx="64">
                  <c:v>4.7852658267407513</c:v>
                </c:pt>
                <c:pt idx="65">
                  <c:v>4.8087270593571043</c:v>
                </c:pt>
                <c:pt idx="66">
                  <c:v>4.8302963860233552</c:v>
                </c:pt>
                <c:pt idx="67">
                  <c:v>4.8514394613552021</c:v>
                </c:pt>
                <c:pt idx="68">
                  <c:v>4.8717051324376639</c:v>
                </c:pt>
                <c:pt idx="69">
                  <c:v>4.8901842782738463</c:v>
                </c:pt>
                <c:pt idx="70">
                  <c:v>4.9059672058039689</c:v>
                </c:pt>
                <c:pt idx="71">
                  <c:v>4.9181438441922438</c:v>
                </c:pt>
                <c:pt idx="72">
                  <c:v>4.9255950663817103</c:v>
                </c:pt>
                <c:pt idx="73">
                  <c:v>4.925316876240978</c:v>
                </c:pt>
                <c:pt idx="74">
                  <c:v>4.9243799068243304</c:v>
                </c:pt>
                <c:pt idx="75">
                  <c:v>4.9329010997218985</c:v>
                </c:pt>
                <c:pt idx="76">
                  <c:v>4.9532938834082065</c:v>
                </c:pt>
                <c:pt idx="77">
                  <c:v>4.9759190535329152</c:v>
                </c:pt>
                <c:pt idx="78">
                  <c:v>4.9943271121596862</c:v>
                </c:pt>
                <c:pt idx="79">
                  <c:v>5.0115795436671284</c:v>
                </c:pt>
                <c:pt idx="80">
                  <c:v>5.0173768587962879</c:v>
                </c:pt>
                <c:pt idx="81">
                  <c:v>5.0082054814497301</c:v>
                </c:pt>
                <c:pt idx="82">
                  <c:v>4.9993481832050284</c:v>
                </c:pt>
                <c:pt idx="83">
                  <c:v>4.9966092199845411</c:v>
                </c:pt>
                <c:pt idx="84">
                  <c:v>4.9999881130045232</c:v>
                </c:pt>
                <c:pt idx="85">
                  <c:v>5.009485452912676</c:v>
                </c:pt>
                <c:pt idx="86">
                  <c:v>5.0251028999602365</c:v>
                </c:pt>
                <c:pt idx="87">
                  <c:v>5.0468431844857014</c:v>
                </c:pt>
                <c:pt idx="88">
                  <c:v>5.0747101077103967</c:v>
                </c:pt>
                <c:pt idx="89">
                  <c:v>5.1087085428462338</c:v>
                </c:pt>
                <c:pt idx="90">
                  <c:v>5.1488444365160513</c:v>
                </c:pt>
                <c:pt idx="91">
                  <c:v>5.1951248104871883</c:v>
                </c:pt>
                <c:pt idx="92">
                  <c:v>5.2475577637189472</c:v>
                </c:pt>
                <c:pt idx="93">
                  <c:v>5.3061524747248052</c:v>
                </c:pt>
                <c:pt idx="94">
                  <c:v>5.3709192042503338</c:v>
                </c:pt>
                <c:pt idx="95">
                  <c:v>5.4418692982679122</c:v>
                </c:pt>
                <c:pt idx="96">
                  <c:v>5.4973125822518361</c:v>
                </c:pt>
                <c:pt idx="97">
                  <c:v>5.6075694933438767</c:v>
                </c:pt>
                <c:pt idx="98">
                  <c:v>5.7937163297831278</c:v>
                </c:pt>
              </c:numCache>
            </c:numRef>
          </c:yVal>
          <c:smooth val="0"/>
        </c:ser>
        <c:ser>
          <c:idx val="1"/>
          <c:order val="1"/>
          <c:tx>
            <c:v>October 5, 1998</c:v>
          </c:tx>
          <c:spPr>
            <a:ln w="12699">
              <a:solidFill>
                <a:srgbClr val="333300"/>
              </a:solidFill>
              <a:prstDash val="lgDash"/>
            </a:ln>
          </c:spPr>
          <c:marker>
            <c:symbol val="none"/>
          </c:marker>
          <c:xVal>
            <c:numRef>
              <c:f>'G:\KVANT\exjobb\[newreturnattribution.xls]Sheet1'!$Q$2:$Q$100</c:f>
              <c:numCache>
                <c:formatCode>General</c:formatCode>
                <c:ptCount val="99"/>
                <c:pt idx="0">
                  <c:v>2.7397260273972603E-3</c:v>
                </c:pt>
                <c:pt idx="1">
                  <c:v>3.0136986301369864E-2</c:v>
                </c:pt>
                <c:pt idx="2">
                  <c:v>5.7534246575342465E-2</c:v>
                </c:pt>
                <c:pt idx="3">
                  <c:v>8.4931506849315067E-2</c:v>
                </c:pt>
                <c:pt idx="4">
                  <c:v>0.11232876712328767</c:v>
                </c:pt>
                <c:pt idx="5">
                  <c:v>0.13972602739726028</c:v>
                </c:pt>
                <c:pt idx="6">
                  <c:v>0.16712328767123288</c:v>
                </c:pt>
                <c:pt idx="7">
                  <c:v>0.19452054794520549</c:v>
                </c:pt>
                <c:pt idx="8">
                  <c:v>0.22191780821917809</c:v>
                </c:pt>
                <c:pt idx="9">
                  <c:v>0.24931506849315069</c:v>
                </c:pt>
                <c:pt idx="10">
                  <c:v>0.27671232876712326</c:v>
                </c:pt>
                <c:pt idx="11">
                  <c:v>0.30410958904109592</c:v>
                </c:pt>
                <c:pt idx="12">
                  <c:v>0.33150684931506852</c:v>
                </c:pt>
                <c:pt idx="13">
                  <c:v>0.35890410958904112</c:v>
                </c:pt>
                <c:pt idx="14">
                  <c:v>0.38630136986301372</c:v>
                </c:pt>
                <c:pt idx="15">
                  <c:v>0.41369863013698632</c:v>
                </c:pt>
                <c:pt idx="16">
                  <c:v>0.44109589041095892</c:v>
                </c:pt>
                <c:pt idx="17">
                  <c:v>0.46849315068493153</c:v>
                </c:pt>
                <c:pt idx="18">
                  <c:v>0.49589041095890413</c:v>
                </c:pt>
                <c:pt idx="19">
                  <c:v>0.57808219178082187</c:v>
                </c:pt>
                <c:pt idx="20">
                  <c:v>0.66027397260273968</c:v>
                </c:pt>
                <c:pt idx="21">
                  <c:v>0.74246575342465748</c:v>
                </c:pt>
                <c:pt idx="22">
                  <c:v>0.8246575342465754</c:v>
                </c:pt>
                <c:pt idx="23">
                  <c:v>0.9068493150684932</c:v>
                </c:pt>
                <c:pt idx="24">
                  <c:v>0.989041095890411</c:v>
                </c:pt>
                <c:pt idx="25">
                  <c:v>1.0712328767123287</c:v>
                </c:pt>
                <c:pt idx="26">
                  <c:v>1.1534246575342466</c:v>
                </c:pt>
                <c:pt idx="27">
                  <c:v>1.2356164383561643</c:v>
                </c:pt>
                <c:pt idx="28">
                  <c:v>1.3178082191780822</c:v>
                </c:pt>
                <c:pt idx="29">
                  <c:v>1.4</c:v>
                </c:pt>
                <c:pt idx="30">
                  <c:v>1.4821917808219178</c:v>
                </c:pt>
                <c:pt idx="31">
                  <c:v>1.5643835616438355</c:v>
                </c:pt>
                <c:pt idx="32">
                  <c:v>1.6465753424657534</c:v>
                </c:pt>
                <c:pt idx="33">
                  <c:v>1.7287671232876711</c:v>
                </c:pt>
                <c:pt idx="34">
                  <c:v>1.8383561643835618</c:v>
                </c:pt>
                <c:pt idx="35">
                  <c:v>1.9479452054794522</c:v>
                </c:pt>
                <c:pt idx="36">
                  <c:v>2.0575342465753423</c:v>
                </c:pt>
                <c:pt idx="37">
                  <c:v>2.1671232876712327</c:v>
                </c:pt>
                <c:pt idx="38">
                  <c:v>2.2767123287671232</c:v>
                </c:pt>
                <c:pt idx="39">
                  <c:v>2.3863013698630136</c:v>
                </c:pt>
                <c:pt idx="40">
                  <c:v>2.495890410958904</c:v>
                </c:pt>
                <c:pt idx="41">
                  <c:v>2.6054794520547944</c:v>
                </c:pt>
                <c:pt idx="42">
                  <c:v>2.7150684931506848</c:v>
                </c:pt>
                <c:pt idx="43">
                  <c:v>2.8246575342465752</c:v>
                </c:pt>
                <c:pt idx="44">
                  <c:v>2.9342465753424656</c:v>
                </c:pt>
                <c:pt idx="45">
                  <c:v>3.043835616438356</c:v>
                </c:pt>
                <c:pt idx="46">
                  <c:v>3.1534246575342464</c:v>
                </c:pt>
                <c:pt idx="47">
                  <c:v>3.2630136986301368</c:v>
                </c:pt>
                <c:pt idx="48">
                  <c:v>3.4</c:v>
                </c:pt>
                <c:pt idx="49">
                  <c:v>3.536986301369863</c:v>
                </c:pt>
                <c:pt idx="50">
                  <c:v>3.6739726027397261</c:v>
                </c:pt>
                <c:pt idx="51">
                  <c:v>3.8109589041095893</c:v>
                </c:pt>
                <c:pt idx="52">
                  <c:v>3.9479452054794519</c:v>
                </c:pt>
                <c:pt idx="53">
                  <c:v>4.0849315068493155</c:v>
                </c:pt>
                <c:pt idx="54">
                  <c:v>4.2219178082191782</c:v>
                </c:pt>
                <c:pt idx="55">
                  <c:v>4.3589041095890408</c:v>
                </c:pt>
                <c:pt idx="56">
                  <c:v>4.4958904109589044</c:v>
                </c:pt>
                <c:pt idx="57">
                  <c:v>4.6328767123287671</c:v>
                </c:pt>
                <c:pt idx="58">
                  <c:v>4.7698630136986298</c:v>
                </c:pt>
                <c:pt idx="59">
                  <c:v>4.9068493150684933</c:v>
                </c:pt>
                <c:pt idx="60">
                  <c:v>5.043835616438356</c:v>
                </c:pt>
                <c:pt idx="61">
                  <c:v>5.1808219178082195</c:v>
                </c:pt>
                <c:pt idx="62">
                  <c:v>5.4547945205479449</c:v>
                </c:pt>
                <c:pt idx="63">
                  <c:v>5.7287671232876711</c:v>
                </c:pt>
                <c:pt idx="64">
                  <c:v>6.0027397260273974</c:v>
                </c:pt>
                <c:pt idx="65">
                  <c:v>6.2767123287671236</c:v>
                </c:pt>
                <c:pt idx="66">
                  <c:v>6.5506849315068489</c:v>
                </c:pt>
                <c:pt idx="67">
                  <c:v>6.8246575342465752</c:v>
                </c:pt>
                <c:pt idx="68">
                  <c:v>7.0986301369863014</c:v>
                </c:pt>
                <c:pt idx="69">
                  <c:v>7.3726027397260276</c:v>
                </c:pt>
                <c:pt idx="70">
                  <c:v>7.646575342465753</c:v>
                </c:pt>
                <c:pt idx="71">
                  <c:v>7.9205479452054792</c:v>
                </c:pt>
                <c:pt idx="72">
                  <c:v>8.1945205479452063</c:v>
                </c:pt>
                <c:pt idx="73">
                  <c:v>8.4684931506849317</c:v>
                </c:pt>
                <c:pt idx="74">
                  <c:v>8.742465753424657</c:v>
                </c:pt>
                <c:pt idx="75">
                  <c:v>9.0164383561643842</c:v>
                </c:pt>
                <c:pt idx="76">
                  <c:v>9.2904109589041095</c:v>
                </c:pt>
                <c:pt idx="77">
                  <c:v>9.5643835616438349</c:v>
                </c:pt>
                <c:pt idx="78">
                  <c:v>9.838356164383562</c:v>
                </c:pt>
                <c:pt idx="79">
                  <c:v>10.112328767123287</c:v>
                </c:pt>
                <c:pt idx="80">
                  <c:v>10.386301369863014</c:v>
                </c:pt>
                <c:pt idx="81">
                  <c:v>10.66027397260274</c:v>
                </c:pt>
                <c:pt idx="82">
                  <c:v>11.07123287671233</c:v>
                </c:pt>
                <c:pt idx="83">
                  <c:v>11.482191780821918</c:v>
                </c:pt>
                <c:pt idx="84">
                  <c:v>11.893150684931507</c:v>
                </c:pt>
                <c:pt idx="85">
                  <c:v>12.304109589041095</c:v>
                </c:pt>
                <c:pt idx="86">
                  <c:v>12.715068493150685</c:v>
                </c:pt>
                <c:pt idx="87">
                  <c:v>13.126027397260273</c:v>
                </c:pt>
                <c:pt idx="88">
                  <c:v>13.536986301369863</c:v>
                </c:pt>
                <c:pt idx="89">
                  <c:v>13.947945205479453</c:v>
                </c:pt>
                <c:pt idx="90">
                  <c:v>14.358904109589041</c:v>
                </c:pt>
                <c:pt idx="91">
                  <c:v>14.769863013698631</c:v>
                </c:pt>
                <c:pt idx="92">
                  <c:v>15.180821917808219</c:v>
                </c:pt>
                <c:pt idx="93">
                  <c:v>15.591780821917808</c:v>
                </c:pt>
                <c:pt idx="94">
                  <c:v>16.002739726027396</c:v>
                </c:pt>
                <c:pt idx="95">
                  <c:v>16.413698630136988</c:v>
                </c:pt>
                <c:pt idx="96">
                  <c:v>16.712328767123289</c:v>
                </c:pt>
                <c:pt idx="97">
                  <c:v>17.260273972602739</c:v>
                </c:pt>
                <c:pt idx="98">
                  <c:v>18.082191780821919</c:v>
                </c:pt>
              </c:numCache>
            </c:numRef>
          </c:xVal>
          <c:yVal>
            <c:numRef>
              <c:f>'G:\KVANT\exjobb\[newreturnattribution.xls]Sheet1'!$H$2:$H$100</c:f>
              <c:numCache>
                <c:formatCode>General</c:formatCode>
                <c:ptCount val="99"/>
                <c:pt idx="0">
                  <c:v>4.1570912447979138</c:v>
                </c:pt>
                <c:pt idx="1">
                  <c:v>4.1603394370751978</c:v>
                </c:pt>
                <c:pt idx="2">
                  <c:v>4.1635593531068666</c:v>
                </c:pt>
                <c:pt idx="3">
                  <c:v>4.1667509902651929</c:v>
                </c:pt>
                <c:pt idx="4">
                  <c:v>4.1699143459446635</c:v>
                </c:pt>
                <c:pt idx="5">
                  <c:v>4.1730494175625878</c:v>
                </c:pt>
                <c:pt idx="6">
                  <c:v>4.1761562025595964</c:v>
                </c:pt>
                <c:pt idx="7">
                  <c:v>4.1792346983992967</c:v>
                </c:pt>
                <c:pt idx="8">
                  <c:v>4.1822849025683313</c:v>
                </c:pt>
                <c:pt idx="9">
                  <c:v>4.1853068125763571</c:v>
                </c:pt>
                <c:pt idx="10">
                  <c:v>4.1883004259561787</c:v>
                </c:pt>
                <c:pt idx="11">
                  <c:v>4.1912657402635185</c:v>
                </c:pt>
                <c:pt idx="12">
                  <c:v>4.1942027530773123</c:v>
                </c:pt>
                <c:pt idx="13">
                  <c:v>4.1971114619994472</c:v>
                </c:pt>
                <c:pt idx="14">
                  <c:v>4.1999918646548968</c:v>
                </c:pt>
                <c:pt idx="15">
                  <c:v>4.2028439586917523</c:v>
                </c:pt>
                <c:pt idx="16">
                  <c:v>4.2056677417810864</c:v>
                </c:pt>
                <c:pt idx="17">
                  <c:v>4.2084632116171328</c:v>
                </c:pt>
                <c:pt idx="18">
                  <c:v>4.2112303659171983</c:v>
                </c:pt>
                <c:pt idx="19">
                  <c:v>4.2193619131203857</c:v>
                </c:pt>
                <c:pt idx="20">
                  <c:v>4.227238540537833</c:v>
                </c:pt>
                <c:pt idx="21">
                  <c:v>4.2348601902766916</c:v>
                </c:pt>
                <c:pt idx="22">
                  <c:v>4.2422268063153892</c:v>
                </c:pt>
                <c:pt idx="23">
                  <c:v>4.2493383345043085</c:v>
                </c:pt>
                <c:pt idx="24">
                  <c:v>4.2561947225665167</c:v>
                </c:pt>
                <c:pt idx="25">
                  <c:v>4.2627959200983563</c:v>
                </c:pt>
                <c:pt idx="26">
                  <c:v>4.2691418785700748</c:v>
                </c:pt>
                <c:pt idx="27">
                  <c:v>4.2752325513264129</c:v>
                </c:pt>
                <c:pt idx="28">
                  <c:v>4.2810678935871733</c:v>
                </c:pt>
                <c:pt idx="29">
                  <c:v>4.286647862447805</c:v>
                </c:pt>
                <c:pt idx="30">
                  <c:v>4.2919724168798679</c:v>
                </c:pt>
                <c:pt idx="31">
                  <c:v>4.2970415177316035</c:v>
                </c:pt>
                <c:pt idx="32">
                  <c:v>4.3018551277283485</c:v>
                </c:pt>
                <c:pt idx="33">
                  <c:v>4.3064132114730418</c:v>
                </c:pt>
                <c:pt idx="34">
                  <c:v>4.312093113521394</c:v>
                </c:pt>
                <c:pt idx="35">
                  <c:v>4.3173186130465249</c:v>
                </c:pt>
                <c:pt idx="36">
                  <c:v>4.322089641729109</c:v>
                </c:pt>
                <c:pt idx="37">
                  <c:v>4.3264061371896574</c:v>
                </c:pt>
                <c:pt idx="38">
                  <c:v>4.3302680429899167</c:v>
                </c:pt>
                <c:pt idx="39">
                  <c:v>4.3336753086340662</c:v>
                </c:pt>
                <c:pt idx="40">
                  <c:v>4.3366278895698542</c:v>
                </c:pt>
                <c:pt idx="41">
                  <c:v>4.3391257471895335</c:v>
                </c:pt>
                <c:pt idx="42">
                  <c:v>4.3411427848354291</c:v>
                </c:pt>
                <c:pt idx="43">
                  <c:v>4.342195127776959</c:v>
                </c:pt>
                <c:pt idx="44">
                  <c:v>4.3423598648683939</c:v>
                </c:pt>
                <c:pt idx="45">
                  <c:v>4.3419809313160558</c:v>
                </c:pt>
                <c:pt idx="46">
                  <c:v>4.3414022705461779</c:v>
                </c:pt>
                <c:pt idx="47">
                  <c:v>4.3409678219526766</c:v>
                </c:pt>
                <c:pt idx="48">
                  <c:v>4.3411515224750472</c:v>
                </c:pt>
                <c:pt idx="49">
                  <c:v>4.3427603660149181</c:v>
                </c:pt>
                <c:pt idx="50">
                  <c:v>4.3458619801378555</c:v>
                </c:pt>
                <c:pt idx="51">
                  <c:v>4.350052652905199</c:v>
                </c:pt>
                <c:pt idx="52">
                  <c:v>4.3550114695312283</c:v>
                </c:pt>
                <c:pt idx="53">
                  <c:v>4.360417476884388</c:v>
                </c:pt>
                <c:pt idx="54">
                  <c:v>4.3659496647952185</c:v>
                </c:pt>
                <c:pt idx="55">
                  <c:v>4.3712869572374036</c:v>
                </c:pt>
                <c:pt idx="56">
                  <c:v>4.3761082133851206</c:v>
                </c:pt>
                <c:pt idx="57">
                  <c:v>4.3801220313006892</c:v>
                </c:pt>
                <c:pt idx="58">
                  <c:v>4.3834821551092435</c:v>
                </c:pt>
                <c:pt idx="59">
                  <c:v>4.3865527748810811</c:v>
                </c:pt>
                <c:pt idx="60">
                  <c:v>4.3896786450050289</c:v>
                </c:pt>
                <c:pt idx="61">
                  <c:v>4.3932045620281972</c:v>
                </c:pt>
                <c:pt idx="62">
                  <c:v>4.4024641727061411</c:v>
                </c:pt>
                <c:pt idx="63">
                  <c:v>4.4140596631377047</c:v>
                </c:pt>
                <c:pt idx="64">
                  <c:v>4.4268193394766033</c:v>
                </c:pt>
                <c:pt idx="65">
                  <c:v>4.4395944123107798</c:v>
                </c:pt>
                <c:pt idx="66">
                  <c:v>4.4525019968189508</c:v>
                </c:pt>
                <c:pt idx="67">
                  <c:v>4.4673160904184774</c:v>
                </c:pt>
                <c:pt idx="68">
                  <c:v>4.482693586224042</c:v>
                </c:pt>
                <c:pt idx="69">
                  <c:v>4.497146322235718</c:v>
                </c:pt>
                <c:pt idx="70">
                  <c:v>4.5091853324454023</c:v>
                </c:pt>
                <c:pt idx="71">
                  <c:v>4.5173210846614351</c:v>
                </c:pt>
                <c:pt idx="72">
                  <c:v>4.5189188883122382</c:v>
                </c:pt>
                <c:pt idx="73">
                  <c:v>4.5123563291780258</c:v>
                </c:pt>
                <c:pt idx="74">
                  <c:v>4.5106890708192058</c:v>
                </c:pt>
                <c:pt idx="75">
                  <c:v>4.5276888128424453</c:v>
                </c:pt>
                <c:pt idx="76">
                  <c:v>4.560782564516499</c:v>
                </c:pt>
                <c:pt idx="77">
                  <c:v>4.5930351464545742</c:v>
                </c:pt>
                <c:pt idx="78">
                  <c:v>4.6226350381129908</c:v>
                </c:pt>
                <c:pt idx="79">
                  <c:v>4.6470118285708644</c:v>
                </c:pt>
                <c:pt idx="80">
                  <c:v>4.641224889550891</c:v>
                </c:pt>
                <c:pt idx="81">
                  <c:v>4.6147393147699551</c:v>
                </c:pt>
                <c:pt idx="82">
                  <c:v>4.5867599563304715</c:v>
                </c:pt>
                <c:pt idx="83">
                  <c:v>4.5700585972378613</c:v>
                </c:pt>
                <c:pt idx="84">
                  <c:v>4.5646298362879927</c:v>
                </c:pt>
                <c:pt idx="85">
                  <c:v>4.5704719179484119</c:v>
                </c:pt>
                <c:pt idx="86">
                  <c:v>4.5875867314121637</c:v>
                </c:pt>
                <c:pt idx="87">
                  <c:v>4.6159798116160324</c:v>
                </c:pt>
                <c:pt idx="88">
                  <c:v>4.6556603422239657</c:v>
                </c:pt>
                <c:pt idx="89">
                  <c:v>4.7066411605779868</c:v>
                </c:pt>
                <c:pt idx="90">
                  <c:v>4.7689387646202768</c:v>
                </c:pt>
                <c:pt idx="91">
                  <c:v>4.8425733217916758</c:v>
                </c:pt>
                <c:pt idx="92">
                  <c:v>4.9275686799133327</c:v>
                </c:pt>
                <c:pt idx="93">
                  <c:v>5.0239523800596908</c:v>
                </c:pt>
                <c:pt idx="94">
                  <c:v>5.1317556714325834</c:v>
                </c:pt>
                <c:pt idx="95">
                  <c:v>5.2510135282476424</c:v>
                </c:pt>
                <c:pt idx="96">
                  <c:v>5.3448822532761318</c:v>
                </c:pt>
                <c:pt idx="97">
                  <c:v>5.5329566182995196</c:v>
                </c:pt>
                <c:pt idx="98">
                  <c:v>5.8537227091029136</c:v>
                </c:pt>
              </c:numCache>
            </c:numRef>
          </c:yVal>
          <c:smooth val="0"/>
        </c:ser>
        <c:dLbls>
          <c:showLegendKey val="0"/>
          <c:showVal val="0"/>
          <c:showCatName val="0"/>
          <c:showSerName val="0"/>
          <c:showPercent val="0"/>
          <c:showBubbleSize val="0"/>
        </c:dLbls>
        <c:axId val="385791912"/>
        <c:axId val="384182368"/>
      </c:scatterChart>
      <c:valAx>
        <c:axId val="385791912"/>
        <c:scaling>
          <c:orientation val="minMax"/>
          <c:max val="15"/>
          <c:min val="0"/>
        </c:scaling>
        <c:delete val="0"/>
        <c:axPos val="b"/>
        <c:numFmt formatCode="General" sourceLinked="0"/>
        <c:majorTickMark val="out"/>
        <c:minorTickMark val="none"/>
        <c:tickLblPos val="nextTo"/>
        <c:spPr>
          <a:ln w="3175">
            <a:solidFill>
              <a:srgbClr val="000000"/>
            </a:solidFill>
            <a:prstDash val="solid"/>
          </a:ln>
        </c:spPr>
        <c:txPr>
          <a:bodyPr rot="0" vert="horz"/>
          <a:lstStyle/>
          <a:p>
            <a:pPr>
              <a:defRPr sz="575" b="0" i="0" u="none" strike="noStrike" baseline="0">
                <a:solidFill>
                  <a:srgbClr val="000000"/>
                </a:solidFill>
                <a:latin typeface="Arial"/>
                <a:ea typeface="Arial"/>
                <a:cs typeface="Arial"/>
              </a:defRPr>
            </a:pPr>
            <a:endParaRPr lang="en-US"/>
          </a:p>
        </c:txPr>
        <c:crossAx val="384182368"/>
        <c:crosses val="autoZero"/>
        <c:crossBetween val="midCat"/>
        <c:majorUnit val="1"/>
      </c:valAx>
      <c:valAx>
        <c:axId val="384182368"/>
        <c:scaling>
          <c:orientation val="minMax"/>
          <c:max val="6.5"/>
          <c:min val="-0.5"/>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575" b="0" i="0" u="none" strike="noStrike" baseline="0">
                <a:solidFill>
                  <a:srgbClr val="000000"/>
                </a:solidFill>
                <a:latin typeface="Arial"/>
                <a:ea typeface="Arial"/>
                <a:cs typeface="Arial"/>
              </a:defRPr>
            </a:pPr>
            <a:endParaRPr lang="en-US"/>
          </a:p>
        </c:txPr>
        <c:crossAx val="385791912"/>
        <c:crosses val="autoZero"/>
        <c:crossBetween val="midCat"/>
      </c:valAx>
      <c:spPr>
        <a:solidFill>
          <a:srgbClr val="C0C0C0"/>
        </a:solidFill>
        <a:ln w="12699">
          <a:solidFill>
            <a:srgbClr val="808080"/>
          </a:solidFill>
          <a:prstDash val="solid"/>
        </a:ln>
      </c:spPr>
    </c:plotArea>
    <c:legend>
      <c:legendPos val="r"/>
      <c:layout>
        <c:manualLayout>
          <c:xMode val="edge"/>
          <c:yMode val="edge"/>
          <c:x val="0.63636363636363635"/>
          <c:y val="0.66371681415929207"/>
          <c:w val="0.32727272727272727"/>
          <c:h val="0.20796460176991149"/>
        </c:manualLayout>
      </c:layout>
      <c:overlay val="0"/>
      <c:spPr>
        <a:solidFill>
          <a:srgbClr val="FFFFFF"/>
        </a:solidFill>
        <a:ln w="3175">
          <a:solidFill>
            <a:srgbClr val="000000"/>
          </a:solidFill>
          <a:prstDash val="solid"/>
        </a:ln>
      </c:spPr>
      <c:txPr>
        <a:bodyPr/>
        <a:lstStyle/>
        <a:p>
          <a:pPr>
            <a:defRPr sz="52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575" b="0" i="0" u="none" strike="noStrike" baseline="0">
          <a:solidFill>
            <a:srgbClr val="000000"/>
          </a:solidFill>
          <a:latin typeface="Arial"/>
          <a:ea typeface="Arial"/>
          <a:cs typeface="Aria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n-US"/>
              <a:t>The principal axes of the daily zero curve movement</a:t>
            </a:r>
          </a:p>
        </c:rich>
      </c:tx>
      <c:layout>
        <c:manualLayout>
          <c:xMode val="edge"/>
          <c:yMode val="edge"/>
          <c:x val="0.14748201438848921"/>
          <c:y val="2.0161290322580645E-2"/>
        </c:manualLayout>
      </c:layout>
      <c:overlay val="0"/>
      <c:spPr>
        <a:noFill/>
        <a:ln w="25398">
          <a:noFill/>
        </a:ln>
      </c:spPr>
    </c:title>
    <c:autoTitleDeleted val="0"/>
    <c:plotArea>
      <c:layout>
        <c:manualLayout>
          <c:layoutTarget val="inner"/>
          <c:xMode val="edge"/>
          <c:yMode val="edge"/>
          <c:x val="0.14388489208633093"/>
          <c:y val="0.28629032258064518"/>
          <c:w val="0.53597122302158273"/>
          <c:h val="0.54838709677419351"/>
        </c:manualLayout>
      </c:layout>
      <c:scatterChart>
        <c:scatterStyle val="smoothMarker"/>
        <c:varyColors val="0"/>
        <c:ser>
          <c:idx val="0"/>
          <c:order val="0"/>
          <c:tx>
            <c:v>axis 1</c:v>
          </c:tx>
          <c:spPr>
            <a:ln w="12699">
              <a:solidFill>
                <a:srgbClr val="000080"/>
              </a:solidFill>
              <a:prstDash val="solid"/>
            </a:ln>
          </c:spPr>
          <c:marker>
            <c:symbol val="diamond"/>
            <c:size val="4"/>
            <c:spPr>
              <a:solidFill>
                <a:srgbClr val="000080"/>
              </a:solidFill>
              <a:ln>
                <a:solidFill>
                  <a:srgbClr val="000080"/>
                </a:solidFill>
                <a:prstDash val="solid"/>
              </a:ln>
            </c:spPr>
          </c:marker>
          <c:xVal>
            <c:numRef>
              <c:f>Blad1!$G$1:$G$10</c:f>
              <c:numCache>
                <c:formatCode>General</c:formatCode>
                <c:ptCount val="10"/>
                <c:pt idx="0">
                  <c:v>2</c:v>
                </c:pt>
                <c:pt idx="1">
                  <c:v>2.8888888888888888</c:v>
                </c:pt>
                <c:pt idx="2">
                  <c:v>3.7777777777777777</c:v>
                </c:pt>
                <c:pt idx="3">
                  <c:v>4.6666666666666661</c:v>
                </c:pt>
                <c:pt idx="4">
                  <c:v>5.5555555555555554</c:v>
                </c:pt>
                <c:pt idx="5">
                  <c:v>6.4444444444444446</c:v>
                </c:pt>
                <c:pt idx="6">
                  <c:v>7.3333333333333339</c:v>
                </c:pt>
                <c:pt idx="7">
                  <c:v>8.2222222222222232</c:v>
                </c:pt>
                <c:pt idx="8">
                  <c:v>9.1111111111111125</c:v>
                </c:pt>
                <c:pt idx="9">
                  <c:v>10</c:v>
                </c:pt>
              </c:numCache>
            </c:numRef>
          </c:xVal>
          <c:yVal>
            <c:numRef>
              <c:f>Blad1!$H$1:$H$10</c:f>
              <c:numCache>
                <c:formatCode>General</c:formatCode>
                <c:ptCount val="10"/>
                <c:pt idx="0">
                  <c:v>0.3</c:v>
                </c:pt>
                <c:pt idx="1">
                  <c:v>0.31409999999999999</c:v>
                </c:pt>
                <c:pt idx="2">
                  <c:v>0.33300000000000002</c:v>
                </c:pt>
                <c:pt idx="3">
                  <c:v>0.3367</c:v>
                </c:pt>
                <c:pt idx="4">
                  <c:v>0.33300000000000002</c:v>
                </c:pt>
                <c:pt idx="5">
                  <c:v>0.3251</c:v>
                </c:pt>
                <c:pt idx="6">
                  <c:v>0.31259999999999999</c:v>
                </c:pt>
                <c:pt idx="7">
                  <c:v>0.30809999999999998</c:v>
                </c:pt>
                <c:pt idx="8">
                  <c:v>0.30990000000000001</c:v>
                </c:pt>
                <c:pt idx="9">
                  <c:v>0.30640000000000001</c:v>
                </c:pt>
              </c:numCache>
            </c:numRef>
          </c:yVal>
          <c:smooth val="1"/>
        </c:ser>
        <c:ser>
          <c:idx val="1"/>
          <c:order val="1"/>
          <c:tx>
            <c:v>axis 2</c:v>
          </c:tx>
          <c:spPr>
            <a:ln w="12699">
              <a:solidFill>
                <a:srgbClr val="FF00FF"/>
              </a:solidFill>
              <a:prstDash val="solid"/>
            </a:ln>
          </c:spPr>
          <c:marker>
            <c:symbol val="square"/>
            <c:size val="4"/>
            <c:spPr>
              <a:solidFill>
                <a:srgbClr val="FF00FF"/>
              </a:solidFill>
              <a:ln>
                <a:solidFill>
                  <a:srgbClr val="FF00FF"/>
                </a:solidFill>
                <a:prstDash val="solid"/>
              </a:ln>
            </c:spPr>
          </c:marker>
          <c:xVal>
            <c:numRef>
              <c:f>Blad1!$G$1:$G$10</c:f>
              <c:numCache>
                <c:formatCode>General</c:formatCode>
                <c:ptCount val="10"/>
                <c:pt idx="0">
                  <c:v>2</c:v>
                </c:pt>
                <c:pt idx="1">
                  <c:v>2.8888888888888888</c:v>
                </c:pt>
                <c:pt idx="2">
                  <c:v>3.7777777777777777</c:v>
                </c:pt>
                <c:pt idx="3">
                  <c:v>4.6666666666666661</c:v>
                </c:pt>
                <c:pt idx="4">
                  <c:v>5.5555555555555554</c:v>
                </c:pt>
                <c:pt idx="5">
                  <c:v>6.4444444444444446</c:v>
                </c:pt>
                <c:pt idx="6">
                  <c:v>7.3333333333333339</c:v>
                </c:pt>
                <c:pt idx="7">
                  <c:v>8.2222222222222232</c:v>
                </c:pt>
                <c:pt idx="8">
                  <c:v>9.1111111111111125</c:v>
                </c:pt>
                <c:pt idx="9">
                  <c:v>10</c:v>
                </c:pt>
              </c:numCache>
            </c:numRef>
          </c:xVal>
          <c:yVal>
            <c:numRef>
              <c:f>Blad1!$I$1:$I$10</c:f>
              <c:numCache>
                <c:formatCode>General</c:formatCode>
                <c:ptCount val="10"/>
                <c:pt idx="0">
                  <c:v>-0.47199999999999998</c:v>
                </c:pt>
                <c:pt idx="1">
                  <c:v>-0.4118</c:v>
                </c:pt>
                <c:pt idx="2">
                  <c:v>-0.26350000000000001</c:v>
                </c:pt>
                <c:pt idx="3">
                  <c:v>-0.14119999999999999</c:v>
                </c:pt>
                <c:pt idx="4">
                  <c:v>-5.0799999999999998E-2</c:v>
                </c:pt>
                <c:pt idx="5">
                  <c:v>5.9499999999999997E-2</c:v>
                </c:pt>
                <c:pt idx="6">
                  <c:v>0.17710000000000001</c:v>
                </c:pt>
                <c:pt idx="7">
                  <c:v>0.28000000000000003</c:v>
                </c:pt>
                <c:pt idx="8">
                  <c:v>0.38890000000000002</c:v>
                </c:pt>
                <c:pt idx="9">
                  <c:v>0.46350000000000002</c:v>
                </c:pt>
              </c:numCache>
            </c:numRef>
          </c:yVal>
          <c:smooth val="1"/>
        </c:ser>
        <c:ser>
          <c:idx val="2"/>
          <c:order val="2"/>
          <c:tx>
            <c:v>axis 3</c:v>
          </c:tx>
          <c:spPr>
            <a:ln w="12699">
              <a:solidFill>
                <a:srgbClr val="FFFF00"/>
              </a:solidFill>
              <a:prstDash val="solid"/>
            </a:ln>
          </c:spPr>
          <c:marker>
            <c:symbol val="triangle"/>
            <c:size val="4"/>
            <c:spPr>
              <a:solidFill>
                <a:srgbClr val="FFFF00"/>
              </a:solidFill>
              <a:ln>
                <a:solidFill>
                  <a:srgbClr val="FFFF00"/>
                </a:solidFill>
                <a:prstDash val="solid"/>
              </a:ln>
            </c:spPr>
          </c:marker>
          <c:xVal>
            <c:numRef>
              <c:f>Blad1!$G$1:$G$10</c:f>
              <c:numCache>
                <c:formatCode>General</c:formatCode>
                <c:ptCount val="10"/>
                <c:pt idx="0">
                  <c:v>2</c:v>
                </c:pt>
                <c:pt idx="1">
                  <c:v>2.8888888888888888</c:v>
                </c:pt>
                <c:pt idx="2">
                  <c:v>3.7777777777777777</c:v>
                </c:pt>
                <c:pt idx="3">
                  <c:v>4.6666666666666661</c:v>
                </c:pt>
                <c:pt idx="4">
                  <c:v>5.5555555555555554</c:v>
                </c:pt>
                <c:pt idx="5">
                  <c:v>6.4444444444444446</c:v>
                </c:pt>
                <c:pt idx="6">
                  <c:v>7.3333333333333339</c:v>
                </c:pt>
                <c:pt idx="7">
                  <c:v>8.2222222222222232</c:v>
                </c:pt>
                <c:pt idx="8">
                  <c:v>9.1111111111111125</c:v>
                </c:pt>
                <c:pt idx="9">
                  <c:v>10</c:v>
                </c:pt>
              </c:numCache>
            </c:numRef>
          </c:xVal>
          <c:yVal>
            <c:numRef>
              <c:f>Blad1!$J$1:$J$10</c:f>
              <c:numCache>
                <c:formatCode>General</c:formatCode>
                <c:ptCount val="10"/>
                <c:pt idx="0">
                  <c:v>0.49</c:v>
                </c:pt>
                <c:pt idx="1">
                  <c:v>0.26045000000000001</c:v>
                </c:pt>
                <c:pt idx="2">
                  <c:v>-0.1062</c:v>
                </c:pt>
                <c:pt idx="3">
                  <c:v>-0.29770000000000002</c:v>
                </c:pt>
                <c:pt idx="4">
                  <c:v>-0.36809999999999998</c:v>
                </c:pt>
                <c:pt idx="5">
                  <c:v>-0.30969999999999998</c:v>
                </c:pt>
                <c:pt idx="6">
                  <c:v>-0.1971</c:v>
                </c:pt>
                <c:pt idx="7">
                  <c:v>-8.7400000000000005E-2</c:v>
                </c:pt>
                <c:pt idx="8">
                  <c:v>0.20130000000000001</c:v>
                </c:pt>
                <c:pt idx="9">
                  <c:v>0.53890000000000005</c:v>
                </c:pt>
              </c:numCache>
            </c:numRef>
          </c:yVal>
          <c:smooth val="1"/>
        </c:ser>
        <c:dLbls>
          <c:showLegendKey val="0"/>
          <c:showVal val="0"/>
          <c:showCatName val="0"/>
          <c:showSerName val="0"/>
          <c:showPercent val="0"/>
          <c:showBubbleSize val="0"/>
        </c:dLbls>
        <c:axId val="675609592"/>
        <c:axId val="517083272"/>
      </c:scatterChart>
      <c:valAx>
        <c:axId val="675609592"/>
        <c:scaling>
          <c:orientation val="minMax"/>
          <c:max val="10"/>
          <c:min val="2"/>
        </c:scaling>
        <c:delete val="0"/>
        <c:axPos val="b"/>
        <c:title>
          <c:tx>
            <c:rich>
              <a:bodyPr/>
              <a:lstStyle/>
              <a:p>
                <a:pPr>
                  <a:defRPr sz="800" b="1" i="0" u="none" strike="noStrike" baseline="0">
                    <a:solidFill>
                      <a:srgbClr val="000000"/>
                    </a:solidFill>
                    <a:latin typeface="Arial"/>
                    <a:ea typeface="Arial"/>
                    <a:cs typeface="Arial"/>
                  </a:defRPr>
                </a:pPr>
                <a:r>
                  <a:rPr lang="en-US"/>
                  <a:t>Years to maturity</a:t>
                </a:r>
              </a:p>
            </c:rich>
          </c:tx>
          <c:layout>
            <c:manualLayout>
              <c:xMode val="edge"/>
              <c:yMode val="edge"/>
              <c:x val="0.23021582733812951"/>
              <c:y val="0.87096774193548387"/>
            </c:manualLayout>
          </c:layout>
          <c:overlay val="0"/>
          <c:spPr>
            <a:noFill/>
            <a:ln w="25398">
              <a:noFill/>
            </a:ln>
          </c:spPr>
        </c:title>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517083272"/>
        <c:crosses val="autoZero"/>
        <c:crossBetween val="midCat"/>
        <c:majorUnit val="1"/>
      </c:valAx>
      <c:valAx>
        <c:axId val="517083272"/>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675609592"/>
        <c:crosses val="autoZero"/>
        <c:crossBetween val="midCat"/>
      </c:valAx>
      <c:spPr>
        <a:solidFill>
          <a:srgbClr val="C0C0C0"/>
        </a:solidFill>
        <a:ln w="12699">
          <a:solidFill>
            <a:srgbClr val="808080"/>
          </a:solidFill>
          <a:prstDash val="solid"/>
        </a:ln>
      </c:spPr>
    </c:plotArea>
    <c:legend>
      <c:legendPos val="r"/>
      <c:layout>
        <c:manualLayout>
          <c:xMode val="edge"/>
          <c:yMode val="edge"/>
          <c:x val="0.74460431654676262"/>
          <c:y val="0.43951612903225806"/>
          <c:w val="0.24100719424460432"/>
          <c:h val="0.23387096774193547"/>
        </c:manualLayout>
      </c:layout>
      <c:overlay val="0"/>
      <c:spPr>
        <a:solidFill>
          <a:srgbClr val="FFFFFF"/>
        </a:solidFill>
        <a:ln w="3175">
          <a:solidFill>
            <a:srgbClr val="000000"/>
          </a:solidFill>
          <a:prstDash val="solid"/>
        </a:ln>
      </c:spPr>
      <c:txPr>
        <a:bodyPr/>
        <a:lstStyle/>
        <a:p>
          <a:pPr>
            <a:defRPr sz="73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n-US"/>
              <a:t>The principal axes of the monthly zero curve movement</a:t>
            </a:r>
          </a:p>
        </c:rich>
      </c:tx>
      <c:layout>
        <c:manualLayout>
          <c:xMode val="edge"/>
          <c:yMode val="edge"/>
          <c:x val="0.11151079136690648"/>
          <c:y val="2.0080321285140562E-2"/>
        </c:manualLayout>
      </c:layout>
      <c:overlay val="0"/>
      <c:spPr>
        <a:noFill/>
        <a:ln w="25399">
          <a:noFill/>
        </a:ln>
      </c:spPr>
    </c:title>
    <c:autoTitleDeleted val="0"/>
    <c:plotArea>
      <c:layout>
        <c:manualLayout>
          <c:layoutTarget val="inner"/>
          <c:xMode val="edge"/>
          <c:yMode val="edge"/>
          <c:x val="0.14388489208633093"/>
          <c:y val="0.28514056224899598"/>
          <c:w val="0.53597122302158273"/>
          <c:h val="0.55020080321285136"/>
        </c:manualLayout>
      </c:layout>
      <c:scatterChart>
        <c:scatterStyle val="smoothMarker"/>
        <c:varyColors val="0"/>
        <c:ser>
          <c:idx val="0"/>
          <c:order val="0"/>
          <c:tx>
            <c:v>axis 1</c:v>
          </c:tx>
          <c:spPr>
            <a:ln w="12700">
              <a:solidFill>
                <a:srgbClr val="000080"/>
              </a:solidFill>
              <a:prstDash val="solid"/>
            </a:ln>
          </c:spPr>
          <c:marker>
            <c:symbol val="diamond"/>
            <c:size val="4"/>
            <c:spPr>
              <a:solidFill>
                <a:srgbClr val="000080"/>
              </a:solidFill>
              <a:ln>
                <a:solidFill>
                  <a:srgbClr val="000080"/>
                </a:solidFill>
                <a:prstDash val="solid"/>
              </a:ln>
            </c:spPr>
          </c:marker>
          <c:xVal>
            <c:numRef>
              <c:f>Blad1!$G$1:$G$10</c:f>
              <c:numCache>
                <c:formatCode>General</c:formatCode>
                <c:ptCount val="10"/>
                <c:pt idx="0">
                  <c:v>2</c:v>
                </c:pt>
                <c:pt idx="1">
                  <c:v>2.8888888888888888</c:v>
                </c:pt>
                <c:pt idx="2">
                  <c:v>3.7777777777777777</c:v>
                </c:pt>
                <c:pt idx="3">
                  <c:v>4.6666666666666661</c:v>
                </c:pt>
                <c:pt idx="4">
                  <c:v>5.5555555555555554</c:v>
                </c:pt>
                <c:pt idx="5">
                  <c:v>6.4444444444444446</c:v>
                </c:pt>
                <c:pt idx="6">
                  <c:v>7.3333333333333339</c:v>
                </c:pt>
                <c:pt idx="7">
                  <c:v>8.2222222222222232</c:v>
                </c:pt>
                <c:pt idx="8">
                  <c:v>9.1111111111111125</c:v>
                </c:pt>
                <c:pt idx="9">
                  <c:v>10</c:v>
                </c:pt>
              </c:numCache>
            </c:numRef>
          </c:xVal>
          <c:yVal>
            <c:numRef>
              <c:f>Blad1!$H$17:$H$26</c:f>
              <c:numCache>
                <c:formatCode>General</c:formatCode>
                <c:ptCount val="10"/>
                <c:pt idx="0">
                  <c:v>0.31</c:v>
                </c:pt>
                <c:pt idx="1">
                  <c:v>0.31409999999999999</c:v>
                </c:pt>
                <c:pt idx="2">
                  <c:v>0.33300000000000002</c:v>
                </c:pt>
                <c:pt idx="3">
                  <c:v>0.3367</c:v>
                </c:pt>
                <c:pt idx="4">
                  <c:v>0.33300000000000002</c:v>
                </c:pt>
                <c:pt idx="5">
                  <c:v>0.3251</c:v>
                </c:pt>
                <c:pt idx="6">
                  <c:v>0.31259999999999999</c:v>
                </c:pt>
                <c:pt idx="7">
                  <c:v>0.30809999999999998</c:v>
                </c:pt>
                <c:pt idx="8">
                  <c:v>0.30990000000000001</c:v>
                </c:pt>
                <c:pt idx="9">
                  <c:v>0.30640000000000001</c:v>
                </c:pt>
              </c:numCache>
            </c:numRef>
          </c:yVal>
          <c:smooth val="1"/>
        </c:ser>
        <c:ser>
          <c:idx val="1"/>
          <c:order val="1"/>
          <c:tx>
            <c:v>axis 2</c:v>
          </c:tx>
          <c:spPr>
            <a:ln w="12700">
              <a:solidFill>
                <a:srgbClr val="FF00FF"/>
              </a:solidFill>
              <a:prstDash val="solid"/>
            </a:ln>
          </c:spPr>
          <c:marker>
            <c:symbol val="square"/>
            <c:size val="4"/>
            <c:spPr>
              <a:solidFill>
                <a:srgbClr val="FF00FF"/>
              </a:solidFill>
              <a:ln>
                <a:solidFill>
                  <a:srgbClr val="FF00FF"/>
                </a:solidFill>
                <a:prstDash val="solid"/>
              </a:ln>
            </c:spPr>
          </c:marker>
          <c:xVal>
            <c:numRef>
              <c:f>Blad1!$G$1:$G$10</c:f>
              <c:numCache>
                <c:formatCode>General</c:formatCode>
                <c:ptCount val="10"/>
                <c:pt idx="0">
                  <c:v>2</c:v>
                </c:pt>
                <c:pt idx="1">
                  <c:v>2.8888888888888888</c:v>
                </c:pt>
                <c:pt idx="2">
                  <c:v>3.7777777777777777</c:v>
                </c:pt>
                <c:pt idx="3">
                  <c:v>4.6666666666666661</c:v>
                </c:pt>
                <c:pt idx="4">
                  <c:v>5.5555555555555554</c:v>
                </c:pt>
                <c:pt idx="5">
                  <c:v>6.4444444444444446</c:v>
                </c:pt>
                <c:pt idx="6">
                  <c:v>7.3333333333333339</c:v>
                </c:pt>
                <c:pt idx="7">
                  <c:v>8.2222222222222232</c:v>
                </c:pt>
                <c:pt idx="8">
                  <c:v>9.1111111111111125</c:v>
                </c:pt>
                <c:pt idx="9">
                  <c:v>10</c:v>
                </c:pt>
              </c:numCache>
            </c:numRef>
          </c:xVal>
          <c:yVal>
            <c:numRef>
              <c:f>Blad1!$I$17:$I$26</c:f>
              <c:numCache>
                <c:formatCode>General</c:formatCode>
                <c:ptCount val="10"/>
                <c:pt idx="0">
                  <c:v>-0.47199999999999998</c:v>
                </c:pt>
                <c:pt idx="1">
                  <c:v>-0.38</c:v>
                </c:pt>
                <c:pt idx="2">
                  <c:v>-0.26350000000000001</c:v>
                </c:pt>
                <c:pt idx="3">
                  <c:v>-0.14119999999999999</c:v>
                </c:pt>
                <c:pt idx="4">
                  <c:v>-5.0799999999999998E-2</c:v>
                </c:pt>
                <c:pt idx="5">
                  <c:v>5.9499999999999997E-2</c:v>
                </c:pt>
                <c:pt idx="6">
                  <c:v>0.17710000000000001</c:v>
                </c:pt>
                <c:pt idx="7">
                  <c:v>0.28000000000000003</c:v>
                </c:pt>
                <c:pt idx="8">
                  <c:v>0.38890000000000002</c:v>
                </c:pt>
                <c:pt idx="9">
                  <c:v>0.46350000000000002</c:v>
                </c:pt>
              </c:numCache>
            </c:numRef>
          </c:yVal>
          <c:smooth val="1"/>
        </c:ser>
        <c:ser>
          <c:idx val="2"/>
          <c:order val="2"/>
          <c:tx>
            <c:v>axis 3</c:v>
          </c:tx>
          <c:spPr>
            <a:ln w="12700">
              <a:solidFill>
                <a:srgbClr val="FFFF00"/>
              </a:solidFill>
              <a:prstDash val="solid"/>
            </a:ln>
          </c:spPr>
          <c:marker>
            <c:symbol val="triangle"/>
            <c:size val="4"/>
            <c:spPr>
              <a:solidFill>
                <a:srgbClr val="FFFF00"/>
              </a:solidFill>
              <a:ln>
                <a:solidFill>
                  <a:srgbClr val="FFFF00"/>
                </a:solidFill>
                <a:prstDash val="solid"/>
              </a:ln>
            </c:spPr>
          </c:marker>
          <c:xVal>
            <c:numRef>
              <c:f>Blad1!$G$1:$G$10</c:f>
              <c:numCache>
                <c:formatCode>General</c:formatCode>
                <c:ptCount val="10"/>
                <c:pt idx="0">
                  <c:v>2</c:v>
                </c:pt>
                <c:pt idx="1">
                  <c:v>2.8888888888888888</c:v>
                </c:pt>
                <c:pt idx="2">
                  <c:v>3.7777777777777777</c:v>
                </c:pt>
                <c:pt idx="3">
                  <c:v>4.6666666666666661</c:v>
                </c:pt>
                <c:pt idx="4">
                  <c:v>5.5555555555555554</c:v>
                </c:pt>
                <c:pt idx="5">
                  <c:v>6.4444444444444446</c:v>
                </c:pt>
                <c:pt idx="6">
                  <c:v>7.3333333333333339</c:v>
                </c:pt>
                <c:pt idx="7">
                  <c:v>8.2222222222222232</c:v>
                </c:pt>
                <c:pt idx="8">
                  <c:v>9.1111111111111125</c:v>
                </c:pt>
                <c:pt idx="9">
                  <c:v>10</c:v>
                </c:pt>
              </c:numCache>
            </c:numRef>
          </c:xVal>
          <c:yVal>
            <c:numRef>
              <c:f>Blad1!$J$17:$J$26</c:f>
              <c:numCache>
                <c:formatCode>General</c:formatCode>
                <c:ptCount val="10"/>
                <c:pt idx="0">
                  <c:v>0.49</c:v>
                </c:pt>
                <c:pt idx="1">
                  <c:v>0.21199999999999999</c:v>
                </c:pt>
                <c:pt idx="2">
                  <c:v>-8.3699999999999997E-2</c:v>
                </c:pt>
                <c:pt idx="3">
                  <c:v>-0.21279999999999999</c:v>
                </c:pt>
                <c:pt idx="4">
                  <c:v>-0.30680000000000002</c:v>
                </c:pt>
                <c:pt idx="5">
                  <c:v>-0.38040000000000002</c:v>
                </c:pt>
                <c:pt idx="6">
                  <c:v>-0.22370000000000001</c:v>
                </c:pt>
                <c:pt idx="7">
                  <c:v>-0.1459</c:v>
                </c:pt>
                <c:pt idx="8">
                  <c:v>0.2374</c:v>
                </c:pt>
                <c:pt idx="9">
                  <c:v>0.56799999999999995</c:v>
                </c:pt>
              </c:numCache>
            </c:numRef>
          </c:yVal>
          <c:smooth val="1"/>
        </c:ser>
        <c:dLbls>
          <c:showLegendKey val="0"/>
          <c:showVal val="0"/>
          <c:showCatName val="0"/>
          <c:showSerName val="0"/>
          <c:showPercent val="0"/>
          <c:showBubbleSize val="0"/>
        </c:dLbls>
        <c:axId val="526492752"/>
        <c:axId val="526491968"/>
      </c:scatterChart>
      <c:valAx>
        <c:axId val="526492752"/>
        <c:scaling>
          <c:orientation val="minMax"/>
          <c:max val="10"/>
          <c:min val="2"/>
        </c:scaling>
        <c:delete val="0"/>
        <c:axPos val="b"/>
        <c:title>
          <c:tx>
            <c:rich>
              <a:bodyPr/>
              <a:lstStyle/>
              <a:p>
                <a:pPr>
                  <a:defRPr sz="800" b="1" i="0" u="none" strike="noStrike" baseline="0">
                    <a:solidFill>
                      <a:srgbClr val="000000"/>
                    </a:solidFill>
                    <a:latin typeface="Arial"/>
                    <a:ea typeface="Arial"/>
                    <a:cs typeface="Arial"/>
                  </a:defRPr>
                </a:pPr>
                <a:r>
                  <a:rPr lang="en-US"/>
                  <a:t>Years to maturity</a:t>
                </a:r>
              </a:p>
            </c:rich>
          </c:tx>
          <c:layout>
            <c:manualLayout>
              <c:xMode val="edge"/>
              <c:yMode val="edge"/>
              <c:x val="0.23021582733812951"/>
              <c:y val="0.87148594377510036"/>
            </c:manualLayout>
          </c:layout>
          <c:overlay val="0"/>
          <c:spPr>
            <a:noFill/>
            <a:ln w="25399">
              <a:noFill/>
            </a:ln>
          </c:spPr>
        </c:title>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526491968"/>
        <c:crosses val="autoZero"/>
        <c:crossBetween val="midCat"/>
        <c:majorUnit val="1"/>
      </c:valAx>
      <c:valAx>
        <c:axId val="526491968"/>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526492752"/>
        <c:crosses val="autoZero"/>
        <c:crossBetween val="midCat"/>
      </c:valAx>
      <c:spPr>
        <a:solidFill>
          <a:srgbClr val="C0C0C0"/>
        </a:solidFill>
        <a:ln w="12700">
          <a:solidFill>
            <a:srgbClr val="808080"/>
          </a:solidFill>
          <a:prstDash val="solid"/>
        </a:ln>
      </c:spPr>
    </c:plotArea>
    <c:legend>
      <c:legendPos val="r"/>
      <c:layout>
        <c:manualLayout>
          <c:xMode val="edge"/>
          <c:yMode val="edge"/>
          <c:x val="0.74460431654676262"/>
          <c:y val="0.44176706827309237"/>
          <c:w val="0.24100719424460432"/>
          <c:h val="0.23293172690763053"/>
        </c:manualLayout>
      </c:layout>
      <c:overlay val="0"/>
      <c:spPr>
        <a:solidFill>
          <a:srgbClr val="FFFFFF"/>
        </a:solidFill>
        <a:ln w="3175">
          <a:solidFill>
            <a:srgbClr val="000000"/>
          </a:solidFill>
          <a:prstDash val="solid"/>
        </a:ln>
      </c:spPr>
      <c:txPr>
        <a:bodyPr/>
        <a:lstStyle/>
        <a:p>
          <a:pPr>
            <a:defRPr sz="73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9073</Words>
  <Characters>51717</Characters>
  <Application>Microsoft Office Word</Application>
  <DocSecurity>0</DocSecurity>
  <Lines>430</Lines>
  <Paragraphs>121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Fixed Income Attribution Analysis</vt:lpstr>
      <vt:lpstr>Fixed Income Attribution Analysis</vt:lpstr>
    </vt:vector>
  </TitlesOfParts>
  <Company>3:e APfonden</Company>
  <LinksUpToDate>false</LinksUpToDate>
  <CharactersWithSpaces>60669</CharactersWithSpaces>
  <SharedDoc>false</SharedDoc>
  <HLinks>
    <vt:vector size="204" baseType="variant">
      <vt:variant>
        <vt:i4>1572921</vt:i4>
      </vt:variant>
      <vt:variant>
        <vt:i4>200</vt:i4>
      </vt:variant>
      <vt:variant>
        <vt:i4>0</vt:i4>
      </vt:variant>
      <vt:variant>
        <vt:i4>5</vt:i4>
      </vt:variant>
      <vt:variant>
        <vt:lpwstr/>
      </vt:variant>
      <vt:variant>
        <vt:lpwstr>_Toc38162697</vt:lpwstr>
      </vt:variant>
      <vt:variant>
        <vt:i4>1638457</vt:i4>
      </vt:variant>
      <vt:variant>
        <vt:i4>194</vt:i4>
      </vt:variant>
      <vt:variant>
        <vt:i4>0</vt:i4>
      </vt:variant>
      <vt:variant>
        <vt:i4>5</vt:i4>
      </vt:variant>
      <vt:variant>
        <vt:lpwstr/>
      </vt:variant>
      <vt:variant>
        <vt:lpwstr>_Toc38162696</vt:lpwstr>
      </vt:variant>
      <vt:variant>
        <vt:i4>1703993</vt:i4>
      </vt:variant>
      <vt:variant>
        <vt:i4>188</vt:i4>
      </vt:variant>
      <vt:variant>
        <vt:i4>0</vt:i4>
      </vt:variant>
      <vt:variant>
        <vt:i4>5</vt:i4>
      </vt:variant>
      <vt:variant>
        <vt:lpwstr/>
      </vt:variant>
      <vt:variant>
        <vt:lpwstr>_Toc38162695</vt:lpwstr>
      </vt:variant>
      <vt:variant>
        <vt:i4>1769529</vt:i4>
      </vt:variant>
      <vt:variant>
        <vt:i4>182</vt:i4>
      </vt:variant>
      <vt:variant>
        <vt:i4>0</vt:i4>
      </vt:variant>
      <vt:variant>
        <vt:i4>5</vt:i4>
      </vt:variant>
      <vt:variant>
        <vt:lpwstr/>
      </vt:variant>
      <vt:variant>
        <vt:lpwstr>_Toc38162694</vt:lpwstr>
      </vt:variant>
      <vt:variant>
        <vt:i4>1835065</vt:i4>
      </vt:variant>
      <vt:variant>
        <vt:i4>176</vt:i4>
      </vt:variant>
      <vt:variant>
        <vt:i4>0</vt:i4>
      </vt:variant>
      <vt:variant>
        <vt:i4>5</vt:i4>
      </vt:variant>
      <vt:variant>
        <vt:lpwstr/>
      </vt:variant>
      <vt:variant>
        <vt:lpwstr>_Toc38162693</vt:lpwstr>
      </vt:variant>
      <vt:variant>
        <vt:i4>1900601</vt:i4>
      </vt:variant>
      <vt:variant>
        <vt:i4>170</vt:i4>
      </vt:variant>
      <vt:variant>
        <vt:i4>0</vt:i4>
      </vt:variant>
      <vt:variant>
        <vt:i4>5</vt:i4>
      </vt:variant>
      <vt:variant>
        <vt:lpwstr/>
      </vt:variant>
      <vt:variant>
        <vt:lpwstr>_Toc38162692</vt:lpwstr>
      </vt:variant>
      <vt:variant>
        <vt:i4>1966137</vt:i4>
      </vt:variant>
      <vt:variant>
        <vt:i4>164</vt:i4>
      </vt:variant>
      <vt:variant>
        <vt:i4>0</vt:i4>
      </vt:variant>
      <vt:variant>
        <vt:i4>5</vt:i4>
      </vt:variant>
      <vt:variant>
        <vt:lpwstr/>
      </vt:variant>
      <vt:variant>
        <vt:lpwstr>_Toc38162691</vt:lpwstr>
      </vt:variant>
      <vt:variant>
        <vt:i4>2031673</vt:i4>
      </vt:variant>
      <vt:variant>
        <vt:i4>158</vt:i4>
      </vt:variant>
      <vt:variant>
        <vt:i4>0</vt:i4>
      </vt:variant>
      <vt:variant>
        <vt:i4>5</vt:i4>
      </vt:variant>
      <vt:variant>
        <vt:lpwstr/>
      </vt:variant>
      <vt:variant>
        <vt:lpwstr>_Toc38162690</vt:lpwstr>
      </vt:variant>
      <vt:variant>
        <vt:i4>1441848</vt:i4>
      </vt:variant>
      <vt:variant>
        <vt:i4>152</vt:i4>
      </vt:variant>
      <vt:variant>
        <vt:i4>0</vt:i4>
      </vt:variant>
      <vt:variant>
        <vt:i4>5</vt:i4>
      </vt:variant>
      <vt:variant>
        <vt:lpwstr/>
      </vt:variant>
      <vt:variant>
        <vt:lpwstr>_Toc38162689</vt:lpwstr>
      </vt:variant>
      <vt:variant>
        <vt:i4>1507384</vt:i4>
      </vt:variant>
      <vt:variant>
        <vt:i4>146</vt:i4>
      </vt:variant>
      <vt:variant>
        <vt:i4>0</vt:i4>
      </vt:variant>
      <vt:variant>
        <vt:i4>5</vt:i4>
      </vt:variant>
      <vt:variant>
        <vt:lpwstr/>
      </vt:variant>
      <vt:variant>
        <vt:lpwstr>_Toc38162688</vt:lpwstr>
      </vt:variant>
      <vt:variant>
        <vt:i4>1572920</vt:i4>
      </vt:variant>
      <vt:variant>
        <vt:i4>140</vt:i4>
      </vt:variant>
      <vt:variant>
        <vt:i4>0</vt:i4>
      </vt:variant>
      <vt:variant>
        <vt:i4>5</vt:i4>
      </vt:variant>
      <vt:variant>
        <vt:lpwstr/>
      </vt:variant>
      <vt:variant>
        <vt:lpwstr>_Toc38162687</vt:lpwstr>
      </vt:variant>
      <vt:variant>
        <vt:i4>1638456</vt:i4>
      </vt:variant>
      <vt:variant>
        <vt:i4>134</vt:i4>
      </vt:variant>
      <vt:variant>
        <vt:i4>0</vt:i4>
      </vt:variant>
      <vt:variant>
        <vt:i4>5</vt:i4>
      </vt:variant>
      <vt:variant>
        <vt:lpwstr/>
      </vt:variant>
      <vt:variant>
        <vt:lpwstr>_Toc38162686</vt:lpwstr>
      </vt:variant>
      <vt:variant>
        <vt:i4>1703992</vt:i4>
      </vt:variant>
      <vt:variant>
        <vt:i4>128</vt:i4>
      </vt:variant>
      <vt:variant>
        <vt:i4>0</vt:i4>
      </vt:variant>
      <vt:variant>
        <vt:i4>5</vt:i4>
      </vt:variant>
      <vt:variant>
        <vt:lpwstr/>
      </vt:variant>
      <vt:variant>
        <vt:lpwstr>_Toc38162685</vt:lpwstr>
      </vt:variant>
      <vt:variant>
        <vt:i4>1769528</vt:i4>
      </vt:variant>
      <vt:variant>
        <vt:i4>122</vt:i4>
      </vt:variant>
      <vt:variant>
        <vt:i4>0</vt:i4>
      </vt:variant>
      <vt:variant>
        <vt:i4>5</vt:i4>
      </vt:variant>
      <vt:variant>
        <vt:lpwstr/>
      </vt:variant>
      <vt:variant>
        <vt:lpwstr>_Toc38162684</vt:lpwstr>
      </vt:variant>
      <vt:variant>
        <vt:i4>1835064</vt:i4>
      </vt:variant>
      <vt:variant>
        <vt:i4>116</vt:i4>
      </vt:variant>
      <vt:variant>
        <vt:i4>0</vt:i4>
      </vt:variant>
      <vt:variant>
        <vt:i4>5</vt:i4>
      </vt:variant>
      <vt:variant>
        <vt:lpwstr/>
      </vt:variant>
      <vt:variant>
        <vt:lpwstr>_Toc38162683</vt:lpwstr>
      </vt:variant>
      <vt:variant>
        <vt:i4>1900600</vt:i4>
      </vt:variant>
      <vt:variant>
        <vt:i4>110</vt:i4>
      </vt:variant>
      <vt:variant>
        <vt:i4>0</vt:i4>
      </vt:variant>
      <vt:variant>
        <vt:i4>5</vt:i4>
      </vt:variant>
      <vt:variant>
        <vt:lpwstr/>
      </vt:variant>
      <vt:variant>
        <vt:lpwstr>_Toc38162682</vt:lpwstr>
      </vt:variant>
      <vt:variant>
        <vt:i4>1966136</vt:i4>
      </vt:variant>
      <vt:variant>
        <vt:i4>104</vt:i4>
      </vt:variant>
      <vt:variant>
        <vt:i4>0</vt:i4>
      </vt:variant>
      <vt:variant>
        <vt:i4>5</vt:i4>
      </vt:variant>
      <vt:variant>
        <vt:lpwstr/>
      </vt:variant>
      <vt:variant>
        <vt:lpwstr>_Toc38162681</vt:lpwstr>
      </vt:variant>
      <vt:variant>
        <vt:i4>2031672</vt:i4>
      </vt:variant>
      <vt:variant>
        <vt:i4>98</vt:i4>
      </vt:variant>
      <vt:variant>
        <vt:i4>0</vt:i4>
      </vt:variant>
      <vt:variant>
        <vt:i4>5</vt:i4>
      </vt:variant>
      <vt:variant>
        <vt:lpwstr/>
      </vt:variant>
      <vt:variant>
        <vt:lpwstr>_Toc38162680</vt:lpwstr>
      </vt:variant>
      <vt:variant>
        <vt:i4>1441847</vt:i4>
      </vt:variant>
      <vt:variant>
        <vt:i4>92</vt:i4>
      </vt:variant>
      <vt:variant>
        <vt:i4>0</vt:i4>
      </vt:variant>
      <vt:variant>
        <vt:i4>5</vt:i4>
      </vt:variant>
      <vt:variant>
        <vt:lpwstr/>
      </vt:variant>
      <vt:variant>
        <vt:lpwstr>_Toc38162679</vt:lpwstr>
      </vt:variant>
      <vt:variant>
        <vt:i4>1507383</vt:i4>
      </vt:variant>
      <vt:variant>
        <vt:i4>86</vt:i4>
      </vt:variant>
      <vt:variant>
        <vt:i4>0</vt:i4>
      </vt:variant>
      <vt:variant>
        <vt:i4>5</vt:i4>
      </vt:variant>
      <vt:variant>
        <vt:lpwstr/>
      </vt:variant>
      <vt:variant>
        <vt:lpwstr>_Toc38162678</vt:lpwstr>
      </vt:variant>
      <vt:variant>
        <vt:i4>1572919</vt:i4>
      </vt:variant>
      <vt:variant>
        <vt:i4>80</vt:i4>
      </vt:variant>
      <vt:variant>
        <vt:i4>0</vt:i4>
      </vt:variant>
      <vt:variant>
        <vt:i4>5</vt:i4>
      </vt:variant>
      <vt:variant>
        <vt:lpwstr/>
      </vt:variant>
      <vt:variant>
        <vt:lpwstr>_Toc38162677</vt:lpwstr>
      </vt:variant>
      <vt:variant>
        <vt:i4>1638455</vt:i4>
      </vt:variant>
      <vt:variant>
        <vt:i4>74</vt:i4>
      </vt:variant>
      <vt:variant>
        <vt:i4>0</vt:i4>
      </vt:variant>
      <vt:variant>
        <vt:i4>5</vt:i4>
      </vt:variant>
      <vt:variant>
        <vt:lpwstr/>
      </vt:variant>
      <vt:variant>
        <vt:lpwstr>_Toc38162676</vt:lpwstr>
      </vt:variant>
      <vt:variant>
        <vt:i4>1703991</vt:i4>
      </vt:variant>
      <vt:variant>
        <vt:i4>68</vt:i4>
      </vt:variant>
      <vt:variant>
        <vt:i4>0</vt:i4>
      </vt:variant>
      <vt:variant>
        <vt:i4>5</vt:i4>
      </vt:variant>
      <vt:variant>
        <vt:lpwstr/>
      </vt:variant>
      <vt:variant>
        <vt:lpwstr>_Toc38162675</vt:lpwstr>
      </vt:variant>
      <vt:variant>
        <vt:i4>1769527</vt:i4>
      </vt:variant>
      <vt:variant>
        <vt:i4>62</vt:i4>
      </vt:variant>
      <vt:variant>
        <vt:i4>0</vt:i4>
      </vt:variant>
      <vt:variant>
        <vt:i4>5</vt:i4>
      </vt:variant>
      <vt:variant>
        <vt:lpwstr/>
      </vt:variant>
      <vt:variant>
        <vt:lpwstr>_Toc38162674</vt:lpwstr>
      </vt:variant>
      <vt:variant>
        <vt:i4>1835063</vt:i4>
      </vt:variant>
      <vt:variant>
        <vt:i4>56</vt:i4>
      </vt:variant>
      <vt:variant>
        <vt:i4>0</vt:i4>
      </vt:variant>
      <vt:variant>
        <vt:i4>5</vt:i4>
      </vt:variant>
      <vt:variant>
        <vt:lpwstr/>
      </vt:variant>
      <vt:variant>
        <vt:lpwstr>_Toc38162673</vt:lpwstr>
      </vt:variant>
      <vt:variant>
        <vt:i4>1900599</vt:i4>
      </vt:variant>
      <vt:variant>
        <vt:i4>50</vt:i4>
      </vt:variant>
      <vt:variant>
        <vt:i4>0</vt:i4>
      </vt:variant>
      <vt:variant>
        <vt:i4>5</vt:i4>
      </vt:variant>
      <vt:variant>
        <vt:lpwstr/>
      </vt:variant>
      <vt:variant>
        <vt:lpwstr>_Toc38162672</vt:lpwstr>
      </vt:variant>
      <vt:variant>
        <vt:i4>1966135</vt:i4>
      </vt:variant>
      <vt:variant>
        <vt:i4>44</vt:i4>
      </vt:variant>
      <vt:variant>
        <vt:i4>0</vt:i4>
      </vt:variant>
      <vt:variant>
        <vt:i4>5</vt:i4>
      </vt:variant>
      <vt:variant>
        <vt:lpwstr/>
      </vt:variant>
      <vt:variant>
        <vt:lpwstr>_Toc38162671</vt:lpwstr>
      </vt:variant>
      <vt:variant>
        <vt:i4>2031671</vt:i4>
      </vt:variant>
      <vt:variant>
        <vt:i4>38</vt:i4>
      </vt:variant>
      <vt:variant>
        <vt:i4>0</vt:i4>
      </vt:variant>
      <vt:variant>
        <vt:i4>5</vt:i4>
      </vt:variant>
      <vt:variant>
        <vt:lpwstr/>
      </vt:variant>
      <vt:variant>
        <vt:lpwstr>_Toc38162670</vt:lpwstr>
      </vt:variant>
      <vt:variant>
        <vt:i4>1441846</vt:i4>
      </vt:variant>
      <vt:variant>
        <vt:i4>32</vt:i4>
      </vt:variant>
      <vt:variant>
        <vt:i4>0</vt:i4>
      </vt:variant>
      <vt:variant>
        <vt:i4>5</vt:i4>
      </vt:variant>
      <vt:variant>
        <vt:lpwstr/>
      </vt:variant>
      <vt:variant>
        <vt:lpwstr>_Toc38162669</vt:lpwstr>
      </vt:variant>
      <vt:variant>
        <vt:i4>1507382</vt:i4>
      </vt:variant>
      <vt:variant>
        <vt:i4>26</vt:i4>
      </vt:variant>
      <vt:variant>
        <vt:i4>0</vt:i4>
      </vt:variant>
      <vt:variant>
        <vt:i4>5</vt:i4>
      </vt:variant>
      <vt:variant>
        <vt:lpwstr/>
      </vt:variant>
      <vt:variant>
        <vt:lpwstr>_Toc38162668</vt:lpwstr>
      </vt:variant>
      <vt:variant>
        <vt:i4>1572918</vt:i4>
      </vt:variant>
      <vt:variant>
        <vt:i4>20</vt:i4>
      </vt:variant>
      <vt:variant>
        <vt:i4>0</vt:i4>
      </vt:variant>
      <vt:variant>
        <vt:i4>5</vt:i4>
      </vt:variant>
      <vt:variant>
        <vt:lpwstr/>
      </vt:variant>
      <vt:variant>
        <vt:lpwstr>_Toc38162667</vt:lpwstr>
      </vt:variant>
      <vt:variant>
        <vt:i4>1638454</vt:i4>
      </vt:variant>
      <vt:variant>
        <vt:i4>14</vt:i4>
      </vt:variant>
      <vt:variant>
        <vt:i4>0</vt:i4>
      </vt:variant>
      <vt:variant>
        <vt:i4>5</vt:i4>
      </vt:variant>
      <vt:variant>
        <vt:lpwstr/>
      </vt:variant>
      <vt:variant>
        <vt:lpwstr>_Toc38162666</vt:lpwstr>
      </vt:variant>
      <vt:variant>
        <vt:i4>1703990</vt:i4>
      </vt:variant>
      <vt:variant>
        <vt:i4>8</vt:i4>
      </vt:variant>
      <vt:variant>
        <vt:i4>0</vt:i4>
      </vt:variant>
      <vt:variant>
        <vt:i4>5</vt:i4>
      </vt:variant>
      <vt:variant>
        <vt:lpwstr/>
      </vt:variant>
      <vt:variant>
        <vt:lpwstr>_Toc38162665</vt:lpwstr>
      </vt:variant>
      <vt:variant>
        <vt:i4>1769526</vt:i4>
      </vt:variant>
      <vt:variant>
        <vt:i4>2</vt:i4>
      </vt:variant>
      <vt:variant>
        <vt:i4>0</vt:i4>
      </vt:variant>
      <vt:variant>
        <vt:i4>5</vt:i4>
      </vt:variant>
      <vt:variant>
        <vt:lpwstr/>
      </vt:variant>
      <vt:variant>
        <vt:lpwstr>_Toc38162664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Attribution Analysis</dc:title>
  <dc:subject/>
  <dc:creator>Brian Fagan</dc:creator>
  <cp:keywords/>
  <dc:description/>
  <cp:lastModifiedBy>Brian Fagan</cp:lastModifiedBy>
  <cp:revision>2</cp:revision>
  <cp:lastPrinted>2003-04-16T15:03:00Z</cp:lastPrinted>
  <dcterms:created xsi:type="dcterms:W3CDTF">2018-09-05T21:31:00Z</dcterms:created>
  <dcterms:modified xsi:type="dcterms:W3CDTF">2018-09-05T21:31:00Z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-193856485</vt:i4>
  </property>
  <property fmtid="{D5CDD505-2E9C-101B-9397-08002B2CF9AE}" pid="3" name="_EmailSubject">
    <vt:lpwstr>Exjobb</vt:lpwstr>
  </property>
  <property fmtid="{D5CDD505-2E9C-101B-9397-08002B2CF9AE}" pid="4" name="_AuthorEmail">
    <vt:lpwstr>kim.hansson@front.com</vt:lpwstr>
  </property>
  <property fmtid="{D5CDD505-2E9C-101B-9397-08002B2CF9AE}" pid="5" name="_AuthorEmailDisplayName">
    <vt:lpwstr>Kim Hansson</vt:lpwstr>
  </property>
  <property fmtid="{D5CDD505-2E9C-101B-9397-08002B2CF9AE}" pid="6" name="_ReviewingToolsShownOnce">
    <vt:lpwstr/>
  </property>
</Properties>
</file>