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3225" w:type="dxa"/>
        <w:tblCellMar>
          <w:left w:w="115" w:type="dxa"/>
          <w:right w:w="115" w:type="dxa"/>
        </w:tblCellMar>
        <w:tblLook w:val="04A0" w:firstRow="1" w:lastRow="0" w:firstColumn="1" w:lastColumn="0" w:noHBand="0" w:noVBand="1"/>
      </w:tblPr>
      <w:tblGrid>
        <w:gridCol w:w="1998"/>
        <w:gridCol w:w="2790"/>
        <w:gridCol w:w="2700"/>
        <w:gridCol w:w="2880"/>
        <w:gridCol w:w="2857"/>
      </w:tblGrid>
      <w:tr w:rsidR="00D24BB3" w:rsidTr="00DE399B">
        <w:trPr>
          <w:trHeight w:val="890"/>
        </w:trPr>
        <w:tc>
          <w:tcPr>
            <w:tcW w:w="1998" w:type="dxa"/>
          </w:tcPr>
          <w:p w:rsidR="00D24BB3" w:rsidRPr="005D4FB4" w:rsidRDefault="00D24BB3">
            <w:pPr>
              <w:rPr>
                <w:b/>
              </w:rPr>
            </w:pPr>
            <w:r w:rsidRPr="005D4FB4">
              <w:rPr>
                <w:b/>
              </w:rPr>
              <w:t xml:space="preserve">Instrument </w:t>
            </w:r>
          </w:p>
          <w:p w:rsidR="00D24BB3" w:rsidRPr="005D4FB4" w:rsidRDefault="00D24BB3">
            <w:pPr>
              <w:rPr>
                <w:b/>
              </w:rPr>
            </w:pPr>
            <w:r w:rsidRPr="005D4FB4">
              <w:rPr>
                <w:b/>
              </w:rPr>
              <w:t xml:space="preserve">Selection </w:t>
            </w:r>
            <w:r w:rsidR="00DC07DF">
              <w:rPr>
                <w:b/>
              </w:rPr>
              <w:t>Rules for Index Inclusion</w:t>
            </w:r>
          </w:p>
          <w:p w:rsidR="00D24BB3" w:rsidRPr="005D4FB4" w:rsidRDefault="00D24BB3">
            <w:pPr>
              <w:rPr>
                <w:b/>
              </w:rPr>
            </w:pPr>
          </w:p>
        </w:tc>
        <w:tc>
          <w:tcPr>
            <w:tcW w:w="2790" w:type="dxa"/>
          </w:tcPr>
          <w:p w:rsidR="00D24BB3" w:rsidRPr="005D4FB4" w:rsidRDefault="00D24BB3" w:rsidP="00D24BB3">
            <w:pPr>
              <w:jc w:val="center"/>
              <w:rPr>
                <w:b/>
              </w:rPr>
            </w:pPr>
            <w:r>
              <w:rPr>
                <w:b/>
              </w:rPr>
              <w:t>ICE Bank of America Merrill Lynch US High Yield Index</w:t>
            </w:r>
          </w:p>
        </w:tc>
        <w:tc>
          <w:tcPr>
            <w:tcW w:w="2700" w:type="dxa"/>
          </w:tcPr>
          <w:p w:rsidR="00D24BB3" w:rsidRPr="005D4FB4" w:rsidRDefault="00D24BB3" w:rsidP="00A2563F">
            <w:pPr>
              <w:jc w:val="center"/>
              <w:rPr>
                <w:b/>
              </w:rPr>
            </w:pPr>
            <w:bookmarkStart w:id="0" w:name="OLE_LINK1"/>
            <w:r>
              <w:rPr>
                <w:b/>
              </w:rPr>
              <w:t>Bloomberg Barclays US Corporate High Yield Index</w:t>
            </w:r>
            <w:bookmarkEnd w:id="0"/>
          </w:p>
        </w:tc>
        <w:tc>
          <w:tcPr>
            <w:tcW w:w="2880" w:type="dxa"/>
          </w:tcPr>
          <w:p w:rsidR="00D24BB3" w:rsidRPr="005D4FB4" w:rsidRDefault="00A56FA5" w:rsidP="00C87E68">
            <w:pPr>
              <w:jc w:val="center"/>
              <w:rPr>
                <w:b/>
              </w:rPr>
            </w:pPr>
            <w:bookmarkStart w:id="1" w:name="OLE_LINK2"/>
            <w:r>
              <w:rPr>
                <w:b/>
              </w:rPr>
              <w:t xml:space="preserve">Markit </w:t>
            </w:r>
            <w:r w:rsidR="00D24BB3">
              <w:rPr>
                <w:b/>
              </w:rPr>
              <w:t xml:space="preserve">iBoxx USD </w:t>
            </w:r>
            <w:r w:rsidR="00C87E68">
              <w:rPr>
                <w:b/>
              </w:rPr>
              <w:t xml:space="preserve">Liquid </w:t>
            </w:r>
            <w:r w:rsidR="00D24BB3">
              <w:rPr>
                <w:b/>
              </w:rPr>
              <w:t>High Yield Index</w:t>
            </w:r>
            <w:bookmarkEnd w:id="1"/>
          </w:p>
        </w:tc>
        <w:tc>
          <w:tcPr>
            <w:tcW w:w="2857" w:type="dxa"/>
          </w:tcPr>
          <w:p w:rsidR="00D24BB3" w:rsidRPr="005D4FB4" w:rsidRDefault="00D24BB3" w:rsidP="00A2563F">
            <w:pPr>
              <w:jc w:val="center"/>
              <w:rPr>
                <w:b/>
              </w:rPr>
            </w:pPr>
            <w:bookmarkStart w:id="2" w:name="OLE_LINK3"/>
            <w:r>
              <w:rPr>
                <w:b/>
              </w:rPr>
              <w:t>J.P. Morgan Developed High Yield Index</w:t>
            </w:r>
            <w:bookmarkEnd w:id="2"/>
          </w:p>
        </w:tc>
      </w:tr>
      <w:tr w:rsidR="00D24BB3" w:rsidTr="00006AF4">
        <w:trPr>
          <w:trHeight w:val="2420"/>
        </w:trPr>
        <w:tc>
          <w:tcPr>
            <w:tcW w:w="1998" w:type="dxa"/>
          </w:tcPr>
          <w:p w:rsidR="00D24BB3" w:rsidRPr="00E056E7" w:rsidRDefault="00D24BB3">
            <w:pPr>
              <w:rPr>
                <w:color w:val="FF0000"/>
              </w:rPr>
            </w:pPr>
            <w:r>
              <w:rPr>
                <w:color w:val="FF0000"/>
              </w:rPr>
              <w:t>Country</w:t>
            </w:r>
            <w:r w:rsidR="00C852C9">
              <w:rPr>
                <w:color w:val="FF0000"/>
              </w:rPr>
              <w:t xml:space="preserve"> of Risk</w:t>
            </w:r>
            <w:r>
              <w:rPr>
                <w:color w:val="FF0000"/>
              </w:rPr>
              <w:t xml:space="preserve"> Exposure</w:t>
            </w:r>
          </w:p>
        </w:tc>
        <w:tc>
          <w:tcPr>
            <w:tcW w:w="2790" w:type="dxa"/>
          </w:tcPr>
          <w:p w:rsidR="00D24BB3" w:rsidRDefault="00C6783F" w:rsidP="00C6783F">
            <w:pPr>
              <w:rPr>
                <w:rFonts w:ascii="Arial" w:hAnsi="Arial" w:cs="Arial"/>
                <w:sz w:val="18"/>
                <w:szCs w:val="18"/>
              </w:rPr>
            </w:pPr>
            <w:r>
              <w:rPr>
                <w:rFonts w:ascii="Arial" w:hAnsi="Arial" w:cs="Arial"/>
                <w:sz w:val="18"/>
                <w:szCs w:val="18"/>
              </w:rPr>
              <w:t>Q</w:t>
            </w:r>
            <w:r w:rsidRPr="00C6783F">
              <w:rPr>
                <w:rFonts w:ascii="Arial" w:hAnsi="Arial" w:cs="Arial"/>
                <w:sz w:val="18"/>
                <w:szCs w:val="18"/>
              </w:rPr>
              <w:t>ualifying securities must have risk exposure to countries tha</w:t>
            </w:r>
            <w:r>
              <w:rPr>
                <w:rFonts w:ascii="Arial" w:hAnsi="Arial" w:cs="Arial"/>
                <w:sz w:val="18"/>
                <w:szCs w:val="18"/>
              </w:rPr>
              <w:t xml:space="preserve">t are members of the FX-G10, </w:t>
            </w:r>
            <w:r w:rsidRPr="00C6783F">
              <w:rPr>
                <w:rFonts w:ascii="Arial" w:hAnsi="Arial" w:cs="Arial"/>
                <w:sz w:val="18"/>
                <w:szCs w:val="18"/>
              </w:rPr>
              <w:t>Western Euro</w:t>
            </w:r>
            <w:r>
              <w:rPr>
                <w:rFonts w:ascii="Arial" w:hAnsi="Arial" w:cs="Arial"/>
                <w:sz w:val="18"/>
                <w:szCs w:val="18"/>
              </w:rPr>
              <w:t xml:space="preserve">pe or territories of the US and </w:t>
            </w:r>
            <w:r w:rsidRPr="00C6783F">
              <w:rPr>
                <w:rFonts w:ascii="Arial" w:hAnsi="Arial" w:cs="Arial"/>
                <w:sz w:val="18"/>
                <w:szCs w:val="18"/>
              </w:rPr>
              <w:t>Western Europe. The FX-G10 includes all E</w:t>
            </w:r>
            <w:r>
              <w:rPr>
                <w:rFonts w:ascii="Arial" w:hAnsi="Arial" w:cs="Arial"/>
                <w:sz w:val="18"/>
                <w:szCs w:val="18"/>
              </w:rPr>
              <w:t xml:space="preserve">uro members, the US, Japan, the </w:t>
            </w:r>
            <w:r w:rsidRPr="00C6783F">
              <w:rPr>
                <w:rFonts w:ascii="Arial" w:hAnsi="Arial" w:cs="Arial"/>
                <w:sz w:val="18"/>
                <w:szCs w:val="18"/>
              </w:rPr>
              <w:t xml:space="preserve">UK, </w:t>
            </w:r>
            <w:r>
              <w:rPr>
                <w:rFonts w:ascii="Arial" w:hAnsi="Arial" w:cs="Arial"/>
                <w:sz w:val="18"/>
                <w:szCs w:val="18"/>
              </w:rPr>
              <w:t xml:space="preserve">Canada, Australia, New Zealand, </w:t>
            </w:r>
            <w:r w:rsidRPr="00C6783F">
              <w:rPr>
                <w:rFonts w:ascii="Arial" w:hAnsi="Arial" w:cs="Arial"/>
                <w:sz w:val="18"/>
                <w:szCs w:val="18"/>
              </w:rPr>
              <w:t>Switzerland, Norway and Sweden.</w:t>
            </w:r>
          </w:p>
          <w:p w:rsidR="00C6783F" w:rsidRPr="00676E3A" w:rsidRDefault="00C6783F" w:rsidP="00C6783F">
            <w:pPr>
              <w:rPr>
                <w:rFonts w:ascii="Arial" w:hAnsi="Arial" w:cs="Arial"/>
                <w:sz w:val="18"/>
                <w:szCs w:val="18"/>
              </w:rPr>
            </w:pPr>
          </w:p>
        </w:tc>
        <w:tc>
          <w:tcPr>
            <w:tcW w:w="2700" w:type="dxa"/>
          </w:tcPr>
          <w:p w:rsidR="00D24BB3" w:rsidRDefault="001D58BF">
            <w:pPr>
              <w:rPr>
                <w:rFonts w:ascii="Arial" w:hAnsi="Arial" w:cs="Arial"/>
                <w:sz w:val="18"/>
                <w:szCs w:val="18"/>
              </w:rPr>
            </w:pPr>
            <w:r>
              <w:rPr>
                <w:rFonts w:ascii="Arial" w:hAnsi="Arial" w:cs="Arial"/>
                <w:sz w:val="18"/>
                <w:szCs w:val="18"/>
              </w:rPr>
              <w:t>Bonds from issuers with an emerging markets country of risk, based on the indices’ EM country classification definition.</w:t>
            </w:r>
          </w:p>
          <w:p w:rsidR="001D58BF" w:rsidRDefault="001D58BF">
            <w:pPr>
              <w:rPr>
                <w:rFonts w:ascii="Arial" w:hAnsi="Arial" w:cs="Arial"/>
                <w:sz w:val="18"/>
                <w:szCs w:val="18"/>
              </w:rPr>
            </w:pPr>
          </w:p>
          <w:p w:rsidR="001D58BF" w:rsidRDefault="001D58BF" w:rsidP="001D58BF">
            <w:pPr>
              <w:rPr>
                <w:rFonts w:ascii="Arial" w:hAnsi="Arial" w:cs="Arial"/>
                <w:sz w:val="18"/>
                <w:szCs w:val="18"/>
              </w:rPr>
            </w:pPr>
            <w:r>
              <w:rPr>
                <w:rFonts w:ascii="Arial" w:hAnsi="Arial" w:cs="Arial"/>
                <w:sz w:val="18"/>
                <w:szCs w:val="18"/>
              </w:rPr>
              <w:t>All corporate (industrial, financial institutions, and utility) issues are included only.</w:t>
            </w:r>
          </w:p>
          <w:p w:rsidR="001D58BF" w:rsidRPr="00676E3A" w:rsidRDefault="001D58BF" w:rsidP="001D58BF">
            <w:pPr>
              <w:rPr>
                <w:rFonts w:ascii="Arial" w:hAnsi="Arial" w:cs="Arial"/>
                <w:sz w:val="18"/>
                <w:szCs w:val="18"/>
              </w:rPr>
            </w:pPr>
          </w:p>
        </w:tc>
        <w:tc>
          <w:tcPr>
            <w:tcW w:w="2880" w:type="dxa"/>
          </w:tcPr>
          <w:p w:rsidR="00F52070" w:rsidRPr="00C87E68" w:rsidRDefault="00971918" w:rsidP="00F52070">
            <w:pPr>
              <w:rPr>
                <w:rFonts w:ascii="Arial" w:hAnsi="Arial" w:cs="Arial"/>
                <w:sz w:val="18"/>
                <w:szCs w:val="18"/>
              </w:rPr>
            </w:pPr>
            <w:r>
              <w:rPr>
                <w:rFonts w:ascii="Arial" w:hAnsi="Arial" w:cs="Arial"/>
                <w:sz w:val="18"/>
                <w:szCs w:val="18"/>
              </w:rPr>
              <w:t>The issuer or, in case of a financial subsidiary, the issuer’s guarantor must have a country of risk listed as</w:t>
            </w:r>
            <w:r w:rsidR="00F52070">
              <w:rPr>
                <w:rFonts w:ascii="Arial" w:hAnsi="Arial" w:cs="Arial"/>
                <w:sz w:val="18"/>
                <w:szCs w:val="18"/>
              </w:rPr>
              <w:t xml:space="preserve"> developed markets as defined by the World Bank as non-emerging market economies.</w:t>
            </w:r>
          </w:p>
          <w:p w:rsidR="00D24BB3" w:rsidRDefault="00C87E68" w:rsidP="00C87E68">
            <w:pPr>
              <w:rPr>
                <w:rFonts w:ascii="Arial" w:hAnsi="Arial" w:cs="Arial"/>
                <w:sz w:val="18"/>
                <w:szCs w:val="18"/>
              </w:rPr>
            </w:pPr>
            <w:r w:rsidRPr="00C87E68">
              <w:rPr>
                <w:rFonts w:ascii="Arial" w:hAnsi="Arial" w:cs="Arial"/>
                <w:sz w:val="18"/>
                <w:szCs w:val="18"/>
              </w:rPr>
              <w:t>.</w:t>
            </w:r>
          </w:p>
          <w:p w:rsidR="00006AF4" w:rsidRPr="00676E3A" w:rsidRDefault="00006AF4" w:rsidP="00971918">
            <w:pPr>
              <w:rPr>
                <w:rFonts w:ascii="Arial" w:hAnsi="Arial" w:cs="Arial"/>
                <w:sz w:val="18"/>
                <w:szCs w:val="18"/>
              </w:rPr>
            </w:pPr>
          </w:p>
        </w:tc>
        <w:tc>
          <w:tcPr>
            <w:tcW w:w="2857" w:type="dxa"/>
          </w:tcPr>
          <w:p w:rsidR="00C852C9" w:rsidRDefault="00C852C9">
            <w:pPr>
              <w:rPr>
                <w:rFonts w:ascii="Arial" w:hAnsi="Arial" w:cs="Arial"/>
                <w:sz w:val="18"/>
                <w:szCs w:val="18"/>
              </w:rPr>
            </w:pPr>
            <w:r>
              <w:rPr>
                <w:rFonts w:ascii="Arial" w:hAnsi="Arial" w:cs="Arial"/>
                <w:sz w:val="18"/>
                <w:szCs w:val="18"/>
              </w:rPr>
              <w:t>The index is comprised of issuers domiciled across the global developed markets.</w:t>
            </w:r>
          </w:p>
          <w:p w:rsidR="00C852C9" w:rsidRDefault="00C852C9">
            <w:pPr>
              <w:rPr>
                <w:rFonts w:ascii="Arial" w:hAnsi="Arial" w:cs="Arial"/>
                <w:sz w:val="18"/>
                <w:szCs w:val="18"/>
              </w:rPr>
            </w:pPr>
          </w:p>
          <w:p w:rsidR="00D24BB3" w:rsidRPr="00676E3A" w:rsidRDefault="00C852C9">
            <w:pPr>
              <w:rPr>
                <w:rFonts w:ascii="Arial" w:hAnsi="Arial" w:cs="Arial"/>
                <w:sz w:val="18"/>
                <w:szCs w:val="18"/>
              </w:rPr>
            </w:pPr>
            <w:r>
              <w:rPr>
                <w:rFonts w:ascii="Arial" w:hAnsi="Arial" w:cs="Arial"/>
                <w:sz w:val="18"/>
                <w:szCs w:val="18"/>
              </w:rPr>
              <w:t xml:space="preserve">All sovereign and quasi-sovereign issues are excluded. Quasi-sovereign issues are defined as </w:t>
            </w:r>
            <w:r w:rsidR="008337E2">
              <w:rPr>
                <w:rFonts w:ascii="Arial" w:hAnsi="Arial" w:cs="Arial"/>
                <w:sz w:val="18"/>
                <w:szCs w:val="18"/>
              </w:rPr>
              <w:t>any bond that is 100% owned or guaranteed by the government.</w:t>
            </w:r>
          </w:p>
        </w:tc>
      </w:tr>
      <w:tr w:rsidR="00D24BB3" w:rsidTr="00DE399B">
        <w:trPr>
          <w:trHeight w:val="4391"/>
        </w:trPr>
        <w:tc>
          <w:tcPr>
            <w:tcW w:w="1998" w:type="dxa"/>
          </w:tcPr>
          <w:p w:rsidR="00D24BB3" w:rsidRPr="000E53DE" w:rsidRDefault="00DC07DF">
            <w:pPr>
              <w:rPr>
                <w:color w:val="FF0000"/>
              </w:rPr>
            </w:pPr>
            <w:r>
              <w:rPr>
                <w:color w:val="FF0000"/>
              </w:rPr>
              <w:t>Security</w:t>
            </w:r>
            <w:r w:rsidR="00D24BB3" w:rsidRPr="000E53DE">
              <w:rPr>
                <w:color w:val="FF0000"/>
              </w:rPr>
              <w:t xml:space="preserve"> Type</w:t>
            </w:r>
          </w:p>
        </w:tc>
        <w:tc>
          <w:tcPr>
            <w:tcW w:w="2790" w:type="dxa"/>
          </w:tcPr>
          <w:p w:rsidR="00C6783F" w:rsidRDefault="00C6783F" w:rsidP="00C6783F">
            <w:pPr>
              <w:rPr>
                <w:rFonts w:ascii="Arial" w:hAnsi="Arial" w:cs="Arial"/>
                <w:sz w:val="18"/>
                <w:szCs w:val="18"/>
              </w:rPr>
            </w:pPr>
            <w:r>
              <w:rPr>
                <w:rFonts w:ascii="Arial" w:hAnsi="Arial" w:cs="Arial"/>
                <w:sz w:val="18"/>
                <w:szCs w:val="18"/>
              </w:rPr>
              <w:t>Includes o</w:t>
            </w:r>
            <w:r w:rsidRPr="00C6783F">
              <w:rPr>
                <w:rFonts w:ascii="Arial" w:hAnsi="Arial" w:cs="Arial"/>
                <w:sz w:val="18"/>
                <w:szCs w:val="18"/>
              </w:rPr>
              <w:t>rigina</w:t>
            </w:r>
            <w:r>
              <w:rPr>
                <w:rFonts w:ascii="Arial" w:hAnsi="Arial" w:cs="Arial"/>
                <w:sz w:val="18"/>
                <w:szCs w:val="18"/>
              </w:rPr>
              <w:t xml:space="preserve">l issue zero coupon bonds, 144a </w:t>
            </w:r>
            <w:r w:rsidRPr="00C6783F">
              <w:rPr>
                <w:rFonts w:ascii="Arial" w:hAnsi="Arial" w:cs="Arial"/>
                <w:sz w:val="18"/>
                <w:szCs w:val="18"/>
              </w:rPr>
              <w:t>securities (both with and without regist</w:t>
            </w:r>
            <w:r>
              <w:rPr>
                <w:rFonts w:ascii="Arial" w:hAnsi="Arial" w:cs="Arial"/>
                <w:sz w:val="18"/>
                <w:szCs w:val="18"/>
              </w:rPr>
              <w:t xml:space="preserve">ration rights), and pay-in-kind </w:t>
            </w:r>
            <w:r w:rsidRPr="00C6783F">
              <w:rPr>
                <w:rFonts w:ascii="Arial" w:hAnsi="Arial" w:cs="Arial"/>
                <w:sz w:val="18"/>
                <w:szCs w:val="18"/>
              </w:rPr>
              <w:t>securities (includin</w:t>
            </w:r>
            <w:r>
              <w:rPr>
                <w:rFonts w:ascii="Arial" w:hAnsi="Arial" w:cs="Arial"/>
                <w:sz w:val="18"/>
                <w:szCs w:val="18"/>
              </w:rPr>
              <w:t xml:space="preserve">g toggle notes) are included in </w:t>
            </w:r>
            <w:r w:rsidRPr="00C6783F">
              <w:rPr>
                <w:rFonts w:ascii="Arial" w:hAnsi="Arial" w:cs="Arial"/>
                <w:sz w:val="18"/>
                <w:szCs w:val="18"/>
              </w:rPr>
              <w:t>the index. Callable perpetual securities are included provided they are at least one year from the first call date. Fixed-to</w:t>
            </w:r>
            <w:r>
              <w:rPr>
                <w:rFonts w:ascii="Arial" w:hAnsi="Arial" w:cs="Arial"/>
                <w:sz w:val="18"/>
                <w:szCs w:val="18"/>
              </w:rPr>
              <w:t xml:space="preserve"> floating </w:t>
            </w:r>
            <w:r w:rsidRPr="00C6783F">
              <w:rPr>
                <w:rFonts w:ascii="Arial" w:hAnsi="Arial" w:cs="Arial"/>
                <w:sz w:val="18"/>
                <w:szCs w:val="18"/>
              </w:rPr>
              <w:t>rate securities are included provided they are callable within the fixed rate period</w:t>
            </w:r>
            <w:r>
              <w:rPr>
                <w:rFonts w:ascii="Arial" w:hAnsi="Arial" w:cs="Arial"/>
                <w:sz w:val="18"/>
                <w:szCs w:val="18"/>
              </w:rPr>
              <w:t xml:space="preserve"> and are at least one year from the last call prior to </w:t>
            </w:r>
            <w:r w:rsidRPr="00C6783F">
              <w:rPr>
                <w:rFonts w:ascii="Arial" w:hAnsi="Arial" w:cs="Arial"/>
                <w:sz w:val="18"/>
                <w:szCs w:val="18"/>
              </w:rPr>
              <w:t>the date the bond transitions from a fixed to a floating rate security</w:t>
            </w:r>
            <w:r>
              <w:rPr>
                <w:rFonts w:ascii="Arial" w:hAnsi="Arial" w:cs="Arial"/>
                <w:sz w:val="18"/>
                <w:szCs w:val="18"/>
              </w:rPr>
              <w:t xml:space="preserve">. </w:t>
            </w:r>
          </w:p>
          <w:p w:rsidR="00C6783F" w:rsidRDefault="00C6783F" w:rsidP="00C6783F">
            <w:pPr>
              <w:rPr>
                <w:rFonts w:ascii="Arial" w:hAnsi="Arial" w:cs="Arial"/>
                <w:sz w:val="18"/>
                <w:szCs w:val="18"/>
              </w:rPr>
            </w:pPr>
          </w:p>
          <w:p w:rsidR="00D24BB3" w:rsidRDefault="00C6783F" w:rsidP="00C6783F">
            <w:pPr>
              <w:rPr>
                <w:rFonts w:ascii="Arial" w:hAnsi="Arial" w:cs="Arial"/>
                <w:sz w:val="18"/>
                <w:szCs w:val="18"/>
              </w:rPr>
            </w:pPr>
            <w:r>
              <w:rPr>
                <w:rFonts w:ascii="Arial" w:hAnsi="Arial" w:cs="Arial"/>
                <w:sz w:val="18"/>
                <w:szCs w:val="18"/>
              </w:rPr>
              <w:t xml:space="preserve">Contingent capital securities </w:t>
            </w:r>
            <w:r w:rsidRPr="00C6783F">
              <w:rPr>
                <w:rFonts w:ascii="Arial" w:hAnsi="Arial" w:cs="Arial"/>
                <w:sz w:val="18"/>
                <w:szCs w:val="18"/>
              </w:rPr>
              <w:t>(“</w:t>
            </w:r>
            <w:r>
              <w:rPr>
                <w:rFonts w:ascii="Arial" w:hAnsi="Arial" w:cs="Arial"/>
                <w:sz w:val="18"/>
                <w:szCs w:val="18"/>
              </w:rPr>
              <w:t>C</w:t>
            </w:r>
            <w:r w:rsidRPr="00C6783F">
              <w:rPr>
                <w:rFonts w:ascii="Arial" w:hAnsi="Arial" w:cs="Arial"/>
                <w:sz w:val="18"/>
                <w:szCs w:val="18"/>
              </w:rPr>
              <w:t>o</w:t>
            </w:r>
            <w:r>
              <w:rPr>
                <w:rFonts w:ascii="Arial" w:hAnsi="Arial" w:cs="Arial"/>
                <w:sz w:val="18"/>
                <w:szCs w:val="18"/>
              </w:rPr>
              <w:t xml:space="preserve">Cos”) are </w:t>
            </w:r>
            <w:r w:rsidRPr="00C6783F">
              <w:rPr>
                <w:rFonts w:ascii="Arial" w:hAnsi="Arial" w:cs="Arial"/>
                <w:sz w:val="18"/>
                <w:szCs w:val="18"/>
              </w:rPr>
              <w:t xml:space="preserve">excluded, but capital securities where conversion </w:t>
            </w:r>
            <w:r>
              <w:rPr>
                <w:rFonts w:ascii="Arial" w:hAnsi="Arial" w:cs="Arial"/>
                <w:sz w:val="18"/>
                <w:szCs w:val="18"/>
              </w:rPr>
              <w:t xml:space="preserve">can be mandated by a regulatory authority, but which have </w:t>
            </w:r>
            <w:r w:rsidRPr="00C6783F">
              <w:rPr>
                <w:rFonts w:ascii="Arial" w:hAnsi="Arial" w:cs="Arial"/>
                <w:sz w:val="18"/>
                <w:szCs w:val="18"/>
              </w:rPr>
              <w:t xml:space="preserve">no specified trigger, are included. Other </w:t>
            </w:r>
            <w:r>
              <w:rPr>
                <w:rFonts w:ascii="Arial" w:hAnsi="Arial" w:cs="Arial"/>
                <w:sz w:val="18"/>
                <w:szCs w:val="18"/>
              </w:rPr>
              <w:t xml:space="preserve">type of </w:t>
            </w:r>
            <w:r w:rsidRPr="00C6783F">
              <w:rPr>
                <w:rFonts w:ascii="Arial" w:hAnsi="Arial" w:cs="Arial"/>
                <w:sz w:val="18"/>
                <w:szCs w:val="18"/>
              </w:rPr>
              <w:t>hybrid capital securi</w:t>
            </w:r>
            <w:r>
              <w:rPr>
                <w:rFonts w:ascii="Arial" w:hAnsi="Arial" w:cs="Arial"/>
                <w:sz w:val="18"/>
                <w:szCs w:val="18"/>
              </w:rPr>
              <w:t xml:space="preserve">ties are </w:t>
            </w:r>
            <w:r w:rsidRPr="00C6783F">
              <w:rPr>
                <w:rFonts w:ascii="Arial" w:hAnsi="Arial" w:cs="Arial"/>
                <w:sz w:val="18"/>
                <w:szCs w:val="18"/>
              </w:rPr>
              <w:t>excluded from the index.</w:t>
            </w:r>
          </w:p>
          <w:p w:rsidR="00D24BB3" w:rsidRPr="006F1AB3" w:rsidRDefault="00D24BB3">
            <w:pPr>
              <w:rPr>
                <w:rFonts w:ascii="Arial" w:hAnsi="Arial" w:cs="Arial"/>
                <w:sz w:val="18"/>
                <w:szCs w:val="18"/>
              </w:rPr>
            </w:pPr>
          </w:p>
        </w:tc>
        <w:tc>
          <w:tcPr>
            <w:tcW w:w="2700" w:type="dxa"/>
          </w:tcPr>
          <w:p w:rsidR="00D24BB3" w:rsidRDefault="00D24BB3" w:rsidP="00A2563F">
            <w:pPr>
              <w:rPr>
                <w:rFonts w:ascii="Arial" w:hAnsi="Arial" w:cs="Arial"/>
                <w:sz w:val="18"/>
                <w:szCs w:val="18"/>
              </w:rPr>
            </w:pPr>
            <w:r w:rsidRPr="006F1AB3">
              <w:rPr>
                <w:rFonts w:ascii="Arial" w:hAnsi="Arial" w:cs="Arial"/>
                <w:sz w:val="18"/>
                <w:szCs w:val="18"/>
              </w:rPr>
              <w:t xml:space="preserve">Includes </w:t>
            </w:r>
            <w:r w:rsidR="005C0506">
              <w:rPr>
                <w:rFonts w:ascii="Arial" w:hAnsi="Arial" w:cs="Arial"/>
                <w:sz w:val="18"/>
                <w:szCs w:val="18"/>
              </w:rPr>
              <w:t>bullet, putable sinkable/amortizing and callable bonds. Original issue zero coupon bonds. P</w:t>
            </w:r>
            <w:r w:rsidR="00B3543B">
              <w:rPr>
                <w:rFonts w:ascii="Arial" w:hAnsi="Arial" w:cs="Arial"/>
                <w:sz w:val="18"/>
                <w:szCs w:val="18"/>
              </w:rPr>
              <w:t>ay-in-kind bonds</w:t>
            </w:r>
            <w:r w:rsidR="005C0506">
              <w:rPr>
                <w:rFonts w:ascii="Arial" w:hAnsi="Arial" w:cs="Arial"/>
                <w:sz w:val="18"/>
                <w:szCs w:val="18"/>
              </w:rPr>
              <w:t xml:space="preserve"> and toggle notes. C</w:t>
            </w:r>
            <w:r w:rsidR="00B3543B">
              <w:rPr>
                <w:rFonts w:ascii="Arial" w:hAnsi="Arial" w:cs="Arial"/>
                <w:sz w:val="18"/>
                <w:szCs w:val="18"/>
              </w:rPr>
              <w:t>allable fixed-to-floating rate and fixed-to-variable bonds are eligible during their fixed-rate term only</w:t>
            </w:r>
            <w:r w:rsidR="005C0506">
              <w:rPr>
                <w:rFonts w:ascii="Arial" w:hAnsi="Arial" w:cs="Arial"/>
                <w:sz w:val="18"/>
                <w:szCs w:val="18"/>
              </w:rPr>
              <w:t>.</w:t>
            </w:r>
          </w:p>
          <w:p w:rsidR="00D24BB3" w:rsidRDefault="00D24BB3" w:rsidP="00A2563F">
            <w:pPr>
              <w:rPr>
                <w:rFonts w:ascii="Arial" w:hAnsi="Arial" w:cs="Arial"/>
                <w:sz w:val="18"/>
                <w:szCs w:val="18"/>
              </w:rPr>
            </w:pPr>
          </w:p>
          <w:p w:rsidR="00D24BB3" w:rsidRPr="006F1AB3" w:rsidRDefault="005C0506" w:rsidP="005C0506">
            <w:pPr>
              <w:rPr>
                <w:rFonts w:ascii="Arial" w:hAnsi="Arial" w:cs="Arial"/>
                <w:sz w:val="18"/>
                <w:szCs w:val="18"/>
              </w:rPr>
            </w:pPr>
            <w:r>
              <w:rPr>
                <w:rFonts w:ascii="Arial" w:hAnsi="Arial" w:cs="Arial"/>
                <w:sz w:val="18"/>
                <w:szCs w:val="18"/>
              </w:rPr>
              <w:t>Excludes debt issued by emerging market corporate issuers, defaulted bonds, contingent capital securities, including traditional CoCo and contingent write-down securities with explicit capital ratio or solvency/balance sheet-based triggers, bonds with equity type futures, partial pay-in-kind bonds, eurodollar issues, inflation-linked bonds, floating-rate issues, private placements, structured notes, pass-through certificates, and illiquid securities with no available internal or third-party pricing source.</w:t>
            </w:r>
          </w:p>
        </w:tc>
        <w:tc>
          <w:tcPr>
            <w:tcW w:w="2880" w:type="dxa"/>
          </w:tcPr>
          <w:p w:rsidR="00D24BB3" w:rsidRDefault="00D24BB3" w:rsidP="00A2563F">
            <w:pPr>
              <w:rPr>
                <w:rFonts w:ascii="Arial" w:hAnsi="Arial" w:cs="Arial"/>
                <w:sz w:val="18"/>
                <w:szCs w:val="18"/>
              </w:rPr>
            </w:pPr>
            <w:r>
              <w:rPr>
                <w:rFonts w:ascii="Arial" w:hAnsi="Arial" w:cs="Arial"/>
                <w:sz w:val="18"/>
                <w:szCs w:val="18"/>
              </w:rPr>
              <w:t xml:space="preserve">Includes </w:t>
            </w:r>
            <w:r w:rsidR="00FB4EE5">
              <w:rPr>
                <w:rFonts w:ascii="Arial" w:hAnsi="Arial" w:cs="Arial"/>
                <w:sz w:val="18"/>
                <w:szCs w:val="18"/>
              </w:rPr>
              <w:t>fixed coupon bonds</w:t>
            </w:r>
            <w:r>
              <w:rPr>
                <w:rFonts w:ascii="Arial" w:hAnsi="Arial" w:cs="Arial"/>
                <w:sz w:val="18"/>
                <w:szCs w:val="18"/>
              </w:rPr>
              <w:t xml:space="preserve">, </w:t>
            </w:r>
            <w:r w:rsidR="00FB4EE5">
              <w:rPr>
                <w:rFonts w:ascii="Arial" w:hAnsi="Arial" w:cs="Arial"/>
                <w:sz w:val="18"/>
                <w:szCs w:val="18"/>
              </w:rPr>
              <w:t>step-up bonds with coupon schedules know at issuance</w:t>
            </w:r>
            <w:r>
              <w:rPr>
                <w:rFonts w:ascii="Arial" w:hAnsi="Arial" w:cs="Arial"/>
                <w:sz w:val="18"/>
                <w:szCs w:val="18"/>
              </w:rPr>
              <w:t xml:space="preserve">, </w:t>
            </w:r>
            <w:r w:rsidR="00FB4EE5">
              <w:rPr>
                <w:rFonts w:ascii="Arial" w:hAnsi="Arial" w:cs="Arial"/>
                <w:sz w:val="18"/>
                <w:szCs w:val="18"/>
              </w:rPr>
              <w:t>sinking funds and amortizing bonds</w:t>
            </w:r>
            <w:r>
              <w:rPr>
                <w:rFonts w:ascii="Arial" w:hAnsi="Arial" w:cs="Arial"/>
                <w:sz w:val="18"/>
                <w:szCs w:val="18"/>
              </w:rPr>
              <w:t xml:space="preserve">, </w:t>
            </w:r>
            <w:r w:rsidR="00FB4EE5">
              <w:rPr>
                <w:rFonts w:ascii="Arial" w:hAnsi="Arial" w:cs="Arial"/>
                <w:sz w:val="18"/>
                <w:szCs w:val="18"/>
              </w:rPr>
              <w:t>medium term notes</w:t>
            </w:r>
            <w:r>
              <w:rPr>
                <w:rFonts w:ascii="Arial" w:hAnsi="Arial" w:cs="Arial"/>
                <w:sz w:val="18"/>
                <w:szCs w:val="18"/>
              </w:rPr>
              <w:t>,</w:t>
            </w:r>
            <w:r w:rsidR="00FB4EE5">
              <w:rPr>
                <w:rFonts w:ascii="Arial" w:hAnsi="Arial" w:cs="Arial"/>
                <w:sz w:val="18"/>
                <w:szCs w:val="18"/>
              </w:rPr>
              <w:t xml:space="preserve"> rule 144A offerings, callable bonds, putable bonds, perpetual bonds, pay-in-kind bonds, zero coupon bonds, and zero step-up bonds.</w:t>
            </w:r>
          </w:p>
          <w:p w:rsidR="00D24BB3" w:rsidRDefault="00D24BB3" w:rsidP="00A2563F">
            <w:pPr>
              <w:rPr>
                <w:rFonts w:ascii="Arial" w:hAnsi="Arial" w:cs="Arial"/>
                <w:sz w:val="18"/>
                <w:szCs w:val="18"/>
              </w:rPr>
            </w:pPr>
          </w:p>
          <w:p w:rsidR="00F20A26" w:rsidRPr="006F1AB3" w:rsidRDefault="00FB4EE5" w:rsidP="00F20A26">
            <w:pPr>
              <w:rPr>
                <w:rFonts w:ascii="Arial" w:hAnsi="Arial" w:cs="Arial"/>
                <w:sz w:val="18"/>
                <w:szCs w:val="18"/>
              </w:rPr>
            </w:pPr>
            <w:r>
              <w:rPr>
                <w:rFonts w:ascii="Arial" w:hAnsi="Arial" w:cs="Arial"/>
                <w:sz w:val="18"/>
                <w:szCs w:val="18"/>
              </w:rPr>
              <w:t xml:space="preserve">Excludes </w:t>
            </w:r>
            <w:r w:rsidR="00F52070" w:rsidRPr="00F52070">
              <w:rPr>
                <w:rFonts w:ascii="Arial" w:hAnsi="Arial" w:cs="Arial"/>
                <w:sz w:val="18"/>
                <w:szCs w:val="18"/>
              </w:rPr>
              <w:t>Preferred shares, convertible</w:t>
            </w:r>
            <w:r w:rsidR="00F52070">
              <w:rPr>
                <w:rFonts w:ascii="Arial" w:hAnsi="Arial" w:cs="Arial"/>
                <w:sz w:val="18"/>
                <w:szCs w:val="18"/>
              </w:rPr>
              <w:t xml:space="preserve"> bonds, bonds with other equity </w:t>
            </w:r>
            <w:r w:rsidR="00F52070" w:rsidRPr="00F52070">
              <w:rPr>
                <w:rFonts w:ascii="Arial" w:hAnsi="Arial" w:cs="Arial"/>
                <w:sz w:val="18"/>
                <w:szCs w:val="18"/>
              </w:rPr>
              <w:t>features att</w:t>
            </w:r>
            <w:r w:rsidR="00F52070">
              <w:rPr>
                <w:rFonts w:ascii="Arial" w:hAnsi="Arial" w:cs="Arial"/>
                <w:sz w:val="18"/>
                <w:szCs w:val="18"/>
              </w:rPr>
              <w:t xml:space="preserve">ached (e.g., options/warrants), perpetual bonds, floating rate </w:t>
            </w:r>
            <w:r w:rsidR="00F52070" w:rsidRPr="00F52070">
              <w:rPr>
                <w:rFonts w:ascii="Arial" w:hAnsi="Arial" w:cs="Arial"/>
                <w:sz w:val="18"/>
                <w:szCs w:val="18"/>
              </w:rPr>
              <w:t>notes, pay-in kind bonds (during the pay-in-k</w:t>
            </w:r>
            <w:r w:rsidR="00F52070">
              <w:rPr>
                <w:rFonts w:ascii="Arial" w:hAnsi="Arial" w:cs="Arial"/>
                <w:sz w:val="18"/>
                <w:szCs w:val="18"/>
              </w:rPr>
              <w:t xml:space="preserve">ind period), zero coupon bonds, </w:t>
            </w:r>
            <w:r w:rsidR="00F52070" w:rsidRPr="00F52070">
              <w:rPr>
                <w:rFonts w:ascii="Arial" w:hAnsi="Arial" w:cs="Arial"/>
                <w:sz w:val="18"/>
                <w:szCs w:val="18"/>
              </w:rPr>
              <w:t>zero step-ups (GAINS) and Reg S offerings.</w:t>
            </w:r>
          </w:p>
        </w:tc>
        <w:tc>
          <w:tcPr>
            <w:tcW w:w="2857" w:type="dxa"/>
          </w:tcPr>
          <w:p w:rsidR="00D24BB3" w:rsidRDefault="00D24BB3" w:rsidP="00A2563F">
            <w:pPr>
              <w:rPr>
                <w:rFonts w:ascii="Arial" w:hAnsi="Arial" w:cs="Arial"/>
                <w:sz w:val="18"/>
                <w:szCs w:val="18"/>
              </w:rPr>
            </w:pPr>
            <w:r>
              <w:rPr>
                <w:rFonts w:ascii="Arial" w:hAnsi="Arial" w:cs="Arial"/>
                <w:sz w:val="18"/>
                <w:szCs w:val="18"/>
              </w:rPr>
              <w:t xml:space="preserve">Includes </w:t>
            </w:r>
            <w:r w:rsidR="00C852C9">
              <w:rPr>
                <w:rFonts w:ascii="Arial" w:hAnsi="Arial" w:cs="Arial"/>
                <w:sz w:val="18"/>
                <w:szCs w:val="18"/>
              </w:rPr>
              <w:t>fixed rate corporate debt securities, PIKS (pay-in-kind), step-ups, and deferred coupon bonds</w:t>
            </w:r>
            <w:r w:rsidRPr="006F1AB3">
              <w:rPr>
                <w:rFonts w:ascii="Arial" w:hAnsi="Arial" w:cs="Arial"/>
                <w:sz w:val="18"/>
                <w:szCs w:val="18"/>
              </w:rPr>
              <w:t>.</w:t>
            </w:r>
            <w:r>
              <w:rPr>
                <w:rFonts w:ascii="Arial" w:hAnsi="Arial" w:cs="Arial"/>
                <w:sz w:val="18"/>
                <w:szCs w:val="18"/>
              </w:rPr>
              <w:t xml:space="preserve"> </w:t>
            </w:r>
          </w:p>
          <w:p w:rsidR="00D24BB3" w:rsidRDefault="00D24BB3" w:rsidP="00A2563F">
            <w:pPr>
              <w:rPr>
                <w:rFonts w:ascii="Arial" w:hAnsi="Arial" w:cs="Arial"/>
                <w:sz w:val="18"/>
                <w:szCs w:val="18"/>
              </w:rPr>
            </w:pPr>
          </w:p>
          <w:p w:rsidR="00D24BB3" w:rsidRPr="006F1AB3" w:rsidRDefault="00C852C9" w:rsidP="00A2563F">
            <w:pPr>
              <w:rPr>
                <w:rFonts w:ascii="Arial" w:hAnsi="Arial" w:cs="Arial"/>
                <w:sz w:val="18"/>
                <w:szCs w:val="18"/>
              </w:rPr>
            </w:pPr>
            <w:r>
              <w:rPr>
                <w:rFonts w:ascii="Arial" w:hAnsi="Arial" w:cs="Arial"/>
                <w:sz w:val="18"/>
                <w:szCs w:val="18"/>
              </w:rPr>
              <w:t>Excludes convertible bonds, preferred stock, floating-rate bonds, fix-to-floating rate bonds, and variable rate bonds are excluded</w:t>
            </w:r>
            <w:r w:rsidR="00D24BB3">
              <w:rPr>
                <w:rFonts w:ascii="Arial" w:hAnsi="Arial" w:cs="Arial"/>
                <w:sz w:val="18"/>
                <w:szCs w:val="18"/>
              </w:rPr>
              <w:t>.</w:t>
            </w:r>
          </w:p>
        </w:tc>
      </w:tr>
      <w:tr w:rsidR="00D24BB3" w:rsidTr="00DE399B">
        <w:trPr>
          <w:trHeight w:val="2042"/>
        </w:trPr>
        <w:tc>
          <w:tcPr>
            <w:tcW w:w="1998" w:type="dxa"/>
          </w:tcPr>
          <w:p w:rsidR="00D24BB3" w:rsidRDefault="00DC07DF" w:rsidP="00967859">
            <w:pPr>
              <w:rPr>
                <w:color w:val="FF0000"/>
              </w:rPr>
            </w:pPr>
            <w:r>
              <w:rPr>
                <w:color w:val="FF0000"/>
              </w:rPr>
              <w:lastRenderedPageBreak/>
              <w:t>Issue</w:t>
            </w:r>
            <w:r w:rsidR="00D24BB3">
              <w:rPr>
                <w:color w:val="FF0000"/>
              </w:rPr>
              <w:t xml:space="preserve"> Type</w:t>
            </w:r>
          </w:p>
          <w:p w:rsidR="00D24BB3" w:rsidRPr="000E53DE" w:rsidRDefault="00D24BB3" w:rsidP="00967859">
            <w:pPr>
              <w:rPr>
                <w:color w:val="FF0000"/>
              </w:rPr>
            </w:pPr>
          </w:p>
        </w:tc>
        <w:tc>
          <w:tcPr>
            <w:tcW w:w="2790" w:type="dxa"/>
          </w:tcPr>
          <w:p w:rsidR="00D24BB3" w:rsidRDefault="00891841" w:rsidP="001953A7">
            <w:pPr>
              <w:rPr>
                <w:rFonts w:ascii="Arial" w:hAnsi="Arial" w:cs="Arial"/>
                <w:sz w:val="18"/>
                <w:szCs w:val="18"/>
              </w:rPr>
            </w:pPr>
            <w:r>
              <w:rPr>
                <w:rFonts w:ascii="Arial" w:hAnsi="Arial" w:cs="Arial"/>
                <w:sz w:val="18"/>
                <w:szCs w:val="18"/>
              </w:rPr>
              <w:t>Includes SEC-registered bonds and bonds issued under SEC Rule 144A (with or without registration rights)</w:t>
            </w:r>
            <w:r w:rsidR="003904D7">
              <w:rPr>
                <w:rFonts w:ascii="Arial" w:hAnsi="Arial" w:cs="Arial"/>
                <w:sz w:val="18"/>
                <w:szCs w:val="18"/>
              </w:rPr>
              <w:t>.</w:t>
            </w:r>
            <w:r w:rsidR="000E5CC1">
              <w:rPr>
                <w:rFonts w:ascii="Arial" w:hAnsi="Arial" w:cs="Arial"/>
                <w:sz w:val="18"/>
                <w:szCs w:val="18"/>
              </w:rPr>
              <w:t xml:space="preserve"> Issuers must be designated as “Corporate” defined as issuers that do not have debt issued by or guaranteed by a central government, supranational, or local authority.</w:t>
            </w:r>
          </w:p>
          <w:p w:rsidR="003904D7" w:rsidRPr="006F1AB3" w:rsidRDefault="003904D7" w:rsidP="001953A7">
            <w:pPr>
              <w:rPr>
                <w:rFonts w:ascii="Arial" w:hAnsi="Arial" w:cs="Arial"/>
                <w:sz w:val="18"/>
                <w:szCs w:val="18"/>
              </w:rPr>
            </w:pPr>
          </w:p>
        </w:tc>
        <w:tc>
          <w:tcPr>
            <w:tcW w:w="2700" w:type="dxa"/>
          </w:tcPr>
          <w:p w:rsidR="00D24BB3" w:rsidRDefault="005C0506" w:rsidP="005C0506">
            <w:pPr>
              <w:rPr>
                <w:rFonts w:ascii="Arial" w:hAnsi="Arial" w:cs="Arial"/>
                <w:sz w:val="18"/>
                <w:szCs w:val="18"/>
              </w:rPr>
            </w:pPr>
            <w:r>
              <w:rPr>
                <w:rFonts w:ascii="Arial" w:hAnsi="Arial" w:cs="Arial"/>
                <w:sz w:val="18"/>
                <w:szCs w:val="18"/>
              </w:rPr>
              <w:t>Includes SEC-registered bonds. Bonds exempt from registration at the time of issuan</w:t>
            </w:r>
            <w:r w:rsidR="005F5370">
              <w:rPr>
                <w:rFonts w:ascii="Arial" w:hAnsi="Arial" w:cs="Arial"/>
                <w:sz w:val="18"/>
                <w:szCs w:val="18"/>
              </w:rPr>
              <w:t>ce and SEC Rule 144A securities (with or without registration rights) are eligible.</w:t>
            </w:r>
          </w:p>
          <w:p w:rsidR="005F5370" w:rsidRDefault="005F5370" w:rsidP="005C0506">
            <w:pPr>
              <w:rPr>
                <w:rFonts w:ascii="Arial" w:hAnsi="Arial" w:cs="Arial"/>
                <w:sz w:val="18"/>
                <w:szCs w:val="18"/>
              </w:rPr>
            </w:pPr>
          </w:p>
          <w:p w:rsidR="005F5370" w:rsidRPr="006F1AB3" w:rsidRDefault="005F5370" w:rsidP="005C0506">
            <w:pPr>
              <w:rPr>
                <w:rFonts w:ascii="Arial" w:hAnsi="Arial" w:cs="Arial"/>
                <w:sz w:val="18"/>
                <w:szCs w:val="18"/>
              </w:rPr>
            </w:pPr>
            <w:r>
              <w:rPr>
                <w:rFonts w:ascii="Arial" w:hAnsi="Arial" w:cs="Arial"/>
                <w:sz w:val="18"/>
                <w:szCs w:val="18"/>
              </w:rPr>
              <w:t>Both senior and subordinated issues are included.</w:t>
            </w:r>
          </w:p>
        </w:tc>
        <w:tc>
          <w:tcPr>
            <w:tcW w:w="2880" w:type="dxa"/>
          </w:tcPr>
          <w:p w:rsidR="0014458C" w:rsidRDefault="0014458C" w:rsidP="0014458C">
            <w:pPr>
              <w:rPr>
                <w:rFonts w:ascii="Arial" w:hAnsi="Arial" w:cs="Arial"/>
                <w:sz w:val="18"/>
                <w:szCs w:val="18"/>
              </w:rPr>
            </w:pPr>
            <w:r>
              <w:rPr>
                <w:rFonts w:ascii="Arial" w:hAnsi="Arial" w:cs="Arial"/>
                <w:sz w:val="18"/>
                <w:szCs w:val="18"/>
              </w:rPr>
              <w:t>Includes fixed coupon bonds, step-up bonds with coupon schedules know at issuance, sinking funds and amortizing bonds, medium term notes, rule 144A offerings, callable bonds, putable bonds, perpetual bonds, pay-in-kind bonds, zero coupon bonds, and zero step-up bonds.</w:t>
            </w:r>
          </w:p>
          <w:p w:rsidR="00D24BB3" w:rsidRPr="006F1AB3" w:rsidRDefault="00D24BB3" w:rsidP="001953A7">
            <w:pPr>
              <w:rPr>
                <w:rFonts w:ascii="Arial" w:hAnsi="Arial" w:cs="Arial"/>
                <w:sz w:val="18"/>
                <w:szCs w:val="18"/>
              </w:rPr>
            </w:pPr>
          </w:p>
        </w:tc>
        <w:tc>
          <w:tcPr>
            <w:tcW w:w="2857" w:type="dxa"/>
          </w:tcPr>
          <w:p w:rsidR="00D24BB3" w:rsidRPr="006F1AB3" w:rsidRDefault="00DC07DF" w:rsidP="00DC07DF">
            <w:pPr>
              <w:rPr>
                <w:rFonts w:ascii="Arial" w:hAnsi="Arial" w:cs="Arial"/>
                <w:sz w:val="18"/>
                <w:szCs w:val="18"/>
              </w:rPr>
            </w:pPr>
            <w:r>
              <w:rPr>
                <w:rFonts w:ascii="Arial" w:hAnsi="Arial" w:cs="Arial"/>
                <w:sz w:val="18"/>
                <w:szCs w:val="18"/>
              </w:rPr>
              <w:t>Issues must be publicly registered or issued under rule 144a.  Securities issued under rule 144A are eligible for index inclusion regardless of whether a Reg</w:t>
            </w:r>
            <w:r w:rsidR="00F20A26">
              <w:rPr>
                <w:rFonts w:ascii="Arial" w:hAnsi="Arial" w:cs="Arial"/>
                <w:sz w:val="18"/>
                <w:szCs w:val="18"/>
              </w:rPr>
              <w:t>ulation</w:t>
            </w:r>
            <w:r>
              <w:rPr>
                <w:rFonts w:ascii="Arial" w:hAnsi="Arial" w:cs="Arial"/>
                <w:sz w:val="18"/>
                <w:szCs w:val="18"/>
              </w:rPr>
              <w:t xml:space="preserve"> S statement is attached. Thus, 144A “for-life” bonds are included.</w:t>
            </w:r>
          </w:p>
        </w:tc>
      </w:tr>
      <w:tr w:rsidR="00D24BB3" w:rsidTr="00DE399B">
        <w:trPr>
          <w:trHeight w:val="692"/>
        </w:trPr>
        <w:tc>
          <w:tcPr>
            <w:tcW w:w="1998" w:type="dxa"/>
          </w:tcPr>
          <w:p w:rsidR="00D24BB3" w:rsidRPr="000E53DE" w:rsidRDefault="00D24BB3" w:rsidP="00967859">
            <w:pPr>
              <w:rPr>
                <w:color w:val="FF0000"/>
              </w:rPr>
            </w:pPr>
            <w:r w:rsidRPr="000E53DE">
              <w:rPr>
                <w:color w:val="FF0000"/>
              </w:rPr>
              <w:t xml:space="preserve">Currency </w:t>
            </w:r>
          </w:p>
        </w:tc>
        <w:tc>
          <w:tcPr>
            <w:tcW w:w="2790" w:type="dxa"/>
          </w:tcPr>
          <w:p w:rsidR="00D24BB3" w:rsidRPr="006F1AB3" w:rsidRDefault="00DC07DF" w:rsidP="00F37457">
            <w:pPr>
              <w:rPr>
                <w:rFonts w:ascii="Arial" w:hAnsi="Arial" w:cs="Arial"/>
                <w:sz w:val="18"/>
                <w:szCs w:val="18"/>
              </w:rPr>
            </w:pPr>
            <w:r>
              <w:rPr>
                <w:rFonts w:ascii="Arial" w:hAnsi="Arial" w:cs="Arial"/>
                <w:sz w:val="18"/>
                <w:szCs w:val="18"/>
              </w:rPr>
              <w:t>Issues must be denominated in US dollars only.</w:t>
            </w:r>
          </w:p>
        </w:tc>
        <w:tc>
          <w:tcPr>
            <w:tcW w:w="2700" w:type="dxa"/>
          </w:tcPr>
          <w:p w:rsidR="00D24BB3" w:rsidRPr="006F1AB3" w:rsidRDefault="00DC07DF">
            <w:pPr>
              <w:rPr>
                <w:rFonts w:ascii="Arial" w:hAnsi="Arial" w:cs="Arial"/>
                <w:sz w:val="18"/>
                <w:szCs w:val="18"/>
              </w:rPr>
            </w:pPr>
            <w:r>
              <w:rPr>
                <w:rFonts w:ascii="Arial" w:hAnsi="Arial" w:cs="Arial"/>
                <w:sz w:val="18"/>
                <w:szCs w:val="18"/>
              </w:rPr>
              <w:t>Issues must be denominated in US dollars only.</w:t>
            </w:r>
          </w:p>
        </w:tc>
        <w:tc>
          <w:tcPr>
            <w:tcW w:w="2880" w:type="dxa"/>
          </w:tcPr>
          <w:p w:rsidR="00D24BB3" w:rsidRPr="006F1AB3" w:rsidRDefault="00DC07DF">
            <w:pPr>
              <w:rPr>
                <w:rFonts w:ascii="Arial" w:hAnsi="Arial" w:cs="Arial"/>
                <w:sz w:val="18"/>
                <w:szCs w:val="18"/>
              </w:rPr>
            </w:pPr>
            <w:r>
              <w:rPr>
                <w:rFonts w:ascii="Arial" w:hAnsi="Arial" w:cs="Arial"/>
                <w:sz w:val="18"/>
                <w:szCs w:val="18"/>
              </w:rPr>
              <w:t>Issues must be denominated in US dollars only.</w:t>
            </w:r>
          </w:p>
        </w:tc>
        <w:tc>
          <w:tcPr>
            <w:tcW w:w="2857" w:type="dxa"/>
          </w:tcPr>
          <w:p w:rsidR="00D24BB3" w:rsidRPr="006F1AB3" w:rsidRDefault="008337E2" w:rsidP="001B186A">
            <w:pPr>
              <w:rPr>
                <w:rFonts w:ascii="Arial" w:hAnsi="Arial" w:cs="Arial"/>
                <w:sz w:val="18"/>
                <w:szCs w:val="18"/>
              </w:rPr>
            </w:pPr>
            <w:r>
              <w:rPr>
                <w:rFonts w:ascii="Arial" w:hAnsi="Arial" w:cs="Arial"/>
                <w:sz w:val="18"/>
                <w:szCs w:val="18"/>
              </w:rPr>
              <w:t>Issues must be denominated in US dollars only.</w:t>
            </w:r>
          </w:p>
        </w:tc>
      </w:tr>
      <w:tr w:rsidR="00D24BB3" w:rsidTr="00DE399B">
        <w:trPr>
          <w:trHeight w:val="2060"/>
        </w:trPr>
        <w:tc>
          <w:tcPr>
            <w:tcW w:w="1998" w:type="dxa"/>
          </w:tcPr>
          <w:p w:rsidR="00D24BB3" w:rsidRPr="000E53DE" w:rsidRDefault="008337E2">
            <w:pPr>
              <w:rPr>
                <w:color w:val="FF0000"/>
              </w:rPr>
            </w:pPr>
            <w:r>
              <w:rPr>
                <w:color w:val="FF0000"/>
              </w:rPr>
              <w:t xml:space="preserve">Issue </w:t>
            </w:r>
            <w:r w:rsidR="00D24BB3">
              <w:rPr>
                <w:color w:val="FF0000"/>
              </w:rPr>
              <w:t>Size</w:t>
            </w:r>
          </w:p>
        </w:tc>
        <w:tc>
          <w:tcPr>
            <w:tcW w:w="2790" w:type="dxa"/>
          </w:tcPr>
          <w:p w:rsidR="00D24BB3" w:rsidRDefault="003904D7" w:rsidP="003904D7">
            <w:pPr>
              <w:rPr>
                <w:rFonts w:ascii="Arial" w:hAnsi="Arial" w:cs="Arial"/>
                <w:sz w:val="18"/>
                <w:szCs w:val="18"/>
              </w:rPr>
            </w:pPr>
            <w:r>
              <w:rPr>
                <w:rFonts w:ascii="Arial" w:hAnsi="Arial" w:cs="Arial"/>
                <w:sz w:val="18"/>
                <w:szCs w:val="18"/>
              </w:rPr>
              <w:t xml:space="preserve">The minimum amount outstanding (face value) must be greater than or equal to US$ </w:t>
            </w:r>
            <w:r>
              <w:rPr>
                <w:rFonts w:ascii="Arial" w:hAnsi="Arial" w:cs="Arial"/>
                <w:sz w:val="18"/>
                <w:szCs w:val="18"/>
              </w:rPr>
              <w:t>2</w:t>
            </w:r>
            <w:r>
              <w:rPr>
                <w:rFonts w:ascii="Arial" w:hAnsi="Arial" w:cs="Arial"/>
                <w:sz w:val="18"/>
                <w:szCs w:val="18"/>
              </w:rPr>
              <w:t>50 million.</w:t>
            </w:r>
          </w:p>
          <w:p w:rsidR="003904D7" w:rsidRPr="006F1AB3" w:rsidRDefault="003904D7" w:rsidP="003904D7">
            <w:pPr>
              <w:rPr>
                <w:rFonts w:ascii="Arial" w:hAnsi="Arial" w:cs="Arial"/>
                <w:sz w:val="18"/>
                <w:szCs w:val="18"/>
              </w:rPr>
            </w:pPr>
          </w:p>
        </w:tc>
        <w:tc>
          <w:tcPr>
            <w:tcW w:w="2700" w:type="dxa"/>
          </w:tcPr>
          <w:p w:rsidR="00D24BB3" w:rsidRPr="006F1AB3" w:rsidRDefault="005F5370" w:rsidP="005F5370">
            <w:pPr>
              <w:rPr>
                <w:rFonts w:ascii="Arial" w:hAnsi="Arial" w:cs="Arial"/>
                <w:sz w:val="18"/>
                <w:szCs w:val="18"/>
              </w:rPr>
            </w:pPr>
            <w:r>
              <w:rPr>
                <w:rFonts w:ascii="Arial" w:hAnsi="Arial" w:cs="Arial"/>
                <w:sz w:val="18"/>
                <w:szCs w:val="18"/>
              </w:rPr>
              <w:t xml:space="preserve">The minimum amount outstanding (face value) must be greater than or equal to US$ </w:t>
            </w:r>
            <w:r>
              <w:rPr>
                <w:rFonts w:ascii="Arial" w:hAnsi="Arial" w:cs="Arial"/>
                <w:sz w:val="18"/>
                <w:szCs w:val="18"/>
              </w:rPr>
              <w:t>150</w:t>
            </w:r>
            <w:r>
              <w:rPr>
                <w:rFonts w:ascii="Arial" w:hAnsi="Arial" w:cs="Arial"/>
                <w:sz w:val="18"/>
                <w:szCs w:val="18"/>
              </w:rPr>
              <w:t xml:space="preserve"> million</w:t>
            </w:r>
            <w:r>
              <w:rPr>
                <w:rFonts w:ascii="Arial" w:hAnsi="Arial" w:cs="Arial"/>
                <w:sz w:val="18"/>
                <w:szCs w:val="18"/>
              </w:rPr>
              <w:t>.</w:t>
            </w:r>
          </w:p>
        </w:tc>
        <w:tc>
          <w:tcPr>
            <w:tcW w:w="2880" w:type="dxa"/>
          </w:tcPr>
          <w:p w:rsidR="00D24BB3" w:rsidRDefault="00971918" w:rsidP="00F37457">
            <w:pPr>
              <w:rPr>
                <w:rFonts w:ascii="Arial" w:hAnsi="Arial" w:cs="Arial"/>
                <w:sz w:val="18"/>
                <w:szCs w:val="18"/>
              </w:rPr>
            </w:pPr>
            <w:r>
              <w:rPr>
                <w:rFonts w:ascii="Arial" w:hAnsi="Arial" w:cs="Arial"/>
                <w:sz w:val="18"/>
                <w:szCs w:val="18"/>
              </w:rPr>
              <w:t xml:space="preserve">The minimum amount outstanding (face value) must be greater than or equal to US$ </w:t>
            </w:r>
            <w:r w:rsidR="00C87E68">
              <w:rPr>
                <w:rFonts w:ascii="Arial" w:hAnsi="Arial" w:cs="Arial"/>
                <w:sz w:val="18"/>
                <w:szCs w:val="18"/>
              </w:rPr>
              <w:t>4</w:t>
            </w:r>
            <w:r>
              <w:rPr>
                <w:rFonts w:ascii="Arial" w:hAnsi="Arial" w:cs="Arial"/>
                <w:sz w:val="18"/>
                <w:szCs w:val="18"/>
              </w:rPr>
              <w:t>00 million as of the month-end rebalancing date.</w:t>
            </w:r>
          </w:p>
          <w:p w:rsidR="003C6136" w:rsidRDefault="003C6136" w:rsidP="00F37457">
            <w:pPr>
              <w:rPr>
                <w:rFonts w:ascii="Arial" w:hAnsi="Arial" w:cs="Arial"/>
                <w:sz w:val="18"/>
                <w:szCs w:val="18"/>
              </w:rPr>
            </w:pPr>
          </w:p>
          <w:p w:rsidR="003C6136" w:rsidRDefault="003C6136" w:rsidP="00F37457">
            <w:pPr>
              <w:rPr>
                <w:rFonts w:ascii="Arial" w:hAnsi="Arial" w:cs="Arial"/>
                <w:sz w:val="18"/>
                <w:szCs w:val="18"/>
              </w:rPr>
            </w:pPr>
            <w:r>
              <w:rPr>
                <w:rFonts w:ascii="Arial" w:hAnsi="Arial" w:cs="Arial"/>
                <w:sz w:val="18"/>
                <w:szCs w:val="18"/>
              </w:rPr>
              <w:t>Issuers need to have at least US$ 1 billion in debt (face value) for their issues to be included in the index.</w:t>
            </w:r>
          </w:p>
          <w:p w:rsidR="00971918" w:rsidRDefault="00971918" w:rsidP="00F37457">
            <w:pPr>
              <w:rPr>
                <w:rFonts w:ascii="Arial" w:hAnsi="Arial" w:cs="Arial"/>
                <w:sz w:val="18"/>
                <w:szCs w:val="18"/>
              </w:rPr>
            </w:pPr>
          </w:p>
          <w:p w:rsidR="00971918" w:rsidRPr="006F1AB3" w:rsidRDefault="00971918" w:rsidP="00F37457">
            <w:pPr>
              <w:rPr>
                <w:rFonts w:ascii="Arial" w:hAnsi="Arial" w:cs="Arial"/>
                <w:sz w:val="18"/>
                <w:szCs w:val="18"/>
              </w:rPr>
            </w:pPr>
          </w:p>
        </w:tc>
        <w:tc>
          <w:tcPr>
            <w:tcW w:w="2857" w:type="dxa"/>
          </w:tcPr>
          <w:p w:rsidR="00D24BB3" w:rsidRPr="006F1AB3" w:rsidRDefault="008337E2" w:rsidP="008337E2">
            <w:pPr>
              <w:rPr>
                <w:rFonts w:ascii="Arial" w:hAnsi="Arial" w:cs="Arial"/>
                <w:sz w:val="18"/>
                <w:szCs w:val="18"/>
              </w:rPr>
            </w:pPr>
            <w:r>
              <w:rPr>
                <w:rFonts w:ascii="Arial" w:hAnsi="Arial" w:cs="Arial"/>
                <w:sz w:val="18"/>
                <w:szCs w:val="18"/>
              </w:rPr>
              <w:t>The minimum amount outstanding</w:t>
            </w:r>
            <w:r w:rsidR="00971918">
              <w:rPr>
                <w:rFonts w:ascii="Arial" w:hAnsi="Arial" w:cs="Arial"/>
                <w:sz w:val="18"/>
                <w:szCs w:val="18"/>
              </w:rPr>
              <w:t xml:space="preserve"> (face value)</w:t>
            </w:r>
            <w:r>
              <w:rPr>
                <w:rFonts w:ascii="Arial" w:hAnsi="Arial" w:cs="Arial"/>
                <w:sz w:val="18"/>
                <w:szCs w:val="18"/>
              </w:rPr>
              <w:t xml:space="preserve"> for issues</w:t>
            </w:r>
            <w:r w:rsidR="00CF4FDE">
              <w:rPr>
                <w:rFonts w:ascii="Arial" w:hAnsi="Arial" w:cs="Arial"/>
                <w:sz w:val="18"/>
                <w:szCs w:val="18"/>
              </w:rPr>
              <w:t xml:space="preserve"> to be added to the index is US</w:t>
            </w:r>
            <w:r>
              <w:rPr>
                <w:rFonts w:ascii="Arial" w:hAnsi="Arial" w:cs="Arial"/>
                <w:sz w:val="18"/>
                <w:szCs w:val="18"/>
              </w:rPr>
              <w:t>$75 million (notional amount). Issues that are already in the index whose notional amo</w:t>
            </w:r>
            <w:r w:rsidR="00CF4FDE">
              <w:rPr>
                <w:rFonts w:ascii="Arial" w:hAnsi="Arial" w:cs="Arial"/>
                <w:sz w:val="18"/>
                <w:szCs w:val="18"/>
              </w:rPr>
              <w:t>unt outstanding falls below US</w:t>
            </w:r>
            <w:r>
              <w:rPr>
                <w:rFonts w:ascii="Arial" w:hAnsi="Arial" w:cs="Arial"/>
                <w:sz w:val="18"/>
                <w:szCs w:val="18"/>
              </w:rPr>
              <w:t>$50 million are removed from the index.</w:t>
            </w:r>
          </w:p>
        </w:tc>
      </w:tr>
      <w:tr w:rsidR="0057067B" w:rsidTr="0057067B">
        <w:trPr>
          <w:trHeight w:val="2267"/>
        </w:trPr>
        <w:tc>
          <w:tcPr>
            <w:tcW w:w="1998" w:type="dxa"/>
          </w:tcPr>
          <w:p w:rsidR="0057067B" w:rsidRPr="000E53DE" w:rsidRDefault="0057067B" w:rsidP="0057067B">
            <w:pPr>
              <w:rPr>
                <w:color w:val="FF0000"/>
              </w:rPr>
            </w:pPr>
            <w:r>
              <w:rPr>
                <w:color w:val="FF0000"/>
              </w:rPr>
              <w:t>M</w:t>
            </w:r>
            <w:r w:rsidRPr="000E53DE">
              <w:rPr>
                <w:color w:val="FF0000"/>
              </w:rPr>
              <w:t>aturity</w:t>
            </w:r>
          </w:p>
        </w:tc>
        <w:tc>
          <w:tcPr>
            <w:tcW w:w="2790" w:type="dxa"/>
          </w:tcPr>
          <w:p w:rsidR="003904D7" w:rsidRDefault="003904D7" w:rsidP="003904D7">
            <w:pPr>
              <w:rPr>
                <w:rFonts w:ascii="Arial" w:hAnsi="Arial" w:cs="Arial"/>
                <w:sz w:val="18"/>
                <w:szCs w:val="18"/>
              </w:rPr>
            </w:pPr>
            <w:r>
              <w:rPr>
                <w:rFonts w:ascii="Arial" w:hAnsi="Arial" w:cs="Arial"/>
                <w:sz w:val="18"/>
                <w:szCs w:val="18"/>
              </w:rPr>
              <w:t xml:space="preserve">Qualifying securities must have </w:t>
            </w:r>
            <w:r w:rsidRPr="003904D7">
              <w:rPr>
                <w:rFonts w:ascii="Arial" w:hAnsi="Arial" w:cs="Arial"/>
                <w:sz w:val="18"/>
                <w:szCs w:val="18"/>
              </w:rPr>
              <w:t>at least 18 months to final maturity at the time</w:t>
            </w:r>
            <w:r>
              <w:rPr>
                <w:rFonts w:ascii="Arial" w:hAnsi="Arial" w:cs="Arial"/>
                <w:sz w:val="18"/>
                <w:szCs w:val="18"/>
              </w:rPr>
              <w:t xml:space="preserve"> of issuance, at least one year </w:t>
            </w:r>
            <w:r w:rsidRPr="003904D7">
              <w:rPr>
                <w:rFonts w:ascii="Arial" w:hAnsi="Arial" w:cs="Arial"/>
                <w:sz w:val="18"/>
                <w:szCs w:val="18"/>
              </w:rPr>
              <w:t>remaining term to final maturity as of the rebalancing date</w:t>
            </w:r>
            <w:r>
              <w:rPr>
                <w:rFonts w:ascii="Arial" w:hAnsi="Arial" w:cs="Arial"/>
                <w:sz w:val="18"/>
                <w:szCs w:val="18"/>
              </w:rPr>
              <w:t>.</w:t>
            </w:r>
          </w:p>
          <w:p w:rsidR="003904D7" w:rsidRDefault="003904D7" w:rsidP="003904D7">
            <w:pPr>
              <w:rPr>
                <w:rFonts w:ascii="Arial" w:hAnsi="Arial" w:cs="Arial"/>
                <w:sz w:val="18"/>
                <w:szCs w:val="18"/>
              </w:rPr>
            </w:pPr>
          </w:p>
          <w:p w:rsidR="003904D7" w:rsidRPr="006F1AB3" w:rsidRDefault="003904D7" w:rsidP="0057067B">
            <w:pPr>
              <w:rPr>
                <w:rFonts w:ascii="Arial" w:hAnsi="Arial" w:cs="Arial"/>
                <w:sz w:val="18"/>
                <w:szCs w:val="18"/>
              </w:rPr>
            </w:pPr>
          </w:p>
        </w:tc>
        <w:tc>
          <w:tcPr>
            <w:tcW w:w="2700" w:type="dxa"/>
          </w:tcPr>
          <w:p w:rsidR="0057067B" w:rsidRPr="006F1AB3" w:rsidRDefault="005F5370" w:rsidP="0057067B">
            <w:pPr>
              <w:rPr>
                <w:rFonts w:ascii="Arial" w:hAnsi="Arial" w:cs="Arial"/>
                <w:sz w:val="18"/>
                <w:szCs w:val="18"/>
              </w:rPr>
            </w:pPr>
            <w:r>
              <w:rPr>
                <w:rFonts w:ascii="Arial" w:hAnsi="Arial" w:cs="Arial"/>
                <w:sz w:val="18"/>
                <w:szCs w:val="18"/>
              </w:rPr>
              <w:t>All bonds being considered or currently in the index must have at least one year until final maturity, regardless of optionality. Bond that convert from fixed to floating rate, including fixed-to-float perpetual's, will exit the index one year prior to conversion to floating-rate. Fixed-rate perpetuals are not included.</w:t>
            </w:r>
          </w:p>
        </w:tc>
        <w:tc>
          <w:tcPr>
            <w:tcW w:w="2880" w:type="dxa"/>
          </w:tcPr>
          <w:p w:rsidR="0057067B" w:rsidRDefault="00A5679B" w:rsidP="00A5679B">
            <w:pPr>
              <w:rPr>
                <w:rFonts w:ascii="Arial" w:hAnsi="Arial" w:cs="Arial"/>
                <w:sz w:val="18"/>
                <w:szCs w:val="18"/>
              </w:rPr>
            </w:pPr>
            <w:r>
              <w:rPr>
                <w:rFonts w:ascii="Arial" w:hAnsi="Arial" w:cs="Arial"/>
                <w:sz w:val="18"/>
                <w:szCs w:val="18"/>
              </w:rPr>
              <w:t>A</w:t>
            </w:r>
            <w:r w:rsidR="003C6136">
              <w:rPr>
                <w:rFonts w:ascii="Arial" w:hAnsi="Arial" w:cs="Arial"/>
                <w:sz w:val="18"/>
                <w:szCs w:val="18"/>
              </w:rPr>
              <w:t>ll bonds in the index must have</w:t>
            </w:r>
            <w:r>
              <w:rPr>
                <w:rFonts w:ascii="Arial" w:hAnsi="Arial" w:cs="Arial"/>
                <w:sz w:val="18"/>
                <w:szCs w:val="18"/>
              </w:rPr>
              <w:t xml:space="preserve"> at </w:t>
            </w:r>
            <w:r w:rsidR="003C6136">
              <w:rPr>
                <w:rFonts w:ascii="Arial" w:hAnsi="Arial" w:cs="Arial"/>
                <w:sz w:val="18"/>
                <w:szCs w:val="18"/>
              </w:rPr>
              <w:t xml:space="preserve">least </w:t>
            </w:r>
            <w:r>
              <w:rPr>
                <w:rFonts w:ascii="Arial" w:hAnsi="Arial" w:cs="Arial"/>
                <w:sz w:val="18"/>
                <w:szCs w:val="18"/>
              </w:rPr>
              <w:t xml:space="preserve">one year </w:t>
            </w:r>
            <w:r w:rsidR="003C6136">
              <w:rPr>
                <w:rFonts w:ascii="Arial" w:hAnsi="Arial" w:cs="Arial"/>
                <w:sz w:val="18"/>
                <w:szCs w:val="18"/>
              </w:rPr>
              <w:t xml:space="preserve">until final maturity </w:t>
            </w:r>
            <w:r>
              <w:rPr>
                <w:rFonts w:ascii="Arial" w:hAnsi="Arial" w:cs="Arial"/>
                <w:sz w:val="18"/>
                <w:szCs w:val="18"/>
              </w:rPr>
              <w:t>and</w:t>
            </w:r>
            <w:r w:rsidR="003C6136">
              <w:rPr>
                <w:rFonts w:ascii="Arial" w:hAnsi="Arial" w:cs="Arial"/>
                <w:sz w:val="18"/>
                <w:szCs w:val="18"/>
              </w:rPr>
              <w:t xml:space="preserve"> be 15 years or less until final maturity as of the securities issuance date</w:t>
            </w:r>
            <w:r>
              <w:rPr>
                <w:rFonts w:ascii="Arial" w:hAnsi="Arial" w:cs="Arial"/>
                <w:sz w:val="18"/>
                <w:szCs w:val="18"/>
              </w:rPr>
              <w:t>.</w:t>
            </w:r>
          </w:p>
          <w:p w:rsidR="00A5679B" w:rsidRDefault="00A5679B" w:rsidP="00A5679B">
            <w:pPr>
              <w:rPr>
                <w:rFonts w:ascii="Arial" w:hAnsi="Arial" w:cs="Arial"/>
                <w:sz w:val="18"/>
                <w:szCs w:val="18"/>
              </w:rPr>
            </w:pPr>
          </w:p>
          <w:p w:rsidR="003C6136" w:rsidRPr="006F1AB3" w:rsidRDefault="003C6136" w:rsidP="003C6136">
            <w:pPr>
              <w:rPr>
                <w:rFonts w:ascii="Arial" w:hAnsi="Arial" w:cs="Arial"/>
                <w:sz w:val="18"/>
                <w:szCs w:val="18"/>
              </w:rPr>
            </w:pPr>
            <w:r>
              <w:rPr>
                <w:rFonts w:ascii="Arial" w:hAnsi="Arial" w:cs="Arial"/>
                <w:sz w:val="18"/>
                <w:szCs w:val="18"/>
              </w:rPr>
              <w:t>For securities entering the index, the issue must have a final maturity of at least 18 months.</w:t>
            </w:r>
          </w:p>
        </w:tc>
        <w:tc>
          <w:tcPr>
            <w:tcW w:w="2857" w:type="dxa"/>
          </w:tcPr>
          <w:p w:rsidR="0057067B" w:rsidRPr="006F1AB3" w:rsidRDefault="0057067B" w:rsidP="0057067B">
            <w:pPr>
              <w:rPr>
                <w:rFonts w:ascii="Arial" w:hAnsi="Arial" w:cs="Arial"/>
                <w:sz w:val="18"/>
                <w:szCs w:val="18"/>
              </w:rPr>
            </w:pPr>
            <w:r>
              <w:rPr>
                <w:rFonts w:ascii="Arial" w:hAnsi="Arial" w:cs="Arial"/>
                <w:sz w:val="18"/>
                <w:szCs w:val="18"/>
              </w:rPr>
              <w:t>The number of years from trade date to maturity for each issue must be greater than or equal to one year.  Bonds with perpetual maturities are excluded.</w:t>
            </w:r>
          </w:p>
        </w:tc>
      </w:tr>
      <w:tr w:rsidR="0057067B" w:rsidTr="00DE399B">
        <w:trPr>
          <w:trHeight w:val="4670"/>
        </w:trPr>
        <w:tc>
          <w:tcPr>
            <w:tcW w:w="1998" w:type="dxa"/>
          </w:tcPr>
          <w:p w:rsidR="0057067B" w:rsidRDefault="0057067B" w:rsidP="0057067B">
            <w:pPr>
              <w:rPr>
                <w:color w:val="FF0000"/>
              </w:rPr>
            </w:pPr>
            <w:r>
              <w:rPr>
                <w:color w:val="FF0000"/>
              </w:rPr>
              <w:lastRenderedPageBreak/>
              <w:t>Credit Rating</w:t>
            </w:r>
          </w:p>
        </w:tc>
        <w:tc>
          <w:tcPr>
            <w:tcW w:w="2790" w:type="dxa"/>
          </w:tcPr>
          <w:p w:rsidR="0057067B" w:rsidRDefault="00891841" w:rsidP="00891841">
            <w:pPr>
              <w:rPr>
                <w:rFonts w:ascii="Arial" w:hAnsi="Arial" w:cs="Arial"/>
                <w:sz w:val="18"/>
                <w:szCs w:val="18"/>
              </w:rPr>
            </w:pPr>
            <w:r w:rsidRPr="00891841">
              <w:rPr>
                <w:rFonts w:ascii="Arial" w:hAnsi="Arial" w:cs="Arial"/>
                <w:sz w:val="18"/>
                <w:szCs w:val="18"/>
              </w:rPr>
              <w:t>Qualifying securities must have a below</w:t>
            </w:r>
            <w:r>
              <w:rPr>
                <w:rFonts w:ascii="Arial" w:hAnsi="Arial" w:cs="Arial"/>
                <w:sz w:val="18"/>
                <w:szCs w:val="18"/>
              </w:rPr>
              <w:t xml:space="preserve"> investment grade rating (based on an average of </w:t>
            </w:r>
            <w:r w:rsidRPr="00891841">
              <w:rPr>
                <w:rFonts w:ascii="Arial" w:hAnsi="Arial" w:cs="Arial"/>
                <w:sz w:val="18"/>
                <w:szCs w:val="18"/>
              </w:rPr>
              <w:t>Moody’s, S&amp;P and Fitch)</w:t>
            </w:r>
            <w:r>
              <w:rPr>
                <w:rFonts w:ascii="Arial" w:hAnsi="Arial" w:cs="Arial"/>
                <w:sz w:val="18"/>
                <w:szCs w:val="18"/>
              </w:rPr>
              <w:t xml:space="preserve">. </w:t>
            </w:r>
            <w:r>
              <w:rPr>
                <w:rFonts w:ascii="Arial" w:hAnsi="Arial" w:cs="Arial"/>
                <w:sz w:val="18"/>
                <w:szCs w:val="18"/>
              </w:rPr>
              <w:t>When a rating from only two agencies is available, the lower of the two is used.</w:t>
            </w:r>
          </w:p>
          <w:p w:rsidR="00891841" w:rsidRDefault="00891841" w:rsidP="00891841">
            <w:pPr>
              <w:rPr>
                <w:rFonts w:ascii="Arial" w:hAnsi="Arial" w:cs="Arial"/>
                <w:sz w:val="18"/>
                <w:szCs w:val="18"/>
              </w:rPr>
            </w:pPr>
          </w:p>
          <w:p w:rsidR="00891841" w:rsidRDefault="00891841" w:rsidP="00891841">
            <w:pPr>
              <w:rPr>
                <w:rFonts w:ascii="Arial" w:hAnsi="Arial" w:cs="Arial"/>
                <w:sz w:val="18"/>
                <w:szCs w:val="18"/>
              </w:rPr>
            </w:pPr>
            <w:r>
              <w:rPr>
                <w:rFonts w:ascii="Arial" w:hAnsi="Arial" w:cs="Arial"/>
                <w:sz w:val="18"/>
                <w:szCs w:val="18"/>
              </w:rPr>
              <w:t>Bonds must be rated by at least one of the three rating agencies (Moody’s, S&amp;P, and Fitch).</w:t>
            </w:r>
          </w:p>
          <w:p w:rsidR="00891841" w:rsidRDefault="00891841" w:rsidP="00891841">
            <w:pPr>
              <w:rPr>
                <w:rFonts w:ascii="Arial" w:hAnsi="Arial" w:cs="Arial"/>
                <w:sz w:val="18"/>
                <w:szCs w:val="18"/>
              </w:rPr>
            </w:pPr>
          </w:p>
        </w:tc>
        <w:tc>
          <w:tcPr>
            <w:tcW w:w="2700" w:type="dxa"/>
          </w:tcPr>
          <w:p w:rsidR="00B12765" w:rsidRDefault="005F5370" w:rsidP="00B12765">
            <w:pPr>
              <w:rPr>
                <w:rFonts w:ascii="Arial" w:hAnsi="Arial" w:cs="Arial"/>
                <w:sz w:val="18"/>
                <w:szCs w:val="18"/>
              </w:rPr>
            </w:pPr>
            <w:r>
              <w:rPr>
                <w:rFonts w:ascii="Arial" w:hAnsi="Arial" w:cs="Arial"/>
                <w:sz w:val="18"/>
                <w:szCs w:val="18"/>
              </w:rPr>
              <w:t>Securities must be rated high yield (Ba1/BB+/BB+ or below) using the middle rating of Moody’s, S&amp;P, and Fitch. When a rating from only two agencies is available</w:t>
            </w:r>
            <w:r w:rsidR="00B12765">
              <w:rPr>
                <w:rFonts w:ascii="Arial" w:hAnsi="Arial" w:cs="Arial"/>
                <w:sz w:val="18"/>
                <w:szCs w:val="18"/>
              </w:rPr>
              <w:t>, the lower of the two is used.</w:t>
            </w:r>
          </w:p>
          <w:p w:rsidR="00B12765" w:rsidRDefault="00B12765" w:rsidP="00B12765">
            <w:pPr>
              <w:rPr>
                <w:rFonts w:ascii="Arial" w:hAnsi="Arial" w:cs="Arial"/>
                <w:sz w:val="18"/>
                <w:szCs w:val="18"/>
              </w:rPr>
            </w:pPr>
          </w:p>
          <w:p w:rsidR="00B12765" w:rsidRDefault="005F5370" w:rsidP="00B12765">
            <w:pPr>
              <w:rPr>
                <w:rFonts w:ascii="Arial" w:hAnsi="Arial" w:cs="Arial"/>
                <w:sz w:val="18"/>
                <w:szCs w:val="18"/>
              </w:rPr>
            </w:pPr>
            <w:r>
              <w:rPr>
                <w:rFonts w:ascii="Arial" w:hAnsi="Arial" w:cs="Arial"/>
                <w:sz w:val="18"/>
                <w:szCs w:val="18"/>
              </w:rPr>
              <w:t>In cases where explicit bond level ratings may not be available, other sources may be used to classify securities by credit quality</w:t>
            </w:r>
            <w:r w:rsidR="00B12765">
              <w:rPr>
                <w:rFonts w:ascii="Arial" w:hAnsi="Arial" w:cs="Arial"/>
                <w:sz w:val="18"/>
                <w:szCs w:val="18"/>
              </w:rPr>
              <w:t xml:space="preserve">. These include: </w:t>
            </w:r>
          </w:p>
          <w:p w:rsidR="00B12765" w:rsidRDefault="00B12765" w:rsidP="00B12765">
            <w:pPr>
              <w:rPr>
                <w:rFonts w:ascii="Arial" w:hAnsi="Arial" w:cs="Arial"/>
                <w:sz w:val="18"/>
                <w:szCs w:val="18"/>
              </w:rPr>
            </w:pPr>
          </w:p>
          <w:p w:rsidR="00B12765" w:rsidRDefault="00B12765" w:rsidP="00B12765">
            <w:pPr>
              <w:rPr>
                <w:rFonts w:ascii="Arial" w:hAnsi="Arial" w:cs="Arial"/>
                <w:sz w:val="18"/>
                <w:szCs w:val="18"/>
              </w:rPr>
            </w:pPr>
            <w:r>
              <w:rPr>
                <w:rFonts w:ascii="Arial" w:hAnsi="Arial" w:cs="Arial"/>
                <w:sz w:val="18"/>
                <w:szCs w:val="18"/>
              </w:rPr>
              <w:t xml:space="preserve">1) Expected ratings at issuance may be used to ensure timely index inclusion or to classify split-rated issuers properly. </w:t>
            </w:r>
          </w:p>
          <w:p w:rsidR="00B12765" w:rsidRDefault="00B12765" w:rsidP="00B12765">
            <w:pPr>
              <w:rPr>
                <w:rFonts w:ascii="Arial" w:hAnsi="Arial" w:cs="Arial"/>
                <w:sz w:val="18"/>
                <w:szCs w:val="18"/>
              </w:rPr>
            </w:pPr>
          </w:p>
          <w:p w:rsidR="00B12765" w:rsidRPr="00B12765" w:rsidRDefault="00B12765" w:rsidP="00B12765">
            <w:pPr>
              <w:rPr>
                <w:rFonts w:ascii="Arial" w:hAnsi="Arial" w:cs="Arial"/>
                <w:sz w:val="18"/>
                <w:szCs w:val="18"/>
              </w:rPr>
            </w:pPr>
            <w:r>
              <w:rPr>
                <w:rFonts w:ascii="Arial" w:hAnsi="Arial" w:cs="Arial"/>
                <w:sz w:val="18"/>
                <w:szCs w:val="18"/>
              </w:rPr>
              <w:t>2) Unrated securities may use an issuer rating for index classification purposes if available. Unrated subordinated securities are included if a subordinated issuer rating is available.</w:t>
            </w:r>
          </w:p>
        </w:tc>
        <w:tc>
          <w:tcPr>
            <w:tcW w:w="2880" w:type="dxa"/>
          </w:tcPr>
          <w:p w:rsidR="0057067B" w:rsidRDefault="00E020B8" w:rsidP="00E020B8">
            <w:pPr>
              <w:rPr>
                <w:rFonts w:ascii="Arial" w:hAnsi="Arial" w:cs="Arial"/>
                <w:sz w:val="18"/>
                <w:szCs w:val="18"/>
              </w:rPr>
            </w:pPr>
            <w:r>
              <w:rPr>
                <w:rFonts w:ascii="Arial" w:hAnsi="Arial" w:cs="Arial"/>
                <w:sz w:val="18"/>
                <w:szCs w:val="18"/>
              </w:rPr>
              <w:t>Bonds are considered to be “High Yield” b</w:t>
            </w:r>
            <w:r w:rsidR="0057067B">
              <w:rPr>
                <w:rFonts w:ascii="Arial" w:hAnsi="Arial" w:cs="Arial"/>
                <w:sz w:val="18"/>
                <w:szCs w:val="18"/>
              </w:rPr>
              <w:t xml:space="preserve">ased on the average </w:t>
            </w:r>
            <w:r>
              <w:rPr>
                <w:rFonts w:ascii="Arial" w:hAnsi="Arial" w:cs="Arial"/>
                <w:sz w:val="18"/>
                <w:szCs w:val="18"/>
              </w:rPr>
              <w:t>rating from Moody’s, S&amp;P, and Fitch rating services. A bond is considered to be High Yield is its rating is equal to or below BB+</w:t>
            </w:r>
            <w:r w:rsidR="00A5679B">
              <w:rPr>
                <w:rFonts w:ascii="Arial" w:hAnsi="Arial" w:cs="Arial"/>
                <w:sz w:val="18"/>
                <w:szCs w:val="18"/>
              </w:rPr>
              <w:t xml:space="preserve"> from either S&amp;P or Fitch and Ba1 from Moody’s. A bond included in the index must be rated by at least one of the three rating agencies.</w:t>
            </w:r>
          </w:p>
          <w:p w:rsidR="00A5679B" w:rsidRDefault="00A5679B" w:rsidP="00E020B8">
            <w:pPr>
              <w:rPr>
                <w:rFonts w:ascii="Arial" w:hAnsi="Arial" w:cs="Arial"/>
                <w:sz w:val="18"/>
                <w:szCs w:val="18"/>
              </w:rPr>
            </w:pPr>
          </w:p>
          <w:p w:rsidR="00A5679B" w:rsidRDefault="00A5679B" w:rsidP="00E020B8">
            <w:pPr>
              <w:rPr>
                <w:rFonts w:ascii="Arial" w:hAnsi="Arial" w:cs="Arial"/>
                <w:sz w:val="18"/>
                <w:szCs w:val="18"/>
              </w:rPr>
            </w:pPr>
            <w:r>
              <w:rPr>
                <w:rFonts w:ascii="Arial" w:hAnsi="Arial" w:cs="Arial"/>
                <w:sz w:val="18"/>
                <w:szCs w:val="18"/>
              </w:rPr>
              <w:t>When the average rating is split between two ratings, the lower of is used as the rating.</w:t>
            </w:r>
          </w:p>
          <w:p w:rsidR="00A5679B" w:rsidRDefault="00A5679B" w:rsidP="00E020B8">
            <w:pPr>
              <w:rPr>
                <w:rFonts w:ascii="Arial" w:hAnsi="Arial" w:cs="Arial"/>
                <w:sz w:val="18"/>
                <w:szCs w:val="18"/>
              </w:rPr>
            </w:pPr>
          </w:p>
          <w:p w:rsidR="00A5679B" w:rsidRDefault="00A5679B" w:rsidP="00A5679B">
            <w:pPr>
              <w:rPr>
                <w:rFonts w:ascii="Arial" w:hAnsi="Arial" w:cs="Arial"/>
                <w:sz w:val="18"/>
                <w:szCs w:val="18"/>
              </w:rPr>
            </w:pPr>
            <w:r w:rsidRPr="00A5679B">
              <w:rPr>
                <w:rFonts w:ascii="Arial" w:hAnsi="Arial" w:cs="Arial"/>
                <w:sz w:val="18"/>
                <w:szCs w:val="18"/>
              </w:rPr>
              <w:t>Issues rated D by Fitch or S&amp;P, or that have been subject to a d</w:t>
            </w:r>
            <w:r>
              <w:rPr>
                <w:rFonts w:ascii="Arial" w:hAnsi="Arial" w:cs="Arial"/>
                <w:sz w:val="18"/>
                <w:szCs w:val="18"/>
              </w:rPr>
              <w:t xml:space="preserve">efault press release by Moody’s </w:t>
            </w:r>
            <w:r w:rsidRPr="00A5679B">
              <w:rPr>
                <w:rFonts w:ascii="Arial" w:hAnsi="Arial" w:cs="Arial"/>
                <w:sz w:val="18"/>
                <w:szCs w:val="18"/>
              </w:rPr>
              <w:t>cannot enter the index</w:t>
            </w:r>
            <w:r>
              <w:rPr>
                <w:rFonts w:ascii="Arial" w:hAnsi="Arial" w:cs="Arial"/>
                <w:sz w:val="18"/>
                <w:szCs w:val="18"/>
              </w:rPr>
              <w:t>.</w:t>
            </w:r>
          </w:p>
          <w:p w:rsidR="00A5679B" w:rsidRDefault="00A5679B" w:rsidP="00A5679B">
            <w:pPr>
              <w:rPr>
                <w:rFonts w:ascii="Arial" w:hAnsi="Arial" w:cs="Arial"/>
                <w:sz w:val="18"/>
                <w:szCs w:val="18"/>
              </w:rPr>
            </w:pPr>
          </w:p>
          <w:p w:rsidR="00A5679B" w:rsidRDefault="00A5679B" w:rsidP="00A5679B">
            <w:pPr>
              <w:rPr>
                <w:rFonts w:ascii="Arial" w:hAnsi="Arial" w:cs="Arial"/>
                <w:sz w:val="18"/>
                <w:szCs w:val="18"/>
              </w:rPr>
            </w:pPr>
            <w:r w:rsidRPr="00A5679B">
              <w:rPr>
                <w:rFonts w:ascii="Arial" w:hAnsi="Arial" w:cs="Arial"/>
                <w:sz w:val="18"/>
                <w:szCs w:val="18"/>
              </w:rPr>
              <w:t>In case of an ID change or exchange of a 144A version into a regis</w:t>
            </w:r>
            <w:r>
              <w:rPr>
                <w:rFonts w:ascii="Arial" w:hAnsi="Arial" w:cs="Arial"/>
                <w:sz w:val="18"/>
                <w:szCs w:val="18"/>
              </w:rPr>
              <w:t xml:space="preserve">tered bond the ratings from the </w:t>
            </w:r>
            <w:r w:rsidRPr="00A5679B">
              <w:rPr>
                <w:rFonts w:ascii="Arial" w:hAnsi="Arial" w:cs="Arial"/>
                <w:sz w:val="18"/>
                <w:szCs w:val="18"/>
              </w:rPr>
              <w:t>144A bond are also used for the registered bond</w:t>
            </w:r>
            <w:r>
              <w:rPr>
                <w:rFonts w:ascii="Arial" w:hAnsi="Arial" w:cs="Arial"/>
                <w:sz w:val="18"/>
                <w:szCs w:val="18"/>
              </w:rPr>
              <w:t>.</w:t>
            </w:r>
          </w:p>
          <w:p w:rsidR="00A5679B" w:rsidRDefault="00A5679B" w:rsidP="00A5679B">
            <w:pPr>
              <w:rPr>
                <w:rFonts w:ascii="Arial" w:hAnsi="Arial" w:cs="Arial"/>
                <w:sz w:val="18"/>
                <w:szCs w:val="18"/>
              </w:rPr>
            </w:pPr>
          </w:p>
          <w:p w:rsidR="00A5679B" w:rsidRDefault="00A5679B" w:rsidP="00A5679B">
            <w:pPr>
              <w:rPr>
                <w:rFonts w:ascii="Arial" w:hAnsi="Arial" w:cs="Arial"/>
                <w:sz w:val="18"/>
                <w:szCs w:val="18"/>
              </w:rPr>
            </w:pPr>
          </w:p>
          <w:p w:rsidR="00A5679B" w:rsidRDefault="00A5679B" w:rsidP="00A5679B">
            <w:pPr>
              <w:rPr>
                <w:rFonts w:ascii="Arial" w:hAnsi="Arial" w:cs="Arial"/>
                <w:sz w:val="18"/>
                <w:szCs w:val="18"/>
              </w:rPr>
            </w:pPr>
          </w:p>
          <w:p w:rsidR="00A5679B" w:rsidRDefault="00A5679B" w:rsidP="00A5679B">
            <w:pPr>
              <w:rPr>
                <w:rFonts w:ascii="Arial" w:hAnsi="Arial" w:cs="Arial"/>
                <w:sz w:val="18"/>
                <w:szCs w:val="18"/>
              </w:rPr>
            </w:pPr>
          </w:p>
          <w:p w:rsidR="00A5679B" w:rsidRDefault="00A5679B" w:rsidP="00A5679B">
            <w:pPr>
              <w:rPr>
                <w:rFonts w:ascii="Arial" w:hAnsi="Arial" w:cs="Arial"/>
                <w:sz w:val="18"/>
                <w:szCs w:val="18"/>
              </w:rPr>
            </w:pPr>
          </w:p>
          <w:p w:rsidR="00A5679B" w:rsidRDefault="00A5679B" w:rsidP="00A5679B">
            <w:pPr>
              <w:rPr>
                <w:rFonts w:ascii="Arial" w:hAnsi="Arial" w:cs="Arial"/>
                <w:sz w:val="18"/>
                <w:szCs w:val="18"/>
              </w:rPr>
            </w:pPr>
          </w:p>
          <w:p w:rsidR="00A5679B" w:rsidRDefault="00A5679B" w:rsidP="00A5679B">
            <w:pPr>
              <w:rPr>
                <w:rFonts w:ascii="Arial" w:hAnsi="Arial" w:cs="Arial"/>
                <w:sz w:val="18"/>
                <w:szCs w:val="18"/>
              </w:rPr>
            </w:pPr>
          </w:p>
          <w:p w:rsidR="00A5679B" w:rsidRDefault="00A5679B" w:rsidP="00A5679B">
            <w:pPr>
              <w:rPr>
                <w:rFonts w:ascii="Arial" w:hAnsi="Arial" w:cs="Arial"/>
                <w:sz w:val="18"/>
                <w:szCs w:val="18"/>
              </w:rPr>
            </w:pPr>
          </w:p>
          <w:p w:rsidR="00A5679B" w:rsidRDefault="00A5679B" w:rsidP="00A5679B">
            <w:pPr>
              <w:rPr>
                <w:rFonts w:ascii="Arial" w:hAnsi="Arial" w:cs="Arial"/>
                <w:sz w:val="18"/>
                <w:szCs w:val="18"/>
              </w:rPr>
            </w:pPr>
          </w:p>
          <w:p w:rsidR="00A5679B" w:rsidRDefault="00A5679B" w:rsidP="00A5679B">
            <w:pPr>
              <w:rPr>
                <w:rFonts w:ascii="Arial" w:hAnsi="Arial" w:cs="Arial"/>
                <w:sz w:val="18"/>
                <w:szCs w:val="18"/>
              </w:rPr>
            </w:pPr>
          </w:p>
          <w:p w:rsidR="00A5679B" w:rsidRDefault="00A5679B" w:rsidP="00A5679B">
            <w:pPr>
              <w:rPr>
                <w:rFonts w:ascii="Arial" w:hAnsi="Arial" w:cs="Arial"/>
                <w:sz w:val="18"/>
                <w:szCs w:val="18"/>
              </w:rPr>
            </w:pPr>
          </w:p>
          <w:p w:rsidR="00A5679B" w:rsidRDefault="00A5679B" w:rsidP="00A5679B">
            <w:pPr>
              <w:rPr>
                <w:rFonts w:ascii="Arial" w:hAnsi="Arial" w:cs="Arial"/>
                <w:sz w:val="18"/>
                <w:szCs w:val="18"/>
              </w:rPr>
            </w:pPr>
          </w:p>
        </w:tc>
        <w:tc>
          <w:tcPr>
            <w:tcW w:w="2857" w:type="dxa"/>
          </w:tcPr>
          <w:p w:rsidR="0057067B" w:rsidRDefault="00E020B8" w:rsidP="0057067B">
            <w:pPr>
              <w:rPr>
                <w:rFonts w:ascii="Arial" w:hAnsi="Arial" w:cs="Arial"/>
                <w:sz w:val="18"/>
                <w:szCs w:val="18"/>
              </w:rPr>
            </w:pPr>
            <w:r>
              <w:rPr>
                <w:rFonts w:ascii="Arial" w:hAnsi="Arial" w:cs="Arial"/>
                <w:sz w:val="18"/>
                <w:szCs w:val="18"/>
              </w:rPr>
              <w:t xml:space="preserve">Bonds are considered to be classified as “High Yield” </w:t>
            </w:r>
            <w:r w:rsidR="0057067B">
              <w:rPr>
                <w:rFonts w:ascii="Arial" w:hAnsi="Arial" w:cs="Arial"/>
                <w:sz w:val="18"/>
                <w:szCs w:val="18"/>
              </w:rPr>
              <w:t>on blended or lower of Moody’s and S&amp;P ratings. Issues must be rated “5B” or lower and the highest rating by either Moody’s or S&amp;P is Baa1 and BBB+ respectively.</w:t>
            </w:r>
            <w:r w:rsidR="00A5679B">
              <w:rPr>
                <w:rFonts w:ascii="Arial" w:hAnsi="Arial" w:cs="Arial"/>
                <w:sz w:val="18"/>
                <w:szCs w:val="18"/>
              </w:rPr>
              <w:t xml:space="preserve"> A bond included in the index must be rated by either Moody’s or S&amp;P to be included in the index.</w:t>
            </w:r>
          </w:p>
          <w:p w:rsidR="0057067B" w:rsidRDefault="0057067B" w:rsidP="0057067B">
            <w:pPr>
              <w:rPr>
                <w:rFonts w:ascii="Arial" w:hAnsi="Arial" w:cs="Arial"/>
                <w:sz w:val="18"/>
                <w:szCs w:val="18"/>
              </w:rPr>
            </w:pPr>
          </w:p>
          <w:p w:rsidR="0057067B" w:rsidRDefault="0057067B" w:rsidP="0057067B">
            <w:pPr>
              <w:rPr>
                <w:rFonts w:ascii="Arial" w:hAnsi="Arial" w:cs="Arial"/>
                <w:sz w:val="18"/>
                <w:szCs w:val="18"/>
              </w:rPr>
            </w:pPr>
            <w:r>
              <w:rPr>
                <w:rFonts w:ascii="Arial" w:hAnsi="Arial" w:cs="Arial"/>
                <w:sz w:val="18"/>
                <w:szCs w:val="18"/>
              </w:rPr>
              <w:t>If Moody’s and S&amp;P disagree on an issues rating by one notch, the issue is assigned a slit rating. Example of this is if Moody’s assigns a Baa3 rating and S&amp;P assign a BB+ rating for a given issue, it would be categorized as Split BBB and be included in high yield indices.</w:t>
            </w:r>
          </w:p>
          <w:p w:rsidR="0057067B" w:rsidRDefault="0057067B" w:rsidP="0057067B">
            <w:pPr>
              <w:rPr>
                <w:rFonts w:ascii="Arial" w:hAnsi="Arial" w:cs="Arial"/>
                <w:sz w:val="18"/>
                <w:szCs w:val="18"/>
              </w:rPr>
            </w:pPr>
          </w:p>
          <w:p w:rsidR="0057067B" w:rsidRDefault="0057067B" w:rsidP="0057067B">
            <w:pPr>
              <w:rPr>
                <w:rFonts w:ascii="Arial" w:hAnsi="Arial" w:cs="Arial"/>
                <w:sz w:val="18"/>
                <w:szCs w:val="18"/>
              </w:rPr>
            </w:pPr>
            <w:r>
              <w:rPr>
                <w:rFonts w:ascii="Arial" w:hAnsi="Arial" w:cs="Arial"/>
                <w:sz w:val="18"/>
                <w:szCs w:val="18"/>
              </w:rPr>
              <w:t>If Moody’s &amp; S&amp;P disagree by more than two notches, the lower of the two ratings is assigned.</w:t>
            </w:r>
          </w:p>
          <w:p w:rsidR="0057067B" w:rsidRDefault="0057067B" w:rsidP="0057067B">
            <w:pPr>
              <w:rPr>
                <w:rFonts w:ascii="Arial" w:hAnsi="Arial" w:cs="Arial"/>
                <w:sz w:val="18"/>
                <w:szCs w:val="18"/>
              </w:rPr>
            </w:pPr>
          </w:p>
          <w:p w:rsidR="0057067B" w:rsidRDefault="0057067B" w:rsidP="0057067B">
            <w:pPr>
              <w:rPr>
                <w:rFonts w:ascii="Arial" w:hAnsi="Arial" w:cs="Arial"/>
                <w:sz w:val="18"/>
                <w:szCs w:val="18"/>
              </w:rPr>
            </w:pPr>
          </w:p>
          <w:p w:rsidR="0057067B" w:rsidRDefault="0057067B" w:rsidP="0057067B">
            <w:pPr>
              <w:rPr>
                <w:rFonts w:ascii="Arial" w:hAnsi="Arial" w:cs="Arial"/>
                <w:sz w:val="18"/>
                <w:szCs w:val="18"/>
              </w:rPr>
            </w:pPr>
          </w:p>
          <w:p w:rsidR="0057067B" w:rsidRDefault="0057067B" w:rsidP="0057067B">
            <w:pPr>
              <w:rPr>
                <w:rFonts w:ascii="Arial" w:hAnsi="Arial" w:cs="Arial"/>
                <w:sz w:val="18"/>
                <w:szCs w:val="18"/>
              </w:rPr>
            </w:pPr>
          </w:p>
          <w:p w:rsidR="0057067B" w:rsidRDefault="0057067B" w:rsidP="0057067B">
            <w:pPr>
              <w:rPr>
                <w:rFonts w:ascii="Arial" w:hAnsi="Arial" w:cs="Arial"/>
                <w:sz w:val="18"/>
                <w:szCs w:val="18"/>
              </w:rPr>
            </w:pPr>
          </w:p>
          <w:p w:rsidR="0057067B" w:rsidRDefault="0057067B" w:rsidP="0057067B">
            <w:pPr>
              <w:rPr>
                <w:rFonts w:ascii="Arial" w:hAnsi="Arial" w:cs="Arial"/>
                <w:sz w:val="18"/>
                <w:szCs w:val="18"/>
              </w:rPr>
            </w:pPr>
          </w:p>
          <w:p w:rsidR="0057067B" w:rsidRDefault="0057067B" w:rsidP="0057067B">
            <w:pPr>
              <w:rPr>
                <w:rFonts w:ascii="Arial" w:hAnsi="Arial" w:cs="Arial"/>
                <w:sz w:val="18"/>
                <w:szCs w:val="18"/>
              </w:rPr>
            </w:pPr>
          </w:p>
          <w:p w:rsidR="0057067B" w:rsidRDefault="0057067B" w:rsidP="0057067B">
            <w:pPr>
              <w:rPr>
                <w:rFonts w:ascii="Arial" w:hAnsi="Arial" w:cs="Arial"/>
                <w:sz w:val="18"/>
                <w:szCs w:val="18"/>
              </w:rPr>
            </w:pPr>
          </w:p>
          <w:p w:rsidR="0057067B" w:rsidRDefault="0057067B" w:rsidP="0057067B">
            <w:pPr>
              <w:rPr>
                <w:rFonts w:ascii="Arial" w:hAnsi="Arial" w:cs="Arial"/>
                <w:sz w:val="18"/>
                <w:szCs w:val="18"/>
              </w:rPr>
            </w:pPr>
          </w:p>
          <w:p w:rsidR="0057067B" w:rsidRDefault="0057067B" w:rsidP="0057067B">
            <w:pPr>
              <w:rPr>
                <w:rFonts w:ascii="Arial" w:hAnsi="Arial" w:cs="Arial"/>
                <w:sz w:val="18"/>
                <w:szCs w:val="18"/>
              </w:rPr>
            </w:pPr>
          </w:p>
          <w:p w:rsidR="0057067B" w:rsidRDefault="0057067B" w:rsidP="0057067B">
            <w:pPr>
              <w:rPr>
                <w:rFonts w:ascii="Arial" w:hAnsi="Arial" w:cs="Arial"/>
                <w:sz w:val="18"/>
                <w:szCs w:val="18"/>
              </w:rPr>
            </w:pPr>
          </w:p>
          <w:p w:rsidR="0057067B" w:rsidRDefault="0057067B" w:rsidP="0057067B">
            <w:pPr>
              <w:rPr>
                <w:rFonts w:ascii="Arial" w:hAnsi="Arial" w:cs="Arial"/>
                <w:sz w:val="18"/>
                <w:szCs w:val="18"/>
              </w:rPr>
            </w:pPr>
          </w:p>
          <w:p w:rsidR="0057067B" w:rsidRDefault="0057067B" w:rsidP="0057067B">
            <w:pPr>
              <w:rPr>
                <w:rFonts w:ascii="Arial" w:hAnsi="Arial" w:cs="Arial"/>
                <w:sz w:val="18"/>
                <w:szCs w:val="18"/>
              </w:rPr>
            </w:pPr>
          </w:p>
        </w:tc>
      </w:tr>
      <w:tr w:rsidR="00EB03BF" w:rsidTr="00DE399B">
        <w:trPr>
          <w:trHeight w:val="5480"/>
        </w:trPr>
        <w:tc>
          <w:tcPr>
            <w:tcW w:w="1998" w:type="dxa"/>
          </w:tcPr>
          <w:p w:rsidR="00EB03BF" w:rsidRDefault="00EB03BF" w:rsidP="00EB03BF">
            <w:pPr>
              <w:rPr>
                <w:color w:val="FF0000"/>
              </w:rPr>
            </w:pPr>
            <w:r>
              <w:rPr>
                <w:color w:val="FF0000"/>
              </w:rPr>
              <w:lastRenderedPageBreak/>
              <w:t>Fallen Angels and Rising Stars</w:t>
            </w:r>
          </w:p>
        </w:tc>
        <w:tc>
          <w:tcPr>
            <w:tcW w:w="2790" w:type="dxa"/>
          </w:tcPr>
          <w:p w:rsidR="00EB03BF" w:rsidRDefault="00EB03BF" w:rsidP="00EB03BF">
            <w:pPr>
              <w:rPr>
                <w:rFonts w:ascii="Arial" w:hAnsi="Arial" w:cs="Arial"/>
                <w:sz w:val="18"/>
                <w:szCs w:val="18"/>
              </w:rPr>
            </w:pPr>
            <w:r>
              <w:rPr>
                <w:rFonts w:ascii="Arial" w:hAnsi="Arial" w:cs="Arial"/>
                <w:sz w:val="18"/>
                <w:szCs w:val="18"/>
              </w:rPr>
              <w:t>When an issue’s credit rating, in accordance with the credit rating methodology, changes from high yield to investment grade status and vice versa (rising star and fallen angel respectively), changes will be reflected in the benchmark at the month-end rebalancing date</w:t>
            </w:r>
            <w:r>
              <w:rPr>
                <w:rFonts w:ascii="Arial" w:hAnsi="Arial" w:cs="Arial"/>
                <w:sz w:val="18"/>
                <w:szCs w:val="18"/>
              </w:rPr>
              <w:t xml:space="preserve"> assuming that the change occurs before the third business date before the last business day of the month</w:t>
            </w:r>
            <w:r>
              <w:rPr>
                <w:rFonts w:ascii="Arial" w:hAnsi="Arial" w:cs="Arial"/>
                <w:sz w:val="18"/>
                <w:szCs w:val="18"/>
              </w:rPr>
              <w:t>.</w:t>
            </w:r>
          </w:p>
        </w:tc>
        <w:tc>
          <w:tcPr>
            <w:tcW w:w="2700" w:type="dxa"/>
          </w:tcPr>
          <w:p w:rsidR="00EB03BF" w:rsidRDefault="00EB03BF" w:rsidP="00EB03BF">
            <w:pPr>
              <w:rPr>
                <w:rFonts w:ascii="Arial" w:hAnsi="Arial" w:cs="Arial"/>
                <w:sz w:val="18"/>
                <w:szCs w:val="18"/>
              </w:rPr>
            </w:pPr>
            <w:r>
              <w:rPr>
                <w:rFonts w:ascii="Arial" w:hAnsi="Arial" w:cs="Arial"/>
                <w:sz w:val="18"/>
                <w:szCs w:val="18"/>
              </w:rPr>
              <w:t>When an issue’s credit rating, in accordance with the credit rating methodology, changes from high yield to investment grade status and vice versa (rising star and fallen angel respectively), changes will be reflected in the benchmark at the month-end rebalancing date.</w:t>
            </w:r>
          </w:p>
        </w:tc>
        <w:tc>
          <w:tcPr>
            <w:tcW w:w="2880" w:type="dxa"/>
          </w:tcPr>
          <w:p w:rsidR="00EB03BF" w:rsidRDefault="00EB03BF" w:rsidP="00D667D8">
            <w:pPr>
              <w:rPr>
                <w:rFonts w:ascii="Arial" w:hAnsi="Arial" w:cs="Arial"/>
                <w:sz w:val="18"/>
                <w:szCs w:val="18"/>
              </w:rPr>
            </w:pPr>
            <w:r>
              <w:rPr>
                <w:rFonts w:ascii="Arial" w:hAnsi="Arial" w:cs="Arial"/>
                <w:sz w:val="18"/>
                <w:szCs w:val="18"/>
              </w:rPr>
              <w:t xml:space="preserve">When an issue’s credit rating, in accordance with the credit rating methodology, changes from high yield to investment grade status and vice versa (rising star and fallen angel respectively), changes will be reflected in the benchmark at the </w:t>
            </w:r>
            <w:r w:rsidR="00D667D8">
              <w:rPr>
                <w:rFonts w:ascii="Arial" w:hAnsi="Arial" w:cs="Arial"/>
                <w:sz w:val="18"/>
                <w:szCs w:val="18"/>
              </w:rPr>
              <w:t>lock out date</w:t>
            </w:r>
            <w:r>
              <w:rPr>
                <w:rFonts w:ascii="Arial" w:hAnsi="Arial" w:cs="Arial"/>
                <w:sz w:val="18"/>
                <w:szCs w:val="18"/>
              </w:rPr>
              <w:t xml:space="preserve"> </w:t>
            </w:r>
            <w:r w:rsidR="00D667D8">
              <w:rPr>
                <w:rFonts w:ascii="Arial" w:hAnsi="Arial" w:cs="Arial"/>
                <w:sz w:val="18"/>
                <w:szCs w:val="18"/>
              </w:rPr>
              <w:t>which occurs every three months</w:t>
            </w:r>
            <w:r>
              <w:rPr>
                <w:rFonts w:ascii="Arial" w:hAnsi="Arial" w:cs="Arial"/>
                <w:sz w:val="18"/>
                <w:szCs w:val="18"/>
              </w:rPr>
              <w:t>.</w:t>
            </w:r>
          </w:p>
        </w:tc>
        <w:tc>
          <w:tcPr>
            <w:tcW w:w="2857" w:type="dxa"/>
          </w:tcPr>
          <w:p w:rsidR="00EB03BF" w:rsidRPr="005E59F7" w:rsidRDefault="00EB03BF" w:rsidP="00EB03BF">
            <w:pPr>
              <w:rPr>
                <w:rFonts w:ascii="Arial" w:hAnsi="Arial" w:cs="Arial"/>
                <w:sz w:val="18"/>
                <w:szCs w:val="18"/>
              </w:rPr>
            </w:pPr>
            <w:r w:rsidRPr="005E59F7">
              <w:rPr>
                <w:rFonts w:ascii="Arial" w:hAnsi="Arial" w:cs="Arial"/>
                <w:sz w:val="18"/>
                <w:szCs w:val="18"/>
              </w:rPr>
              <w:t xml:space="preserve">Fallen angels are added to the index subject to: 1) the </w:t>
            </w:r>
            <w:r>
              <w:rPr>
                <w:rFonts w:ascii="Arial" w:hAnsi="Arial" w:cs="Arial"/>
                <w:sz w:val="18"/>
                <w:szCs w:val="18"/>
              </w:rPr>
              <w:t xml:space="preserve">new-issue criteria; except that </w:t>
            </w:r>
            <w:r w:rsidRPr="005E59F7">
              <w:rPr>
                <w:rFonts w:ascii="Arial" w:hAnsi="Arial" w:cs="Arial"/>
                <w:sz w:val="18"/>
                <w:szCs w:val="18"/>
              </w:rPr>
              <w:t>market value is used instead of par valu</w:t>
            </w:r>
            <w:r>
              <w:rPr>
                <w:rFonts w:ascii="Arial" w:hAnsi="Arial" w:cs="Arial"/>
                <w:sz w:val="18"/>
                <w:szCs w:val="18"/>
              </w:rPr>
              <w:t xml:space="preserve">e, and 2) a seasoning period of </w:t>
            </w:r>
            <w:r w:rsidRPr="005E59F7">
              <w:rPr>
                <w:rFonts w:ascii="Arial" w:hAnsi="Arial" w:cs="Arial"/>
                <w:sz w:val="18"/>
                <w:szCs w:val="18"/>
              </w:rPr>
              <w:t>approximately 90-days. Bonds will be added to index o</w:t>
            </w:r>
            <w:r>
              <w:rPr>
                <w:rFonts w:ascii="Arial" w:hAnsi="Arial" w:cs="Arial"/>
                <w:sz w:val="18"/>
                <w:szCs w:val="18"/>
              </w:rPr>
              <w:t xml:space="preserve">n the first business day of the </w:t>
            </w:r>
            <w:r w:rsidRPr="005E59F7">
              <w:rPr>
                <w:rFonts w:ascii="Arial" w:hAnsi="Arial" w:cs="Arial"/>
                <w:sz w:val="18"/>
                <w:szCs w:val="18"/>
              </w:rPr>
              <w:t>month closest to 90-days following the downgra</w:t>
            </w:r>
            <w:r>
              <w:rPr>
                <w:rFonts w:ascii="Arial" w:hAnsi="Arial" w:cs="Arial"/>
                <w:sz w:val="18"/>
                <w:szCs w:val="18"/>
              </w:rPr>
              <w:t xml:space="preserve">de to high-yield. Specifically, downgrades </w:t>
            </w:r>
            <w:r w:rsidRPr="005E59F7">
              <w:rPr>
                <w:rFonts w:ascii="Arial" w:hAnsi="Arial" w:cs="Arial"/>
                <w:sz w:val="18"/>
                <w:szCs w:val="18"/>
              </w:rPr>
              <w:t xml:space="preserve">occurring during the first 15 days of </w:t>
            </w:r>
            <w:r>
              <w:rPr>
                <w:rFonts w:ascii="Arial" w:hAnsi="Arial" w:cs="Arial"/>
                <w:sz w:val="18"/>
                <w:szCs w:val="18"/>
              </w:rPr>
              <w:t xml:space="preserve">a month will enter the index in </w:t>
            </w:r>
            <w:r w:rsidRPr="005E59F7">
              <w:rPr>
                <w:rFonts w:ascii="Arial" w:hAnsi="Arial" w:cs="Arial"/>
                <w:sz w:val="18"/>
                <w:szCs w:val="18"/>
              </w:rPr>
              <w:t>approximately two-and-a-half months, while downgrades occurring on or after the</w:t>
            </w:r>
          </w:p>
          <w:p w:rsidR="00EB03BF" w:rsidRDefault="00EB03BF" w:rsidP="00EB03BF">
            <w:pPr>
              <w:rPr>
                <w:rFonts w:ascii="Arial" w:hAnsi="Arial" w:cs="Arial"/>
                <w:sz w:val="18"/>
                <w:szCs w:val="18"/>
              </w:rPr>
            </w:pPr>
            <w:r w:rsidRPr="005E59F7">
              <w:rPr>
                <w:rFonts w:ascii="Arial" w:hAnsi="Arial" w:cs="Arial"/>
                <w:sz w:val="18"/>
                <w:szCs w:val="18"/>
              </w:rPr>
              <w:t>16th day of a month will enter the index in approximately three-and-a-half months.</w:t>
            </w:r>
          </w:p>
          <w:p w:rsidR="00EB03BF" w:rsidRDefault="00EB03BF" w:rsidP="00EB03BF">
            <w:pPr>
              <w:rPr>
                <w:rFonts w:ascii="Arial" w:hAnsi="Arial" w:cs="Arial"/>
                <w:sz w:val="18"/>
                <w:szCs w:val="18"/>
              </w:rPr>
            </w:pPr>
          </w:p>
          <w:p w:rsidR="00EB03BF" w:rsidRPr="005E59F7" w:rsidRDefault="00EB03BF" w:rsidP="00EB03BF">
            <w:pPr>
              <w:rPr>
                <w:rFonts w:ascii="Arial" w:hAnsi="Arial" w:cs="Arial"/>
                <w:sz w:val="18"/>
                <w:szCs w:val="18"/>
              </w:rPr>
            </w:pPr>
            <w:r>
              <w:rPr>
                <w:rFonts w:ascii="Arial" w:hAnsi="Arial" w:cs="Arial"/>
                <w:sz w:val="18"/>
                <w:szCs w:val="18"/>
              </w:rPr>
              <w:t>Rising stars are removed from the index when they are upgraded to Investment Grade in accordance with JPM’s Credit Rating Methodology.</w:t>
            </w:r>
          </w:p>
        </w:tc>
      </w:tr>
      <w:tr w:rsidR="00EB03BF" w:rsidTr="00DE399B">
        <w:trPr>
          <w:trHeight w:val="3770"/>
        </w:trPr>
        <w:tc>
          <w:tcPr>
            <w:tcW w:w="1998" w:type="dxa"/>
          </w:tcPr>
          <w:p w:rsidR="00EB03BF" w:rsidRDefault="00EB03BF" w:rsidP="00EB03BF">
            <w:pPr>
              <w:rPr>
                <w:color w:val="FF0000"/>
              </w:rPr>
            </w:pPr>
            <w:r>
              <w:rPr>
                <w:color w:val="FF0000"/>
              </w:rPr>
              <w:t>Number of Bonds per Immediate Issuing Entity</w:t>
            </w:r>
          </w:p>
        </w:tc>
        <w:tc>
          <w:tcPr>
            <w:tcW w:w="2790" w:type="dxa"/>
          </w:tcPr>
          <w:p w:rsidR="00EB03BF" w:rsidRDefault="00EB03BF" w:rsidP="00EB03BF">
            <w:pPr>
              <w:rPr>
                <w:rFonts w:ascii="Arial" w:hAnsi="Arial" w:cs="Arial"/>
                <w:sz w:val="18"/>
                <w:szCs w:val="18"/>
              </w:rPr>
            </w:pPr>
            <w:r>
              <w:rPr>
                <w:rFonts w:ascii="Arial" w:hAnsi="Arial" w:cs="Arial"/>
                <w:sz w:val="18"/>
                <w:szCs w:val="18"/>
              </w:rPr>
              <w:t>All bonds that meet the necessary index inclusion criteria are included in the index.</w:t>
            </w:r>
          </w:p>
        </w:tc>
        <w:tc>
          <w:tcPr>
            <w:tcW w:w="2700" w:type="dxa"/>
          </w:tcPr>
          <w:p w:rsidR="00EB03BF" w:rsidRDefault="00EB03BF" w:rsidP="00EB03BF">
            <w:pPr>
              <w:rPr>
                <w:rFonts w:ascii="Arial" w:hAnsi="Arial" w:cs="Arial"/>
                <w:sz w:val="18"/>
                <w:szCs w:val="18"/>
              </w:rPr>
            </w:pPr>
            <w:r>
              <w:rPr>
                <w:rFonts w:ascii="Arial" w:hAnsi="Arial" w:cs="Arial"/>
                <w:sz w:val="18"/>
                <w:szCs w:val="18"/>
              </w:rPr>
              <w:t>All bonds that meet the necessary index inclusion criteria are included in the index.</w:t>
            </w:r>
          </w:p>
        </w:tc>
        <w:tc>
          <w:tcPr>
            <w:tcW w:w="2880" w:type="dxa"/>
          </w:tcPr>
          <w:p w:rsidR="00EB03BF" w:rsidRDefault="00EB03BF" w:rsidP="00EB03BF">
            <w:pPr>
              <w:rPr>
                <w:rFonts w:ascii="Arial" w:hAnsi="Arial" w:cs="Arial"/>
                <w:sz w:val="18"/>
                <w:szCs w:val="18"/>
              </w:rPr>
            </w:pPr>
            <w:r>
              <w:rPr>
                <w:rFonts w:ascii="Arial" w:hAnsi="Arial" w:cs="Arial"/>
                <w:sz w:val="18"/>
                <w:szCs w:val="18"/>
              </w:rPr>
              <w:t>All bonds that meet the necessary index inclusion criteria are included in the index.</w:t>
            </w:r>
          </w:p>
        </w:tc>
        <w:tc>
          <w:tcPr>
            <w:tcW w:w="2857" w:type="dxa"/>
          </w:tcPr>
          <w:p w:rsidR="00EB03BF" w:rsidRPr="005E59F7" w:rsidRDefault="00EB03BF" w:rsidP="00EB03BF">
            <w:pPr>
              <w:rPr>
                <w:rFonts w:ascii="Arial" w:hAnsi="Arial" w:cs="Arial"/>
                <w:sz w:val="18"/>
                <w:szCs w:val="18"/>
              </w:rPr>
            </w:pPr>
            <w:r w:rsidRPr="005E59F7">
              <w:rPr>
                <w:rFonts w:ascii="Arial" w:hAnsi="Arial" w:cs="Arial"/>
                <w:sz w:val="18"/>
                <w:szCs w:val="18"/>
              </w:rPr>
              <w:t>If an issuer has more than two issues outstanding, the two largest are selected for</w:t>
            </w:r>
          </w:p>
          <w:p w:rsidR="00EB03BF" w:rsidRPr="005E59F7" w:rsidRDefault="00EB03BF" w:rsidP="00EB03BF">
            <w:pPr>
              <w:rPr>
                <w:rFonts w:ascii="Arial" w:hAnsi="Arial" w:cs="Arial"/>
                <w:sz w:val="18"/>
                <w:szCs w:val="18"/>
              </w:rPr>
            </w:pPr>
            <w:r w:rsidRPr="005E59F7">
              <w:rPr>
                <w:rFonts w:ascii="Arial" w:hAnsi="Arial" w:cs="Arial"/>
                <w:sz w:val="18"/>
                <w:szCs w:val="18"/>
              </w:rPr>
              <w:t>Inclusion</w:t>
            </w:r>
            <w:r w:rsidRPr="005E59F7">
              <w:rPr>
                <w:rFonts w:ascii="Arial" w:hAnsi="Arial" w:cs="Arial"/>
                <w:sz w:val="18"/>
                <w:szCs w:val="18"/>
              </w:rPr>
              <w:t xml:space="preserve"> in the index. If the difference between issue size (face amount) is less than</w:t>
            </w:r>
          </w:p>
          <w:p w:rsidR="00EB03BF" w:rsidRPr="005E59F7" w:rsidRDefault="00EB03BF" w:rsidP="00EB03BF">
            <w:pPr>
              <w:rPr>
                <w:rFonts w:ascii="Arial" w:hAnsi="Arial" w:cs="Arial"/>
                <w:sz w:val="18"/>
                <w:szCs w:val="18"/>
              </w:rPr>
            </w:pPr>
            <w:r w:rsidRPr="005E59F7">
              <w:rPr>
                <w:rFonts w:ascii="Arial" w:hAnsi="Arial" w:cs="Arial"/>
                <w:sz w:val="18"/>
                <w:szCs w:val="18"/>
              </w:rPr>
              <w:t>or equal to 20%, bonds are chosen by first differentiating between security type,</w:t>
            </w:r>
          </w:p>
          <w:p w:rsidR="00EB03BF" w:rsidRPr="005E59F7" w:rsidRDefault="00EB03BF" w:rsidP="00EB03BF">
            <w:pPr>
              <w:rPr>
                <w:rFonts w:ascii="Arial" w:hAnsi="Arial" w:cs="Arial"/>
                <w:sz w:val="18"/>
                <w:szCs w:val="18"/>
              </w:rPr>
            </w:pPr>
            <w:r w:rsidRPr="005E59F7">
              <w:rPr>
                <w:rFonts w:ascii="Arial" w:hAnsi="Arial" w:cs="Arial"/>
                <w:sz w:val="18"/>
                <w:szCs w:val="18"/>
              </w:rPr>
              <w:t>second by differentiating between seniority, third by selecting the more recently</w:t>
            </w:r>
          </w:p>
          <w:p w:rsidR="00EB03BF" w:rsidRDefault="00EB03BF" w:rsidP="00EB03BF">
            <w:pPr>
              <w:rPr>
                <w:rFonts w:ascii="Arial" w:hAnsi="Arial" w:cs="Arial"/>
                <w:sz w:val="18"/>
                <w:szCs w:val="18"/>
              </w:rPr>
            </w:pPr>
            <w:r w:rsidRPr="005E59F7">
              <w:rPr>
                <w:rFonts w:ascii="Arial" w:hAnsi="Arial" w:cs="Arial"/>
                <w:sz w:val="18"/>
                <w:szCs w:val="18"/>
              </w:rPr>
              <w:t>Issued</w:t>
            </w:r>
            <w:r w:rsidRPr="005E59F7">
              <w:rPr>
                <w:rFonts w:ascii="Arial" w:hAnsi="Arial" w:cs="Arial"/>
                <w:sz w:val="18"/>
                <w:szCs w:val="18"/>
              </w:rPr>
              <w:t xml:space="preserve"> bond, and fourth by selecting the longer dated maturity.</w:t>
            </w:r>
          </w:p>
        </w:tc>
      </w:tr>
      <w:tr w:rsidR="00EB03BF" w:rsidTr="00260F66">
        <w:trPr>
          <w:trHeight w:val="1610"/>
        </w:trPr>
        <w:tc>
          <w:tcPr>
            <w:tcW w:w="1998" w:type="dxa"/>
          </w:tcPr>
          <w:p w:rsidR="00EB03BF" w:rsidRPr="000E53DE" w:rsidRDefault="00EB03BF" w:rsidP="00EB03BF">
            <w:pPr>
              <w:rPr>
                <w:color w:val="FF0000"/>
              </w:rPr>
            </w:pPr>
            <w:r>
              <w:rPr>
                <w:color w:val="FF0000"/>
              </w:rPr>
              <w:lastRenderedPageBreak/>
              <w:t>Pricing Source</w:t>
            </w:r>
          </w:p>
        </w:tc>
        <w:tc>
          <w:tcPr>
            <w:tcW w:w="2790" w:type="dxa"/>
          </w:tcPr>
          <w:p w:rsidR="00EB03BF" w:rsidRPr="006F1AB3" w:rsidRDefault="00EB03BF" w:rsidP="00EB03BF">
            <w:pPr>
              <w:rPr>
                <w:rFonts w:ascii="Arial" w:hAnsi="Arial" w:cs="Arial"/>
                <w:sz w:val="18"/>
                <w:szCs w:val="18"/>
              </w:rPr>
            </w:pPr>
            <w:r>
              <w:rPr>
                <w:rFonts w:ascii="Arial" w:hAnsi="Arial" w:cs="Arial"/>
                <w:sz w:val="18"/>
                <w:szCs w:val="18"/>
              </w:rPr>
              <w:t xml:space="preserve">All bonds are priced daily </w:t>
            </w:r>
            <w:r>
              <w:rPr>
                <w:rFonts w:ascii="Arial" w:hAnsi="Arial" w:cs="Arial"/>
                <w:sz w:val="18"/>
                <w:szCs w:val="18"/>
              </w:rPr>
              <w:t>using ICE Data</w:t>
            </w:r>
            <w:r>
              <w:rPr>
                <w:rFonts w:ascii="Arial" w:hAnsi="Arial" w:cs="Arial"/>
                <w:sz w:val="18"/>
                <w:szCs w:val="18"/>
              </w:rPr>
              <w:t xml:space="preserve"> </w:t>
            </w:r>
            <w:r>
              <w:rPr>
                <w:rFonts w:ascii="Arial" w:hAnsi="Arial" w:cs="Arial"/>
                <w:sz w:val="18"/>
                <w:szCs w:val="18"/>
              </w:rPr>
              <w:t>S</w:t>
            </w:r>
            <w:r>
              <w:rPr>
                <w:rFonts w:ascii="Arial" w:hAnsi="Arial" w:cs="Arial"/>
                <w:sz w:val="18"/>
                <w:szCs w:val="18"/>
              </w:rPr>
              <w:t xml:space="preserve">ervices at </w:t>
            </w:r>
            <w:r>
              <w:rPr>
                <w:rFonts w:ascii="Arial" w:hAnsi="Arial" w:cs="Arial"/>
                <w:sz w:val="18"/>
                <w:szCs w:val="18"/>
              </w:rPr>
              <w:t>3</w:t>
            </w:r>
            <w:r>
              <w:rPr>
                <w:rFonts w:ascii="Arial" w:hAnsi="Arial" w:cs="Arial"/>
                <w:sz w:val="18"/>
                <w:szCs w:val="18"/>
              </w:rPr>
              <w:t>:00 pm (US, EST) on the bid side using T+</w:t>
            </w:r>
            <w:r>
              <w:rPr>
                <w:rFonts w:ascii="Arial" w:hAnsi="Arial" w:cs="Arial"/>
                <w:sz w:val="18"/>
                <w:szCs w:val="18"/>
              </w:rPr>
              <w:t>1</w:t>
            </w:r>
            <w:r>
              <w:rPr>
                <w:rFonts w:ascii="Arial" w:hAnsi="Arial" w:cs="Arial"/>
                <w:sz w:val="18"/>
                <w:szCs w:val="18"/>
              </w:rPr>
              <w:t xml:space="preserve"> settlement basis</w:t>
            </w:r>
            <w:r>
              <w:rPr>
                <w:rFonts w:ascii="Arial" w:hAnsi="Arial" w:cs="Arial"/>
                <w:sz w:val="18"/>
                <w:szCs w:val="18"/>
              </w:rPr>
              <w:t xml:space="preserve">. </w:t>
            </w:r>
          </w:p>
        </w:tc>
        <w:tc>
          <w:tcPr>
            <w:tcW w:w="2700" w:type="dxa"/>
          </w:tcPr>
          <w:p w:rsidR="00EB03BF" w:rsidRPr="006F1AB3" w:rsidRDefault="00EB03BF" w:rsidP="00EB03BF">
            <w:pPr>
              <w:rPr>
                <w:rFonts w:ascii="Arial" w:hAnsi="Arial" w:cs="Arial"/>
                <w:sz w:val="18"/>
                <w:szCs w:val="18"/>
              </w:rPr>
            </w:pPr>
            <w:r>
              <w:rPr>
                <w:rFonts w:ascii="Arial" w:hAnsi="Arial" w:cs="Arial"/>
                <w:sz w:val="18"/>
                <w:szCs w:val="18"/>
              </w:rPr>
              <w:t>All index-eligible bonds are priced on a daily basis by Bloomberg’s evaluated pricing service, BVAL. Bonds are priced at 4:00 pm (US, EST) on the bid side using T+1 calendar day settlement basis.</w:t>
            </w:r>
          </w:p>
        </w:tc>
        <w:tc>
          <w:tcPr>
            <w:tcW w:w="2880" w:type="dxa"/>
          </w:tcPr>
          <w:p w:rsidR="00EB03BF" w:rsidRDefault="00EB03BF" w:rsidP="00EB03BF">
            <w:pPr>
              <w:rPr>
                <w:rFonts w:ascii="Arial" w:hAnsi="Arial" w:cs="Arial"/>
                <w:sz w:val="18"/>
                <w:szCs w:val="18"/>
              </w:rPr>
            </w:pPr>
            <w:r>
              <w:rPr>
                <w:rFonts w:ascii="Arial" w:hAnsi="Arial" w:cs="Arial"/>
                <w:sz w:val="18"/>
                <w:szCs w:val="18"/>
              </w:rPr>
              <w:t xml:space="preserve">All bonds are priced daily from </w:t>
            </w:r>
            <w:r w:rsidR="00C87E68">
              <w:rPr>
                <w:rFonts w:ascii="Arial" w:hAnsi="Arial" w:cs="Arial"/>
                <w:sz w:val="18"/>
                <w:szCs w:val="18"/>
              </w:rPr>
              <w:t xml:space="preserve">an aggregate of </w:t>
            </w:r>
            <w:r w:rsidR="00D61F11">
              <w:rPr>
                <w:rFonts w:ascii="Arial" w:hAnsi="Arial" w:cs="Arial"/>
                <w:sz w:val="18"/>
                <w:szCs w:val="18"/>
              </w:rPr>
              <w:t xml:space="preserve">US and European broker dealer </w:t>
            </w:r>
            <w:r w:rsidR="00C87E68">
              <w:rPr>
                <w:rFonts w:ascii="Arial" w:hAnsi="Arial" w:cs="Arial"/>
                <w:sz w:val="18"/>
                <w:szCs w:val="18"/>
              </w:rPr>
              <w:t>Pr</w:t>
            </w:r>
            <w:r w:rsidR="00D61F11">
              <w:rPr>
                <w:rFonts w:ascii="Arial" w:hAnsi="Arial" w:cs="Arial"/>
                <w:sz w:val="18"/>
                <w:szCs w:val="18"/>
              </w:rPr>
              <w:t>i</w:t>
            </w:r>
            <w:r w:rsidR="00C87E68">
              <w:rPr>
                <w:rFonts w:ascii="Arial" w:hAnsi="Arial" w:cs="Arial"/>
                <w:sz w:val="18"/>
                <w:szCs w:val="18"/>
              </w:rPr>
              <w:t xml:space="preserve">cing Sources. Bonds are priced </w:t>
            </w:r>
            <w:r>
              <w:rPr>
                <w:rFonts w:ascii="Arial" w:hAnsi="Arial" w:cs="Arial"/>
                <w:sz w:val="18"/>
                <w:szCs w:val="18"/>
              </w:rPr>
              <w:t>at 4:00 pm (US, EST) on the bid side using T+0 settlement basis.</w:t>
            </w:r>
          </w:p>
          <w:p w:rsidR="00EB03BF" w:rsidRPr="006F1AB3" w:rsidRDefault="00EB03BF" w:rsidP="00EB03BF">
            <w:pPr>
              <w:rPr>
                <w:rFonts w:ascii="Arial" w:hAnsi="Arial" w:cs="Arial"/>
                <w:sz w:val="18"/>
                <w:szCs w:val="18"/>
              </w:rPr>
            </w:pPr>
          </w:p>
        </w:tc>
        <w:tc>
          <w:tcPr>
            <w:tcW w:w="2857" w:type="dxa"/>
          </w:tcPr>
          <w:p w:rsidR="00EB03BF" w:rsidRPr="006F1AB3" w:rsidRDefault="00EB03BF" w:rsidP="00EB03BF">
            <w:pPr>
              <w:rPr>
                <w:rFonts w:ascii="Arial" w:hAnsi="Arial" w:cs="Arial"/>
                <w:sz w:val="18"/>
                <w:szCs w:val="18"/>
              </w:rPr>
            </w:pPr>
            <w:r>
              <w:rPr>
                <w:rFonts w:ascii="Arial" w:hAnsi="Arial" w:cs="Arial"/>
                <w:sz w:val="18"/>
                <w:szCs w:val="18"/>
              </w:rPr>
              <w:t>All bonds are priced daily at 4:00 pm (US, EST). Prices for US$ denominated bonds are provided by FT Interactive Data and PricingDirect</w:t>
            </w:r>
            <w:bookmarkStart w:id="3" w:name="_GoBack"/>
            <w:bookmarkEnd w:id="3"/>
            <w:r>
              <w:rPr>
                <w:rFonts w:ascii="Arial" w:hAnsi="Arial" w:cs="Arial"/>
                <w:sz w:val="18"/>
                <w:szCs w:val="18"/>
              </w:rPr>
              <w:t xml:space="preserve"> for bonds who are not priced by Interactive Data.</w:t>
            </w:r>
          </w:p>
        </w:tc>
      </w:tr>
      <w:tr w:rsidR="00EB03BF" w:rsidTr="00DE399B">
        <w:trPr>
          <w:trHeight w:val="5498"/>
        </w:trPr>
        <w:tc>
          <w:tcPr>
            <w:tcW w:w="1998" w:type="dxa"/>
          </w:tcPr>
          <w:p w:rsidR="00EB03BF" w:rsidRDefault="00EB03BF" w:rsidP="00EB03BF">
            <w:pPr>
              <w:rPr>
                <w:color w:val="FF0000"/>
              </w:rPr>
            </w:pPr>
            <w:r>
              <w:rPr>
                <w:color w:val="FF0000"/>
              </w:rPr>
              <w:t>Index Rebalancing</w:t>
            </w:r>
          </w:p>
        </w:tc>
        <w:tc>
          <w:tcPr>
            <w:tcW w:w="2790" w:type="dxa"/>
          </w:tcPr>
          <w:p w:rsidR="00EB03BF" w:rsidRDefault="00EB03BF" w:rsidP="00EB03BF">
            <w:pPr>
              <w:rPr>
                <w:rFonts w:ascii="Arial" w:hAnsi="Arial" w:cs="Arial"/>
                <w:sz w:val="18"/>
                <w:szCs w:val="18"/>
              </w:rPr>
            </w:pPr>
            <w:r w:rsidRPr="000E5CC1">
              <w:rPr>
                <w:rFonts w:ascii="Arial" w:hAnsi="Arial" w:cs="Arial"/>
                <w:sz w:val="18"/>
                <w:szCs w:val="18"/>
              </w:rPr>
              <w:t>Qualifying bonds are selected on the “lock-out” date (three business days prior to the last business day of the month)</w:t>
            </w:r>
            <w:r>
              <w:rPr>
                <w:rFonts w:ascii="Arial" w:hAnsi="Arial" w:cs="Arial"/>
                <w:sz w:val="18"/>
                <w:szCs w:val="18"/>
              </w:rPr>
              <w:t xml:space="preserve">. </w:t>
            </w:r>
            <w:r w:rsidRPr="000E5CC1">
              <w:rPr>
                <w:rFonts w:ascii="Arial" w:hAnsi="Arial" w:cs="Arial"/>
                <w:sz w:val="18"/>
                <w:szCs w:val="18"/>
              </w:rPr>
              <w:t>Bonds issued/auctioned on or before the lock-out date and that settle on or before calendar month end are included</w:t>
            </w:r>
            <w:r>
              <w:rPr>
                <w:rFonts w:ascii="Arial" w:hAnsi="Arial" w:cs="Arial"/>
                <w:sz w:val="18"/>
                <w:szCs w:val="18"/>
              </w:rPr>
              <w:t xml:space="preserve">. </w:t>
            </w:r>
            <w:r w:rsidRPr="000E5CC1">
              <w:rPr>
                <w:rFonts w:ascii="Arial" w:hAnsi="Arial" w:cs="Arial"/>
                <w:sz w:val="18"/>
                <w:szCs w:val="18"/>
              </w:rPr>
              <w:t>Calls are reflected at the u</w:t>
            </w:r>
            <w:r>
              <w:rPr>
                <w:rFonts w:ascii="Arial" w:hAnsi="Arial" w:cs="Arial"/>
                <w:sz w:val="18"/>
                <w:szCs w:val="18"/>
              </w:rPr>
              <w:t xml:space="preserve">pcoming rebalancing if they are announced on or before the </w:t>
            </w:r>
            <w:r w:rsidRPr="000E5CC1">
              <w:rPr>
                <w:rFonts w:ascii="Arial" w:hAnsi="Arial" w:cs="Arial"/>
                <w:sz w:val="18"/>
                <w:szCs w:val="18"/>
              </w:rPr>
              <w:t>lock-out date</w:t>
            </w:r>
            <w:r>
              <w:rPr>
                <w:rFonts w:ascii="Arial" w:hAnsi="Arial" w:cs="Arial"/>
                <w:sz w:val="18"/>
                <w:szCs w:val="18"/>
              </w:rPr>
              <w:t xml:space="preserve">. </w:t>
            </w:r>
            <w:r w:rsidRPr="000E5CC1">
              <w:rPr>
                <w:rFonts w:ascii="Arial" w:hAnsi="Arial" w:cs="Arial"/>
                <w:sz w:val="18"/>
                <w:szCs w:val="18"/>
              </w:rPr>
              <w:t>Increases (taps) to existing securities that are issued or auctioned on or before the rebalancing lock-out date are included</w:t>
            </w:r>
            <w:r>
              <w:rPr>
                <w:rFonts w:ascii="Arial" w:hAnsi="Arial" w:cs="Arial"/>
                <w:sz w:val="18"/>
                <w:szCs w:val="18"/>
              </w:rPr>
              <w:t xml:space="preserve">. </w:t>
            </w:r>
            <w:r w:rsidRPr="000E5CC1">
              <w:rPr>
                <w:rFonts w:ascii="Arial" w:hAnsi="Arial" w:cs="Arial"/>
                <w:sz w:val="18"/>
                <w:szCs w:val="18"/>
              </w:rPr>
              <w:t>Repurchases that occur on or before the lock-out date are reflected at the upcoming rebalancing</w:t>
            </w:r>
            <w:r>
              <w:rPr>
                <w:rFonts w:ascii="Arial" w:hAnsi="Arial" w:cs="Arial"/>
                <w:sz w:val="18"/>
                <w:szCs w:val="18"/>
              </w:rPr>
              <w:t xml:space="preserve">. </w:t>
            </w:r>
            <w:r w:rsidRPr="000E5CC1">
              <w:rPr>
                <w:rFonts w:ascii="Arial" w:hAnsi="Arial" w:cs="Arial"/>
                <w:sz w:val="18"/>
                <w:szCs w:val="18"/>
              </w:rPr>
              <w:t>Tenders are reflected at the upcoming rebalancing if the results are announced on or before the lock-out date</w:t>
            </w:r>
            <w:r>
              <w:rPr>
                <w:rFonts w:ascii="Arial" w:hAnsi="Arial" w:cs="Arial"/>
                <w:sz w:val="18"/>
                <w:szCs w:val="18"/>
              </w:rPr>
              <w:t xml:space="preserve">. </w:t>
            </w:r>
            <w:r w:rsidRPr="000E5CC1">
              <w:rPr>
                <w:rFonts w:ascii="Arial" w:hAnsi="Arial" w:cs="Arial"/>
                <w:sz w:val="18"/>
                <w:szCs w:val="18"/>
              </w:rPr>
              <w:t>Rating changes occurring on or before lock-out are included at the upcoming rebalancing, while those occurring after that date wait until the following rebalancing</w:t>
            </w:r>
            <w:r>
              <w:rPr>
                <w:rFonts w:ascii="Arial" w:hAnsi="Arial" w:cs="Arial"/>
                <w:sz w:val="18"/>
                <w:szCs w:val="18"/>
              </w:rPr>
              <w:t xml:space="preserve">. </w:t>
            </w:r>
            <w:r w:rsidRPr="000E5CC1">
              <w:rPr>
                <w:rFonts w:ascii="Arial" w:hAnsi="Arial" w:cs="Arial"/>
                <w:sz w:val="18"/>
                <w:szCs w:val="18"/>
              </w:rPr>
              <w:t>The rebalancing occurs on the last calendar day of the month</w:t>
            </w:r>
            <w:r>
              <w:rPr>
                <w:rFonts w:ascii="Arial" w:hAnsi="Arial" w:cs="Arial"/>
                <w:sz w:val="18"/>
                <w:szCs w:val="18"/>
              </w:rPr>
              <w:t>.</w:t>
            </w:r>
          </w:p>
          <w:p w:rsidR="00EB03BF" w:rsidRDefault="00EB03BF" w:rsidP="00EB03BF">
            <w:pPr>
              <w:rPr>
                <w:rFonts w:ascii="Arial" w:hAnsi="Arial" w:cs="Arial"/>
                <w:sz w:val="18"/>
                <w:szCs w:val="18"/>
              </w:rPr>
            </w:pPr>
          </w:p>
        </w:tc>
        <w:tc>
          <w:tcPr>
            <w:tcW w:w="2700" w:type="dxa"/>
          </w:tcPr>
          <w:p w:rsidR="00EB03BF" w:rsidRDefault="00EB03BF" w:rsidP="00EB03BF">
            <w:pPr>
              <w:rPr>
                <w:rFonts w:ascii="Arial" w:hAnsi="Arial" w:cs="Arial"/>
                <w:sz w:val="18"/>
                <w:szCs w:val="18"/>
              </w:rPr>
            </w:pPr>
            <w:r>
              <w:rPr>
                <w:rFonts w:ascii="Arial" w:hAnsi="Arial" w:cs="Arial"/>
                <w:sz w:val="18"/>
                <w:szCs w:val="18"/>
              </w:rPr>
              <w:t>During the month, indicative changes to securities (credit rating change, sector reclassification, amount outstanding, corporate actions, and ticker changes) are reflected daily in the Projected (daily index universe reflecting issues that move in or out of the index) and Returns (fixed set of bonds that remain in the index for the entire month) universe of the index. These changes may cause bonds to enter or fall out of the Projected universe of the index on a daily basis, but will affect the composition of the Returns universe at month-end only, when the index is next rebalanced.</w:t>
            </w:r>
          </w:p>
          <w:p w:rsidR="00EB03BF" w:rsidRDefault="00EB03BF" w:rsidP="00EB03BF">
            <w:pPr>
              <w:rPr>
                <w:rFonts w:ascii="Arial" w:hAnsi="Arial" w:cs="Arial"/>
                <w:sz w:val="18"/>
                <w:szCs w:val="18"/>
              </w:rPr>
            </w:pPr>
          </w:p>
          <w:p w:rsidR="00EB03BF" w:rsidRDefault="00EB03BF" w:rsidP="00EB03BF">
            <w:pPr>
              <w:rPr>
                <w:rFonts w:ascii="Arial" w:hAnsi="Arial" w:cs="Arial"/>
                <w:sz w:val="18"/>
                <w:szCs w:val="18"/>
              </w:rPr>
            </w:pPr>
            <w:r>
              <w:rPr>
                <w:rFonts w:ascii="Arial" w:hAnsi="Arial" w:cs="Arial"/>
                <w:sz w:val="18"/>
                <w:szCs w:val="18"/>
              </w:rPr>
              <w:t>Qualifying securities issued, but not necessarily settled on or before the month-end rebalancing date, qualify for inclusion in the following month’s index if the required security reference information and pricing are readily available.</w:t>
            </w:r>
          </w:p>
        </w:tc>
        <w:tc>
          <w:tcPr>
            <w:tcW w:w="2880" w:type="dxa"/>
          </w:tcPr>
          <w:p w:rsidR="00EB03BF" w:rsidRDefault="00EB03BF" w:rsidP="00EB03BF">
            <w:pPr>
              <w:rPr>
                <w:rFonts w:ascii="Arial" w:hAnsi="Arial" w:cs="Arial"/>
                <w:sz w:val="18"/>
                <w:szCs w:val="18"/>
              </w:rPr>
            </w:pPr>
            <w:r w:rsidRPr="00506097">
              <w:rPr>
                <w:rFonts w:ascii="Arial" w:hAnsi="Arial" w:cs="Arial"/>
                <w:sz w:val="18"/>
                <w:szCs w:val="18"/>
              </w:rPr>
              <w:t xml:space="preserve">The index is rebalanced </w:t>
            </w:r>
            <w:r w:rsidR="00D667D8">
              <w:rPr>
                <w:rFonts w:ascii="Arial" w:hAnsi="Arial" w:cs="Arial"/>
                <w:sz w:val="18"/>
                <w:szCs w:val="18"/>
              </w:rPr>
              <w:t xml:space="preserve">every 3 months beginning </w:t>
            </w:r>
            <w:r w:rsidR="00CF4FDE">
              <w:rPr>
                <w:rFonts w:ascii="Arial" w:hAnsi="Arial" w:cs="Arial"/>
                <w:sz w:val="18"/>
                <w:szCs w:val="18"/>
              </w:rPr>
              <w:t>on the last business day of each calendar year</w:t>
            </w:r>
            <w:r>
              <w:rPr>
                <w:rFonts w:ascii="Arial" w:hAnsi="Arial" w:cs="Arial"/>
                <w:sz w:val="18"/>
                <w:szCs w:val="18"/>
              </w:rPr>
              <w:t xml:space="preserve">. Any inclusion after the index </w:t>
            </w:r>
            <w:r w:rsidRPr="00506097">
              <w:rPr>
                <w:rFonts w:ascii="Arial" w:hAnsi="Arial" w:cs="Arial"/>
                <w:sz w:val="18"/>
                <w:szCs w:val="18"/>
              </w:rPr>
              <w:t>cut-off day (t-3) will not be considered in the re-balancing process, b</w:t>
            </w:r>
            <w:r>
              <w:rPr>
                <w:rFonts w:ascii="Arial" w:hAnsi="Arial" w:cs="Arial"/>
                <w:sz w:val="18"/>
                <w:szCs w:val="18"/>
              </w:rPr>
              <w:t xml:space="preserve">ut will become effective at the </w:t>
            </w:r>
            <w:r w:rsidRPr="00506097">
              <w:rPr>
                <w:rFonts w:ascii="Arial" w:hAnsi="Arial" w:cs="Arial"/>
                <w:sz w:val="18"/>
                <w:szCs w:val="18"/>
              </w:rPr>
              <w:t xml:space="preserve">end of the following </w:t>
            </w:r>
            <w:r w:rsidR="00CF4FDE">
              <w:rPr>
                <w:rFonts w:ascii="Arial" w:hAnsi="Arial" w:cs="Arial"/>
                <w:sz w:val="18"/>
                <w:szCs w:val="18"/>
              </w:rPr>
              <w:t xml:space="preserve">3 </w:t>
            </w:r>
            <w:r w:rsidRPr="00506097">
              <w:rPr>
                <w:rFonts w:ascii="Arial" w:hAnsi="Arial" w:cs="Arial"/>
                <w:sz w:val="18"/>
                <w:szCs w:val="18"/>
              </w:rPr>
              <w:t>month</w:t>
            </w:r>
            <w:r w:rsidR="00CF4FDE">
              <w:rPr>
                <w:rFonts w:ascii="Arial" w:hAnsi="Arial" w:cs="Arial"/>
                <w:sz w:val="18"/>
                <w:szCs w:val="18"/>
              </w:rPr>
              <w:t>s</w:t>
            </w:r>
            <w:r w:rsidRPr="00506097">
              <w:rPr>
                <w:rFonts w:ascii="Arial" w:hAnsi="Arial" w:cs="Arial"/>
                <w:sz w:val="18"/>
                <w:szCs w:val="18"/>
              </w:rPr>
              <w:t>. New bonds issued are taken into accoun</w:t>
            </w:r>
            <w:r>
              <w:rPr>
                <w:rFonts w:ascii="Arial" w:hAnsi="Arial" w:cs="Arial"/>
                <w:sz w:val="18"/>
                <w:szCs w:val="18"/>
              </w:rPr>
              <w:t xml:space="preserve">t if they are publicly known to </w:t>
            </w:r>
            <w:r w:rsidRPr="00506097">
              <w:rPr>
                <w:rFonts w:ascii="Arial" w:hAnsi="Arial" w:cs="Arial"/>
                <w:sz w:val="18"/>
                <w:szCs w:val="18"/>
              </w:rPr>
              <w:t>settle until the last calendar day of the month, inclusive, and if their ra</w:t>
            </w:r>
            <w:r>
              <w:rPr>
                <w:rFonts w:ascii="Arial" w:hAnsi="Arial" w:cs="Arial"/>
                <w:sz w:val="18"/>
                <w:szCs w:val="18"/>
              </w:rPr>
              <w:t xml:space="preserve">ting and amount outstanding has </w:t>
            </w:r>
            <w:r w:rsidRPr="00506097">
              <w:rPr>
                <w:rFonts w:ascii="Arial" w:hAnsi="Arial" w:cs="Arial"/>
                <w:sz w:val="18"/>
                <w:szCs w:val="18"/>
              </w:rPr>
              <w:t xml:space="preserve">become known at least three trading days before the end of </w:t>
            </w:r>
            <w:r w:rsidR="00CF4FDE">
              <w:rPr>
                <w:rFonts w:ascii="Arial" w:hAnsi="Arial" w:cs="Arial"/>
                <w:sz w:val="18"/>
                <w:szCs w:val="18"/>
              </w:rPr>
              <w:t>each lock out period</w:t>
            </w:r>
            <w:r w:rsidRPr="00506097">
              <w:rPr>
                <w:rFonts w:ascii="Arial" w:hAnsi="Arial" w:cs="Arial"/>
                <w:sz w:val="18"/>
                <w:szCs w:val="18"/>
              </w:rPr>
              <w:t>.</w:t>
            </w:r>
          </w:p>
          <w:p w:rsidR="00EB03BF" w:rsidRDefault="00EB03BF" w:rsidP="00EB03BF">
            <w:pPr>
              <w:rPr>
                <w:rFonts w:ascii="Arial" w:hAnsi="Arial" w:cs="Arial"/>
                <w:sz w:val="18"/>
                <w:szCs w:val="18"/>
              </w:rPr>
            </w:pPr>
          </w:p>
          <w:p w:rsidR="00EB03BF" w:rsidRDefault="00EB03BF" w:rsidP="00EB03BF">
            <w:pPr>
              <w:rPr>
                <w:rFonts w:ascii="Arial" w:hAnsi="Arial" w:cs="Arial"/>
                <w:sz w:val="18"/>
                <w:szCs w:val="18"/>
              </w:rPr>
            </w:pPr>
            <w:r w:rsidRPr="00506097">
              <w:rPr>
                <w:rFonts w:ascii="Arial" w:hAnsi="Arial" w:cs="Arial"/>
                <w:b/>
                <w:sz w:val="18"/>
                <w:szCs w:val="18"/>
                <w:u w:val="single"/>
              </w:rPr>
              <w:t>Rebalancing Procedure</w:t>
            </w:r>
            <w:r>
              <w:rPr>
                <w:rFonts w:ascii="Arial" w:hAnsi="Arial" w:cs="Arial"/>
                <w:sz w:val="18"/>
                <w:szCs w:val="18"/>
              </w:rPr>
              <w:t>:</w:t>
            </w:r>
          </w:p>
          <w:p w:rsidR="00EB03BF" w:rsidRDefault="00EB03BF" w:rsidP="00EB03BF">
            <w:pPr>
              <w:rPr>
                <w:rFonts w:ascii="Arial" w:hAnsi="Arial" w:cs="Arial"/>
                <w:sz w:val="18"/>
                <w:szCs w:val="18"/>
              </w:rPr>
            </w:pPr>
          </w:p>
          <w:p w:rsidR="00EB03BF" w:rsidRDefault="00EB03BF" w:rsidP="00EB03BF">
            <w:pPr>
              <w:rPr>
                <w:rFonts w:ascii="Arial" w:hAnsi="Arial" w:cs="Arial"/>
                <w:sz w:val="18"/>
                <w:szCs w:val="18"/>
              </w:rPr>
            </w:pPr>
            <w:r>
              <w:rPr>
                <w:rFonts w:ascii="Arial" w:hAnsi="Arial" w:cs="Arial"/>
                <w:sz w:val="18"/>
                <w:szCs w:val="18"/>
              </w:rPr>
              <w:t>1)</w:t>
            </w:r>
            <w:r>
              <w:t xml:space="preserve"> </w:t>
            </w:r>
            <w:r w:rsidRPr="00506097">
              <w:rPr>
                <w:rFonts w:ascii="Arial" w:hAnsi="Arial" w:cs="Arial"/>
                <w:sz w:val="18"/>
                <w:szCs w:val="18"/>
              </w:rPr>
              <w:t>Bond ratings and amount outstanding are used as of the bond selection cut-off date</w:t>
            </w:r>
            <w:r>
              <w:rPr>
                <w:rFonts w:ascii="Arial" w:hAnsi="Arial" w:cs="Arial"/>
                <w:sz w:val="18"/>
                <w:szCs w:val="18"/>
              </w:rPr>
              <w:t xml:space="preserve">. </w:t>
            </w:r>
          </w:p>
          <w:p w:rsidR="00EB03BF" w:rsidRDefault="00EB03BF" w:rsidP="00EB03BF">
            <w:pPr>
              <w:rPr>
                <w:rFonts w:ascii="Arial" w:hAnsi="Arial" w:cs="Arial"/>
                <w:sz w:val="18"/>
                <w:szCs w:val="18"/>
              </w:rPr>
            </w:pPr>
            <w:r>
              <w:rPr>
                <w:rFonts w:ascii="Arial" w:hAnsi="Arial" w:cs="Arial"/>
                <w:sz w:val="18"/>
                <w:szCs w:val="18"/>
              </w:rPr>
              <w:t xml:space="preserve">2) </w:t>
            </w:r>
            <w:r w:rsidRPr="00506097">
              <w:rPr>
                <w:rFonts w:ascii="Arial" w:hAnsi="Arial" w:cs="Arial"/>
                <w:sz w:val="18"/>
                <w:szCs w:val="18"/>
              </w:rPr>
              <w:t>Maturity dates remain fixed for the life of the bond</w:t>
            </w:r>
            <w:r>
              <w:rPr>
                <w:rFonts w:ascii="Arial" w:hAnsi="Arial" w:cs="Arial"/>
                <w:sz w:val="18"/>
                <w:szCs w:val="18"/>
              </w:rPr>
              <w:t xml:space="preserve">. </w:t>
            </w:r>
          </w:p>
          <w:p w:rsidR="00EB03BF" w:rsidRDefault="00EB03BF" w:rsidP="00EB03BF">
            <w:pPr>
              <w:rPr>
                <w:rFonts w:ascii="Arial" w:hAnsi="Arial" w:cs="Arial"/>
                <w:sz w:val="18"/>
                <w:szCs w:val="18"/>
              </w:rPr>
            </w:pPr>
            <w:r>
              <w:rPr>
                <w:rFonts w:ascii="Arial" w:hAnsi="Arial" w:cs="Arial"/>
                <w:sz w:val="18"/>
                <w:szCs w:val="18"/>
              </w:rPr>
              <w:t xml:space="preserve">3) </w:t>
            </w:r>
            <w:r w:rsidRPr="00506097">
              <w:rPr>
                <w:rFonts w:ascii="Arial" w:hAnsi="Arial" w:cs="Arial"/>
                <w:sz w:val="18"/>
                <w:szCs w:val="18"/>
              </w:rPr>
              <w:t xml:space="preserve">Only bonds with a first settlement date on or before the rebalancing </w:t>
            </w:r>
            <w:r>
              <w:rPr>
                <w:rFonts w:ascii="Arial" w:hAnsi="Arial" w:cs="Arial"/>
                <w:sz w:val="18"/>
                <w:szCs w:val="18"/>
              </w:rPr>
              <w:t xml:space="preserve">date are included in the </w:t>
            </w:r>
            <w:r w:rsidRPr="00506097">
              <w:rPr>
                <w:rFonts w:ascii="Arial" w:hAnsi="Arial" w:cs="Arial"/>
                <w:sz w:val="18"/>
                <w:szCs w:val="18"/>
              </w:rPr>
              <w:t>selection process</w:t>
            </w:r>
            <w:r>
              <w:rPr>
                <w:rFonts w:ascii="Arial" w:hAnsi="Arial" w:cs="Arial"/>
                <w:sz w:val="18"/>
                <w:szCs w:val="18"/>
              </w:rPr>
              <w:t>.</w:t>
            </w:r>
          </w:p>
          <w:p w:rsidR="00EB03BF" w:rsidRPr="00506097" w:rsidRDefault="00EB03BF" w:rsidP="00EB03BF">
            <w:pPr>
              <w:rPr>
                <w:rFonts w:ascii="Arial" w:hAnsi="Arial" w:cs="Arial"/>
                <w:sz w:val="18"/>
                <w:szCs w:val="18"/>
              </w:rPr>
            </w:pPr>
          </w:p>
        </w:tc>
        <w:tc>
          <w:tcPr>
            <w:tcW w:w="2857" w:type="dxa"/>
          </w:tcPr>
          <w:p w:rsidR="00EB03BF" w:rsidRDefault="00EB03BF" w:rsidP="00EB03BF">
            <w:pPr>
              <w:rPr>
                <w:rFonts w:ascii="Arial" w:hAnsi="Arial" w:cs="Arial"/>
                <w:sz w:val="18"/>
                <w:szCs w:val="18"/>
              </w:rPr>
            </w:pPr>
            <w:r>
              <w:rPr>
                <w:rFonts w:ascii="Arial" w:hAnsi="Arial" w:cs="Arial"/>
                <w:sz w:val="18"/>
                <w:szCs w:val="18"/>
              </w:rPr>
              <w:t>The index is rebalanced daily with bonds being added or removed as follows:</w:t>
            </w:r>
          </w:p>
          <w:p w:rsidR="00EB03BF" w:rsidRDefault="00EB03BF" w:rsidP="00EB03BF">
            <w:pPr>
              <w:rPr>
                <w:rFonts w:ascii="Arial" w:hAnsi="Arial" w:cs="Arial"/>
                <w:sz w:val="18"/>
                <w:szCs w:val="18"/>
              </w:rPr>
            </w:pPr>
          </w:p>
          <w:p w:rsidR="00EB03BF" w:rsidRPr="00DE399B" w:rsidRDefault="00EB03BF" w:rsidP="00EB03BF">
            <w:pPr>
              <w:rPr>
                <w:rFonts w:ascii="Arial" w:hAnsi="Arial" w:cs="Arial"/>
                <w:sz w:val="18"/>
                <w:szCs w:val="18"/>
              </w:rPr>
            </w:pPr>
            <w:r w:rsidRPr="00DE399B">
              <w:rPr>
                <w:rFonts w:ascii="Arial" w:hAnsi="Arial" w:cs="Arial"/>
                <w:b/>
                <w:sz w:val="18"/>
                <w:szCs w:val="18"/>
                <w:u w:val="single"/>
              </w:rPr>
              <w:t>Removals</w:t>
            </w:r>
            <w:r w:rsidRPr="00DE399B">
              <w:rPr>
                <w:rFonts w:ascii="Arial" w:hAnsi="Arial" w:cs="Arial"/>
                <w:sz w:val="18"/>
                <w:szCs w:val="18"/>
              </w:rPr>
              <w:t xml:space="preserve">: 1) </w:t>
            </w:r>
            <w:r>
              <w:rPr>
                <w:rFonts w:ascii="Arial" w:hAnsi="Arial" w:cs="Arial"/>
                <w:sz w:val="18"/>
                <w:szCs w:val="18"/>
              </w:rPr>
              <w:t>A</w:t>
            </w:r>
            <w:r w:rsidRPr="00DE399B">
              <w:rPr>
                <w:rFonts w:ascii="Arial" w:hAnsi="Arial" w:cs="Arial"/>
                <w:sz w:val="18"/>
                <w:szCs w:val="18"/>
              </w:rPr>
              <w:t xml:space="preserve"> bond is called, tendered, or repurchased in the open market, either in</w:t>
            </w:r>
          </w:p>
          <w:p w:rsidR="00EB03BF" w:rsidRDefault="00EB03BF" w:rsidP="00EB03BF">
            <w:pPr>
              <w:rPr>
                <w:rFonts w:ascii="Arial" w:hAnsi="Arial" w:cs="Arial"/>
                <w:sz w:val="18"/>
                <w:szCs w:val="18"/>
              </w:rPr>
            </w:pPr>
            <w:r w:rsidRPr="00DE399B">
              <w:rPr>
                <w:rFonts w:ascii="Arial" w:hAnsi="Arial" w:cs="Arial"/>
                <w:sz w:val="18"/>
                <w:szCs w:val="18"/>
              </w:rPr>
              <w:t>full or when a partial reduction lowers the bond’s p</w:t>
            </w:r>
            <w:r>
              <w:rPr>
                <w:rFonts w:ascii="Arial" w:hAnsi="Arial" w:cs="Arial"/>
                <w:sz w:val="18"/>
                <w:szCs w:val="18"/>
              </w:rPr>
              <w:t xml:space="preserve">ar amount outstanding below $50 </w:t>
            </w:r>
            <w:r w:rsidRPr="00DE399B">
              <w:rPr>
                <w:rFonts w:ascii="Arial" w:hAnsi="Arial" w:cs="Arial"/>
                <w:sz w:val="18"/>
                <w:szCs w:val="18"/>
              </w:rPr>
              <w:t xml:space="preserve">million; </w:t>
            </w:r>
          </w:p>
          <w:p w:rsidR="00EB03BF" w:rsidRDefault="00EB03BF" w:rsidP="00EB03BF">
            <w:pPr>
              <w:rPr>
                <w:rFonts w:ascii="Arial" w:hAnsi="Arial" w:cs="Arial"/>
                <w:sz w:val="18"/>
                <w:szCs w:val="18"/>
              </w:rPr>
            </w:pPr>
            <w:r>
              <w:rPr>
                <w:rFonts w:ascii="Arial" w:hAnsi="Arial" w:cs="Arial"/>
                <w:sz w:val="18"/>
                <w:szCs w:val="18"/>
              </w:rPr>
              <w:t xml:space="preserve">2) A bond is upgraded to </w:t>
            </w:r>
            <w:r w:rsidRPr="00DE399B">
              <w:rPr>
                <w:rFonts w:ascii="Arial" w:hAnsi="Arial" w:cs="Arial"/>
                <w:sz w:val="18"/>
                <w:szCs w:val="18"/>
              </w:rPr>
              <w:t xml:space="preserve">investment grade; </w:t>
            </w:r>
          </w:p>
          <w:p w:rsidR="00EB03BF" w:rsidRDefault="00EB03BF" w:rsidP="00EB03BF">
            <w:pPr>
              <w:rPr>
                <w:rFonts w:ascii="Arial" w:hAnsi="Arial" w:cs="Arial"/>
                <w:sz w:val="18"/>
                <w:szCs w:val="18"/>
              </w:rPr>
            </w:pPr>
            <w:r w:rsidRPr="00DE399B">
              <w:rPr>
                <w:rFonts w:ascii="Arial" w:hAnsi="Arial" w:cs="Arial"/>
                <w:sz w:val="18"/>
                <w:szCs w:val="18"/>
              </w:rPr>
              <w:t xml:space="preserve">3) </w:t>
            </w:r>
            <w:r>
              <w:rPr>
                <w:rFonts w:ascii="Arial" w:hAnsi="Arial" w:cs="Arial"/>
                <w:sz w:val="18"/>
                <w:szCs w:val="18"/>
              </w:rPr>
              <w:t>T</w:t>
            </w:r>
            <w:r w:rsidRPr="00DE399B">
              <w:rPr>
                <w:rFonts w:ascii="Arial" w:hAnsi="Arial" w:cs="Arial"/>
                <w:sz w:val="18"/>
                <w:szCs w:val="18"/>
              </w:rPr>
              <w:t>he ti</w:t>
            </w:r>
            <w:r>
              <w:rPr>
                <w:rFonts w:ascii="Arial" w:hAnsi="Arial" w:cs="Arial"/>
                <w:sz w:val="18"/>
                <w:szCs w:val="18"/>
              </w:rPr>
              <w:t xml:space="preserve">me to maturity for a </w:t>
            </w:r>
            <w:r w:rsidRPr="00DE399B">
              <w:rPr>
                <w:rFonts w:ascii="Arial" w:hAnsi="Arial" w:cs="Arial"/>
                <w:sz w:val="18"/>
                <w:szCs w:val="18"/>
              </w:rPr>
              <w:t xml:space="preserve">bond declines below one year; </w:t>
            </w:r>
          </w:p>
          <w:p w:rsidR="00EB03BF" w:rsidRDefault="00EB03BF" w:rsidP="00EB03BF">
            <w:pPr>
              <w:rPr>
                <w:rFonts w:ascii="Arial" w:hAnsi="Arial" w:cs="Arial"/>
                <w:sz w:val="18"/>
                <w:szCs w:val="18"/>
              </w:rPr>
            </w:pPr>
            <w:r w:rsidRPr="00DE399B">
              <w:rPr>
                <w:rFonts w:ascii="Arial" w:hAnsi="Arial" w:cs="Arial"/>
                <w:sz w:val="18"/>
                <w:szCs w:val="18"/>
              </w:rPr>
              <w:t xml:space="preserve">4) </w:t>
            </w:r>
            <w:r>
              <w:rPr>
                <w:rFonts w:ascii="Arial" w:hAnsi="Arial" w:cs="Arial"/>
                <w:sz w:val="18"/>
                <w:szCs w:val="18"/>
              </w:rPr>
              <w:t>P</w:t>
            </w:r>
            <w:r w:rsidRPr="00DE399B">
              <w:rPr>
                <w:rFonts w:ascii="Arial" w:hAnsi="Arial" w:cs="Arial"/>
                <w:sz w:val="18"/>
                <w:szCs w:val="18"/>
              </w:rPr>
              <w:t xml:space="preserve">ricing no longer becomes available; </w:t>
            </w:r>
          </w:p>
          <w:p w:rsidR="00EB03BF" w:rsidRDefault="00EB03BF" w:rsidP="00EB03BF">
            <w:pPr>
              <w:rPr>
                <w:rFonts w:ascii="Arial" w:hAnsi="Arial" w:cs="Arial"/>
                <w:sz w:val="18"/>
                <w:szCs w:val="18"/>
              </w:rPr>
            </w:pPr>
            <w:r>
              <w:rPr>
                <w:rFonts w:ascii="Arial" w:hAnsi="Arial" w:cs="Arial"/>
                <w:sz w:val="18"/>
                <w:szCs w:val="18"/>
              </w:rPr>
              <w:t xml:space="preserve">5) A new </w:t>
            </w:r>
            <w:r w:rsidRPr="00DE399B">
              <w:rPr>
                <w:rFonts w:ascii="Arial" w:hAnsi="Arial" w:cs="Arial"/>
                <w:sz w:val="18"/>
                <w:szCs w:val="18"/>
              </w:rPr>
              <w:t>issue comes to</w:t>
            </w:r>
            <w:r>
              <w:rPr>
                <w:rFonts w:ascii="Arial" w:hAnsi="Arial" w:cs="Arial"/>
                <w:sz w:val="18"/>
                <w:szCs w:val="18"/>
              </w:rPr>
              <w:t xml:space="preserve"> market that, based on the bond selection process previously described, replaces an existing i</w:t>
            </w:r>
            <w:r w:rsidRPr="00DE399B">
              <w:rPr>
                <w:rFonts w:ascii="Arial" w:hAnsi="Arial" w:cs="Arial"/>
                <w:sz w:val="18"/>
                <w:szCs w:val="18"/>
              </w:rPr>
              <w:t>ssue.</w:t>
            </w:r>
          </w:p>
          <w:p w:rsidR="00EB03BF" w:rsidRDefault="00EB03BF" w:rsidP="00EB03BF">
            <w:pPr>
              <w:rPr>
                <w:rFonts w:ascii="Arial" w:hAnsi="Arial" w:cs="Arial"/>
                <w:sz w:val="18"/>
                <w:szCs w:val="18"/>
              </w:rPr>
            </w:pPr>
          </w:p>
          <w:p w:rsidR="00EB03BF" w:rsidRDefault="00EB03BF" w:rsidP="00EB03BF">
            <w:pPr>
              <w:rPr>
                <w:rFonts w:ascii="Arial" w:hAnsi="Arial" w:cs="Arial"/>
                <w:sz w:val="18"/>
                <w:szCs w:val="18"/>
              </w:rPr>
            </w:pPr>
            <w:r w:rsidRPr="00DE399B">
              <w:rPr>
                <w:rFonts w:ascii="Arial" w:hAnsi="Arial" w:cs="Arial"/>
                <w:b/>
                <w:sz w:val="18"/>
                <w:szCs w:val="18"/>
                <w:u w:val="single"/>
              </w:rPr>
              <w:t>Additions</w:t>
            </w:r>
            <w:r w:rsidRPr="00DE399B">
              <w:rPr>
                <w:rFonts w:ascii="Arial" w:hAnsi="Arial" w:cs="Arial"/>
                <w:sz w:val="18"/>
                <w:szCs w:val="18"/>
              </w:rPr>
              <w:t xml:space="preserve">: 1) </w:t>
            </w:r>
            <w:r>
              <w:rPr>
                <w:rFonts w:ascii="Arial" w:hAnsi="Arial" w:cs="Arial"/>
                <w:sz w:val="18"/>
                <w:szCs w:val="18"/>
              </w:rPr>
              <w:t>N</w:t>
            </w:r>
            <w:r w:rsidRPr="00DE399B">
              <w:rPr>
                <w:rFonts w:ascii="Arial" w:hAnsi="Arial" w:cs="Arial"/>
                <w:sz w:val="18"/>
                <w:szCs w:val="18"/>
              </w:rPr>
              <w:t>ew issues are added upon issuance, assuming they qualify given the</w:t>
            </w:r>
            <w:r>
              <w:rPr>
                <w:rFonts w:ascii="Arial" w:hAnsi="Arial" w:cs="Arial"/>
                <w:sz w:val="18"/>
                <w:szCs w:val="18"/>
              </w:rPr>
              <w:t xml:space="preserve"> </w:t>
            </w:r>
            <w:r w:rsidRPr="00DE399B">
              <w:rPr>
                <w:rFonts w:ascii="Arial" w:hAnsi="Arial" w:cs="Arial"/>
                <w:sz w:val="18"/>
                <w:szCs w:val="18"/>
              </w:rPr>
              <w:t xml:space="preserve">aforementioned bond selection process; </w:t>
            </w:r>
          </w:p>
          <w:p w:rsidR="00EB03BF" w:rsidRDefault="00EB03BF" w:rsidP="00EB03BF">
            <w:pPr>
              <w:rPr>
                <w:rFonts w:ascii="Arial" w:hAnsi="Arial" w:cs="Arial"/>
                <w:sz w:val="18"/>
                <w:szCs w:val="18"/>
              </w:rPr>
            </w:pPr>
            <w:r w:rsidRPr="00DE399B">
              <w:rPr>
                <w:rFonts w:ascii="Arial" w:hAnsi="Arial" w:cs="Arial"/>
                <w:sz w:val="18"/>
                <w:szCs w:val="18"/>
              </w:rPr>
              <w:t xml:space="preserve">2) </w:t>
            </w:r>
            <w:r>
              <w:rPr>
                <w:rFonts w:ascii="Arial" w:hAnsi="Arial" w:cs="Arial"/>
                <w:sz w:val="18"/>
                <w:szCs w:val="18"/>
              </w:rPr>
              <w:t>R</w:t>
            </w:r>
            <w:r w:rsidRPr="00DE399B">
              <w:rPr>
                <w:rFonts w:ascii="Arial" w:hAnsi="Arial" w:cs="Arial"/>
                <w:sz w:val="18"/>
                <w:szCs w:val="18"/>
              </w:rPr>
              <w:t>eplacem</w:t>
            </w:r>
            <w:r>
              <w:rPr>
                <w:rFonts w:ascii="Arial" w:hAnsi="Arial" w:cs="Arial"/>
                <w:sz w:val="18"/>
                <w:szCs w:val="18"/>
              </w:rPr>
              <w:t xml:space="preserve">ent issues will be added to the index </w:t>
            </w:r>
            <w:r w:rsidRPr="00DE399B">
              <w:rPr>
                <w:rFonts w:ascii="Arial" w:hAnsi="Arial" w:cs="Arial"/>
                <w:sz w:val="18"/>
                <w:szCs w:val="18"/>
              </w:rPr>
              <w:t xml:space="preserve">simultaneously with a </w:t>
            </w:r>
            <w:r>
              <w:rPr>
                <w:rFonts w:ascii="Arial" w:hAnsi="Arial" w:cs="Arial"/>
                <w:sz w:val="18"/>
                <w:szCs w:val="18"/>
              </w:rPr>
              <w:t xml:space="preserve">bond removal (in the event of a removal as described </w:t>
            </w:r>
            <w:r w:rsidRPr="00DE399B">
              <w:rPr>
                <w:rFonts w:ascii="Arial" w:hAnsi="Arial" w:cs="Arial"/>
                <w:sz w:val="18"/>
                <w:szCs w:val="18"/>
              </w:rPr>
              <w:t xml:space="preserve">above); </w:t>
            </w:r>
          </w:p>
          <w:p w:rsidR="00EB03BF" w:rsidRDefault="00EB03BF" w:rsidP="00EB03BF">
            <w:pPr>
              <w:rPr>
                <w:rFonts w:ascii="Arial" w:hAnsi="Arial" w:cs="Arial"/>
                <w:sz w:val="18"/>
                <w:szCs w:val="18"/>
              </w:rPr>
            </w:pPr>
            <w:r w:rsidRPr="00DE399B">
              <w:rPr>
                <w:rFonts w:ascii="Arial" w:hAnsi="Arial" w:cs="Arial"/>
                <w:sz w:val="18"/>
                <w:szCs w:val="18"/>
              </w:rPr>
              <w:t xml:space="preserve">3) </w:t>
            </w:r>
            <w:r>
              <w:rPr>
                <w:rFonts w:ascii="Arial" w:hAnsi="Arial" w:cs="Arial"/>
                <w:sz w:val="18"/>
                <w:szCs w:val="18"/>
              </w:rPr>
              <w:t>F</w:t>
            </w:r>
            <w:r w:rsidRPr="00DE399B">
              <w:rPr>
                <w:rFonts w:ascii="Arial" w:hAnsi="Arial" w:cs="Arial"/>
                <w:sz w:val="18"/>
                <w:szCs w:val="18"/>
              </w:rPr>
              <w:t>allen angels are added</w:t>
            </w:r>
            <w:r>
              <w:rPr>
                <w:rFonts w:ascii="Arial" w:hAnsi="Arial" w:cs="Arial"/>
                <w:sz w:val="18"/>
                <w:szCs w:val="18"/>
              </w:rPr>
              <w:t xml:space="preserve"> on the first business day of a </w:t>
            </w:r>
            <w:r w:rsidRPr="00DE399B">
              <w:rPr>
                <w:rFonts w:ascii="Arial" w:hAnsi="Arial" w:cs="Arial"/>
                <w:sz w:val="18"/>
                <w:szCs w:val="18"/>
              </w:rPr>
              <w:t>month, based</w:t>
            </w:r>
            <w:r>
              <w:rPr>
                <w:rFonts w:ascii="Arial" w:hAnsi="Arial" w:cs="Arial"/>
                <w:sz w:val="18"/>
                <w:szCs w:val="18"/>
              </w:rPr>
              <w:t xml:space="preserve"> on the </w:t>
            </w:r>
            <w:r w:rsidRPr="00DE399B">
              <w:rPr>
                <w:rFonts w:ascii="Arial" w:hAnsi="Arial" w:cs="Arial"/>
                <w:sz w:val="18"/>
                <w:szCs w:val="18"/>
              </w:rPr>
              <w:t>aforementioned fallen angel criteria.</w:t>
            </w:r>
          </w:p>
        </w:tc>
      </w:tr>
      <w:tr w:rsidR="00EB03BF" w:rsidTr="00F4279F">
        <w:trPr>
          <w:trHeight w:val="3410"/>
        </w:trPr>
        <w:tc>
          <w:tcPr>
            <w:tcW w:w="1998" w:type="dxa"/>
          </w:tcPr>
          <w:p w:rsidR="00EB03BF" w:rsidRDefault="00EB03BF" w:rsidP="00EB03BF">
            <w:pPr>
              <w:rPr>
                <w:color w:val="FF0000"/>
              </w:rPr>
            </w:pPr>
            <w:r>
              <w:rPr>
                <w:color w:val="FF0000"/>
              </w:rPr>
              <w:lastRenderedPageBreak/>
              <w:t>Treatment of Defaulted Issues</w:t>
            </w:r>
          </w:p>
        </w:tc>
        <w:tc>
          <w:tcPr>
            <w:tcW w:w="2790" w:type="dxa"/>
          </w:tcPr>
          <w:p w:rsidR="00EB03BF" w:rsidRDefault="00EB03BF" w:rsidP="00EB03BF">
            <w:pPr>
              <w:rPr>
                <w:rFonts w:ascii="Arial" w:hAnsi="Arial" w:cs="Arial"/>
                <w:sz w:val="18"/>
                <w:szCs w:val="18"/>
              </w:rPr>
            </w:pPr>
            <w:r w:rsidRPr="0057067B">
              <w:rPr>
                <w:rFonts w:ascii="Arial" w:hAnsi="Arial" w:cs="Arial"/>
                <w:sz w:val="18"/>
                <w:szCs w:val="18"/>
              </w:rPr>
              <w:t xml:space="preserve">Defaulted bonds are ineligible for </w:t>
            </w:r>
            <w:r>
              <w:rPr>
                <w:rFonts w:ascii="Arial" w:hAnsi="Arial" w:cs="Arial"/>
                <w:sz w:val="18"/>
                <w:szCs w:val="18"/>
              </w:rPr>
              <w:t xml:space="preserve">inclusion in </w:t>
            </w:r>
            <w:r w:rsidRPr="0057067B">
              <w:rPr>
                <w:rFonts w:ascii="Arial" w:hAnsi="Arial" w:cs="Arial"/>
                <w:sz w:val="18"/>
                <w:szCs w:val="18"/>
              </w:rPr>
              <w:t>the index</w:t>
            </w:r>
            <w:r>
              <w:rPr>
                <w:rFonts w:ascii="Arial" w:hAnsi="Arial" w:cs="Arial"/>
                <w:sz w:val="18"/>
                <w:szCs w:val="18"/>
              </w:rPr>
              <w:t>. Bonds that default intra-month are removed from index on the rebalancing date</w:t>
            </w:r>
            <w:r>
              <w:rPr>
                <w:rFonts w:ascii="Arial" w:hAnsi="Arial" w:cs="Arial"/>
                <w:sz w:val="18"/>
                <w:szCs w:val="18"/>
              </w:rPr>
              <w:t xml:space="preserve"> provided that this event occurs before the 3</w:t>
            </w:r>
            <w:r w:rsidRPr="00F4279F">
              <w:rPr>
                <w:rFonts w:ascii="Arial" w:hAnsi="Arial" w:cs="Arial"/>
                <w:sz w:val="18"/>
                <w:szCs w:val="18"/>
                <w:vertAlign w:val="superscript"/>
              </w:rPr>
              <w:t>rd</w:t>
            </w:r>
            <w:r>
              <w:rPr>
                <w:rFonts w:ascii="Arial" w:hAnsi="Arial" w:cs="Arial"/>
                <w:sz w:val="18"/>
                <w:szCs w:val="18"/>
              </w:rPr>
              <w:t xml:space="preserve"> business day before the last business day of the month</w:t>
            </w:r>
            <w:r>
              <w:rPr>
                <w:rFonts w:ascii="Arial" w:hAnsi="Arial" w:cs="Arial"/>
                <w:sz w:val="18"/>
                <w:szCs w:val="18"/>
              </w:rPr>
              <w:t>.</w:t>
            </w:r>
            <w:r>
              <w:rPr>
                <w:rFonts w:ascii="Arial" w:hAnsi="Arial" w:cs="Arial"/>
                <w:sz w:val="18"/>
                <w:szCs w:val="18"/>
              </w:rPr>
              <w:t xml:space="preserve"> Securities are considered in default based on their individual legal terms.</w:t>
            </w:r>
          </w:p>
          <w:p w:rsidR="00EB03BF" w:rsidRDefault="00EB03BF" w:rsidP="00EB03BF">
            <w:pPr>
              <w:rPr>
                <w:rFonts w:ascii="Arial" w:hAnsi="Arial" w:cs="Arial"/>
                <w:sz w:val="18"/>
                <w:szCs w:val="18"/>
              </w:rPr>
            </w:pPr>
          </w:p>
          <w:p w:rsidR="00EB03BF" w:rsidRDefault="00EB03BF" w:rsidP="00EB03BF">
            <w:pPr>
              <w:rPr>
                <w:rFonts w:ascii="Arial" w:hAnsi="Arial" w:cs="Arial"/>
                <w:sz w:val="18"/>
                <w:szCs w:val="18"/>
              </w:rPr>
            </w:pPr>
            <w:r w:rsidRPr="00F4279F">
              <w:rPr>
                <w:rFonts w:ascii="Arial" w:hAnsi="Arial" w:cs="Arial"/>
                <w:sz w:val="18"/>
                <w:szCs w:val="18"/>
              </w:rPr>
              <w:t>A rating of “D” by a major rating agency is not a consideration for default status</w:t>
            </w:r>
            <w:r>
              <w:rPr>
                <w:rFonts w:ascii="Arial" w:hAnsi="Arial" w:cs="Arial"/>
                <w:sz w:val="18"/>
                <w:szCs w:val="18"/>
              </w:rPr>
              <w:t>.</w:t>
            </w:r>
          </w:p>
        </w:tc>
        <w:tc>
          <w:tcPr>
            <w:tcW w:w="2700" w:type="dxa"/>
          </w:tcPr>
          <w:p w:rsidR="00EB03BF" w:rsidRDefault="00EB03BF" w:rsidP="00EB03BF">
            <w:pPr>
              <w:rPr>
                <w:rFonts w:ascii="Arial" w:hAnsi="Arial" w:cs="Arial"/>
                <w:sz w:val="18"/>
                <w:szCs w:val="18"/>
              </w:rPr>
            </w:pPr>
            <w:r w:rsidRPr="0057067B">
              <w:rPr>
                <w:rFonts w:ascii="Arial" w:hAnsi="Arial" w:cs="Arial"/>
                <w:sz w:val="18"/>
                <w:szCs w:val="18"/>
              </w:rPr>
              <w:t xml:space="preserve">Defaulted bonds are ineligible for </w:t>
            </w:r>
            <w:r>
              <w:rPr>
                <w:rFonts w:ascii="Arial" w:hAnsi="Arial" w:cs="Arial"/>
                <w:sz w:val="18"/>
                <w:szCs w:val="18"/>
              </w:rPr>
              <w:t xml:space="preserve">inclusion in </w:t>
            </w:r>
            <w:r w:rsidRPr="0057067B">
              <w:rPr>
                <w:rFonts w:ascii="Arial" w:hAnsi="Arial" w:cs="Arial"/>
                <w:sz w:val="18"/>
                <w:szCs w:val="18"/>
              </w:rPr>
              <w:t>the index</w:t>
            </w:r>
            <w:r>
              <w:rPr>
                <w:rFonts w:ascii="Arial" w:hAnsi="Arial" w:cs="Arial"/>
                <w:sz w:val="18"/>
                <w:szCs w:val="18"/>
              </w:rPr>
              <w:t>. Bonds that default intra-month are removed from index on the rebalancing date.</w:t>
            </w:r>
          </w:p>
        </w:tc>
        <w:tc>
          <w:tcPr>
            <w:tcW w:w="2880" w:type="dxa"/>
          </w:tcPr>
          <w:p w:rsidR="00EB03BF" w:rsidRDefault="00EB03BF" w:rsidP="00EB03BF">
            <w:pPr>
              <w:rPr>
                <w:rFonts w:ascii="Arial" w:hAnsi="Arial" w:cs="Arial"/>
                <w:sz w:val="18"/>
                <w:szCs w:val="18"/>
              </w:rPr>
            </w:pPr>
            <w:r w:rsidRPr="0057067B">
              <w:rPr>
                <w:rFonts w:ascii="Arial" w:hAnsi="Arial" w:cs="Arial"/>
                <w:sz w:val="18"/>
                <w:szCs w:val="18"/>
              </w:rPr>
              <w:t xml:space="preserve">Defaulted bonds are ineligible for </w:t>
            </w:r>
            <w:r>
              <w:rPr>
                <w:rFonts w:ascii="Arial" w:hAnsi="Arial" w:cs="Arial"/>
                <w:sz w:val="18"/>
                <w:szCs w:val="18"/>
              </w:rPr>
              <w:t xml:space="preserve">inclusion in the index. </w:t>
            </w:r>
            <w:r w:rsidRPr="0057067B">
              <w:rPr>
                <w:rFonts w:ascii="Arial" w:hAnsi="Arial" w:cs="Arial"/>
                <w:sz w:val="18"/>
                <w:szCs w:val="18"/>
              </w:rPr>
              <w:t>Bonds that are in default or</w:t>
            </w:r>
            <w:r>
              <w:rPr>
                <w:rFonts w:ascii="Arial" w:hAnsi="Arial" w:cs="Arial"/>
                <w:sz w:val="18"/>
                <w:szCs w:val="18"/>
              </w:rPr>
              <w:t xml:space="preserve"> trade flat of accrued interest are </w:t>
            </w:r>
            <w:r w:rsidRPr="0057067B">
              <w:rPr>
                <w:rFonts w:ascii="Arial" w:hAnsi="Arial" w:cs="Arial"/>
                <w:sz w:val="18"/>
                <w:szCs w:val="18"/>
              </w:rPr>
              <w:t>removed from the index at the first rebalancing following the default/start of trading flat of accrued.</w:t>
            </w:r>
          </w:p>
        </w:tc>
        <w:tc>
          <w:tcPr>
            <w:tcW w:w="2857" w:type="dxa"/>
          </w:tcPr>
          <w:p w:rsidR="00EB03BF" w:rsidRDefault="00EB03BF" w:rsidP="00EB03BF">
            <w:pPr>
              <w:rPr>
                <w:rFonts w:ascii="Arial" w:hAnsi="Arial" w:cs="Arial"/>
                <w:sz w:val="18"/>
                <w:szCs w:val="18"/>
              </w:rPr>
            </w:pPr>
            <w:r>
              <w:rPr>
                <w:rFonts w:ascii="Arial" w:hAnsi="Arial" w:cs="Arial"/>
                <w:sz w:val="18"/>
                <w:szCs w:val="18"/>
              </w:rPr>
              <w:t>Issues that are in the index and default remain in the index.</w:t>
            </w:r>
          </w:p>
          <w:p w:rsidR="00EB03BF" w:rsidRDefault="00EB03BF" w:rsidP="00EB03BF">
            <w:pPr>
              <w:rPr>
                <w:rFonts w:ascii="Arial" w:hAnsi="Arial" w:cs="Arial"/>
                <w:sz w:val="18"/>
                <w:szCs w:val="18"/>
              </w:rPr>
            </w:pPr>
          </w:p>
          <w:p w:rsidR="00EB03BF" w:rsidRDefault="00EB03BF" w:rsidP="00EB03BF">
            <w:pPr>
              <w:rPr>
                <w:rFonts w:ascii="Arial" w:hAnsi="Arial" w:cs="Arial"/>
                <w:sz w:val="18"/>
                <w:szCs w:val="18"/>
              </w:rPr>
            </w:pPr>
            <w:r>
              <w:rPr>
                <w:rFonts w:ascii="Arial" w:hAnsi="Arial" w:cs="Arial"/>
                <w:sz w:val="18"/>
                <w:szCs w:val="18"/>
              </w:rPr>
              <w:t>Defaulted bonds are not added to an index. For example, if a fallen angel defaults prior to the completion of its seasoning period, it will not be included in any index.</w:t>
            </w:r>
          </w:p>
        </w:tc>
      </w:tr>
      <w:tr w:rsidR="00EB03BF" w:rsidTr="00DE399B">
        <w:trPr>
          <w:trHeight w:val="1700"/>
        </w:trPr>
        <w:tc>
          <w:tcPr>
            <w:tcW w:w="1998" w:type="dxa"/>
          </w:tcPr>
          <w:p w:rsidR="00EB03BF" w:rsidRPr="000E53DE" w:rsidRDefault="00EB03BF" w:rsidP="00EB03BF">
            <w:pPr>
              <w:rPr>
                <w:color w:val="FF0000"/>
              </w:rPr>
            </w:pPr>
            <w:r>
              <w:rPr>
                <w:color w:val="FF0000"/>
              </w:rPr>
              <w:t>Calculation for Issue Weighting in the Index</w:t>
            </w:r>
          </w:p>
        </w:tc>
        <w:tc>
          <w:tcPr>
            <w:tcW w:w="2790" w:type="dxa"/>
          </w:tcPr>
          <w:p w:rsidR="00EB03BF" w:rsidRPr="006F1AB3" w:rsidRDefault="00EB03BF" w:rsidP="00EB03BF">
            <w:pPr>
              <w:rPr>
                <w:rFonts w:ascii="Arial" w:hAnsi="Arial" w:cs="Arial"/>
                <w:sz w:val="18"/>
                <w:szCs w:val="18"/>
              </w:rPr>
            </w:pPr>
            <w:r>
              <w:rPr>
                <w:rFonts w:ascii="Arial" w:hAnsi="Arial" w:cs="Arial"/>
                <w:sz w:val="18"/>
                <w:szCs w:val="18"/>
              </w:rPr>
              <w:t>Each Issue weight is calculated by dividing the issue’s market value in US$ terms by the sum of all of the index issue constituents market value in US$ terms.</w:t>
            </w:r>
          </w:p>
        </w:tc>
        <w:tc>
          <w:tcPr>
            <w:tcW w:w="2700" w:type="dxa"/>
          </w:tcPr>
          <w:p w:rsidR="00EB03BF" w:rsidRPr="006F1AB3" w:rsidRDefault="00EB03BF" w:rsidP="00EB03BF">
            <w:pPr>
              <w:rPr>
                <w:rFonts w:ascii="Arial" w:hAnsi="Arial" w:cs="Arial"/>
                <w:sz w:val="18"/>
                <w:szCs w:val="18"/>
              </w:rPr>
            </w:pPr>
            <w:r>
              <w:rPr>
                <w:rFonts w:ascii="Arial" w:hAnsi="Arial" w:cs="Arial"/>
                <w:sz w:val="18"/>
                <w:szCs w:val="18"/>
              </w:rPr>
              <w:t>Each Issue weight is calculated by dividing the issue’s market value in US$ terms by the sum of all of the index issue constituents market value in US$ terms.</w:t>
            </w:r>
          </w:p>
        </w:tc>
        <w:tc>
          <w:tcPr>
            <w:tcW w:w="2880" w:type="dxa"/>
          </w:tcPr>
          <w:p w:rsidR="00EB03BF" w:rsidRDefault="00EB03BF" w:rsidP="00EB03BF">
            <w:pPr>
              <w:rPr>
                <w:rFonts w:ascii="Arial" w:hAnsi="Arial" w:cs="Arial"/>
                <w:sz w:val="18"/>
                <w:szCs w:val="18"/>
              </w:rPr>
            </w:pPr>
            <w:r>
              <w:rPr>
                <w:rFonts w:ascii="Arial" w:hAnsi="Arial" w:cs="Arial"/>
                <w:sz w:val="18"/>
                <w:szCs w:val="18"/>
              </w:rPr>
              <w:t>Each Issue weight is calculated by dividing the issue’s market value in US$ terms by the sum of all of the index issue constituents market value in US$ terms.</w:t>
            </w:r>
          </w:p>
          <w:p w:rsidR="00D61F11" w:rsidRDefault="00D61F11" w:rsidP="00EB03BF">
            <w:pPr>
              <w:rPr>
                <w:rFonts w:ascii="Arial" w:hAnsi="Arial" w:cs="Arial"/>
                <w:sz w:val="18"/>
                <w:szCs w:val="18"/>
              </w:rPr>
            </w:pPr>
          </w:p>
          <w:p w:rsidR="00D61F11" w:rsidRPr="006F1AB3" w:rsidRDefault="00D61F11" w:rsidP="00D61F11">
            <w:pPr>
              <w:rPr>
                <w:rFonts w:ascii="Arial" w:hAnsi="Arial" w:cs="Arial"/>
                <w:sz w:val="18"/>
                <w:szCs w:val="18"/>
              </w:rPr>
            </w:pPr>
            <w:r>
              <w:rPr>
                <w:rFonts w:ascii="Arial" w:hAnsi="Arial" w:cs="Arial"/>
                <w:sz w:val="18"/>
                <w:szCs w:val="18"/>
              </w:rPr>
              <w:t>Issuer’s percentage weight in the index are capped at 3 percent.</w:t>
            </w:r>
          </w:p>
        </w:tc>
        <w:tc>
          <w:tcPr>
            <w:tcW w:w="2857" w:type="dxa"/>
          </w:tcPr>
          <w:p w:rsidR="00EB03BF" w:rsidRPr="006F1AB3" w:rsidRDefault="00EB03BF" w:rsidP="00EB03BF">
            <w:pPr>
              <w:rPr>
                <w:rFonts w:ascii="Arial" w:hAnsi="Arial" w:cs="Arial"/>
                <w:sz w:val="18"/>
                <w:szCs w:val="18"/>
              </w:rPr>
            </w:pPr>
            <w:r>
              <w:rPr>
                <w:rFonts w:ascii="Arial" w:hAnsi="Arial" w:cs="Arial"/>
                <w:sz w:val="18"/>
                <w:szCs w:val="18"/>
              </w:rPr>
              <w:t xml:space="preserve">Each </w:t>
            </w:r>
            <w:r>
              <w:rPr>
                <w:rFonts w:ascii="Arial" w:hAnsi="Arial" w:cs="Arial"/>
                <w:sz w:val="18"/>
                <w:szCs w:val="18"/>
              </w:rPr>
              <w:t xml:space="preserve">Issue weight </w:t>
            </w:r>
            <w:r>
              <w:rPr>
                <w:rFonts w:ascii="Arial" w:hAnsi="Arial" w:cs="Arial"/>
                <w:sz w:val="18"/>
                <w:szCs w:val="18"/>
              </w:rPr>
              <w:t>is calculated by</w:t>
            </w:r>
            <w:r>
              <w:rPr>
                <w:rFonts w:ascii="Arial" w:hAnsi="Arial" w:cs="Arial"/>
                <w:sz w:val="18"/>
                <w:szCs w:val="18"/>
              </w:rPr>
              <w:t xml:space="preserve"> </w:t>
            </w:r>
            <w:r>
              <w:rPr>
                <w:rFonts w:ascii="Arial" w:hAnsi="Arial" w:cs="Arial"/>
                <w:sz w:val="18"/>
                <w:szCs w:val="18"/>
              </w:rPr>
              <w:t>dividing the issue’s market value in US$ terms by</w:t>
            </w:r>
            <w:r>
              <w:rPr>
                <w:rFonts w:ascii="Arial" w:hAnsi="Arial" w:cs="Arial"/>
                <w:sz w:val="18"/>
                <w:szCs w:val="18"/>
              </w:rPr>
              <w:t xml:space="preserve"> </w:t>
            </w:r>
            <w:r>
              <w:rPr>
                <w:rFonts w:ascii="Arial" w:hAnsi="Arial" w:cs="Arial"/>
                <w:sz w:val="18"/>
                <w:szCs w:val="18"/>
              </w:rPr>
              <w:t xml:space="preserve">the sum of all of the index issue constituents </w:t>
            </w:r>
            <w:r>
              <w:rPr>
                <w:rFonts w:ascii="Arial" w:hAnsi="Arial" w:cs="Arial"/>
                <w:sz w:val="18"/>
                <w:szCs w:val="18"/>
              </w:rPr>
              <w:t>market</w:t>
            </w:r>
            <w:r>
              <w:rPr>
                <w:rFonts w:ascii="Arial" w:hAnsi="Arial" w:cs="Arial"/>
                <w:sz w:val="18"/>
                <w:szCs w:val="18"/>
              </w:rPr>
              <w:t xml:space="preserve"> value in US$ terms</w:t>
            </w:r>
            <w:r>
              <w:rPr>
                <w:rFonts w:ascii="Arial" w:hAnsi="Arial" w:cs="Arial"/>
                <w:sz w:val="18"/>
                <w:szCs w:val="18"/>
              </w:rPr>
              <w:t>.</w:t>
            </w:r>
          </w:p>
        </w:tc>
      </w:tr>
    </w:tbl>
    <w:p w:rsidR="008E686A" w:rsidRDefault="008E686A"/>
    <w:p w:rsidR="00E91F3F" w:rsidRDefault="00E91F3F"/>
    <w:p w:rsidR="00F9590C" w:rsidRDefault="00F9590C"/>
    <w:p w:rsidR="00F9590C" w:rsidRDefault="00F9590C"/>
    <w:p w:rsidR="00F9590C" w:rsidRDefault="00F9590C"/>
    <w:p w:rsidR="00F9590C" w:rsidRDefault="00F9590C"/>
    <w:p w:rsidR="00F9590C" w:rsidRDefault="00F9590C"/>
    <w:p w:rsidR="00662163" w:rsidRDefault="00662163">
      <w:pPr>
        <w:sectPr w:rsidR="00662163" w:rsidSect="00AA1013">
          <w:pgSz w:w="15840" w:h="12240" w:orient="landscape"/>
          <w:pgMar w:top="1440" w:right="1440" w:bottom="1440" w:left="1440" w:header="720" w:footer="720" w:gutter="0"/>
          <w:cols w:space="720"/>
          <w:docGrid w:linePitch="360"/>
        </w:sectPr>
      </w:pPr>
    </w:p>
    <w:p w:rsidR="001925B0" w:rsidRDefault="001925B0"/>
    <w:sectPr w:rsidR="001925B0" w:rsidSect="00662163">
      <w:type w:val="continuous"/>
      <w:pgSz w:w="15840" w:h="12240" w:orient="landscape"/>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4A3EAC"/>
    <w:multiLevelType w:val="hybridMultilevel"/>
    <w:tmpl w:val="3F6C7A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FA831FA"/>
    <w:multiLevelType w:val="hybridMultilevel"/>
    <w:tmpl w:val="FAB8F3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56E7"/>
    <w:rsid w:val="00006AF4"/>
    <w:rsid w:val="00033477"/>
    <w:rsid w:val="000508F7"/>
    <w:rsid w:val="00090B8D"/>
    <w:rsid w:val="000B41F1"/>
    <w:rsid w:val="000D7E73"/>
    <w:rsid w:val="000E53DE"/>
    <w:rsid w:val="000E5CC1"/>
    <w:rsid w:val="0014458C"/>
    <w:rsid w:val="00185289"/>
    <w:rsid w:val="001925B0"/>
    <w:rsid w:val="001953A7"/>
    <w:rsid w:val="001B186A"/>
    <w:rsid w:val="001D58BF"/>
    <w:rsid w:val="00260F66"/>
    <w:rsid w:val="002670BB"/>
    <w:rsid w:val="00277311"/>
    <w:rsid w:val="003748FF"/>
    <w:rsid w:val="003904D7"/>
    <w:rsid w:val="003C5D13"/>
    <w:rsid w:val="003C6136"/>
    <w:rsid w:val="00506097"/>
    <w:rsid w:val="0057067B"/>
    <w:rsid w:val="005C0506"/>
    <w:rsid w:val="005D4FB4"/>
    <w:rsid w:val="005E59F7"/>
    <w:rsid w:val="005F5370"/>
    <w:rsid w:val="005F6A5A"/>
    <w:rsid w:val="006053BB"/>
    <w:rsid w:val="006342DB"/>
    <w:rsid w:val="00662163"/>
    <w:rsid w:val="00676E3A"/>
    <w:rsid w:val="006B2479"/>
    <w:rsid w:val="006C116B"/>
    <w:rsid w:val="006F1AB3"/>
    <w:rsid w:val="00714A3A"/>
    <w:rsid w:val="007230CB"/>
    <w:rsid w:val="008337E2"/>
    <w:rsid w:val="00891841"/>
    <w:rsid w:val="008E686A"/>
    <w:rsid w:val="00967859"/>
    <w:rsid w:val="00971918"/>
    <w:rsid w:val="009C3AC5"/>
    <w:rsid w:val="00A21D80"/>
    <w:rsid w:val="00A2563F"/>
    <w:rsid w:val="00A317F8"/>
    <w:rsid w:val="00A5679B"/>
    <w:rsid w:val="00A56FA5"/>
    <w:rsid w:val="00A5725C"/>
    <w:rsid w:val="00A93DBD"/>
    <w:rsid w:val="00A976F3"/>
    <w:rsid w:val="00AA1013"/>
    <w:rsid w:val="00B12765"/>
    <w:rsid w:val="00B3543B"/>
    <w:rsid w:val="00B61642"/>
    <w:rsid w:val="00B86DB8"/>
    <w:rsid w:val="00BB64D5"/>
    <w:rsid w:val="00C64FF3"/>
    <w:rsid w:val="00C6783F"/>
    <w:rsid w:val="00C852C9"/>
    <w:rsid w:val="00C87E68"/>
    <w:rsid w:val="00CC1341"/>
    <w:rsid w:val="00CD6DCD"/>
    <w:rsid w:val="00CF4FDE"/>
    <w:rsid w:val="00D24BB3"/>
    <w:rsid w:val="00D26272"/>
    <w:rsid w:val="00D61F11"/>
    <w:rsid w:val="00D667D8"/>
    <w:rsid w:val="00D76CFA"/>
    <w:rsid w:val="00DB4E84"/>
    <w:rsid w:val="00DC07DF"/>
    <w:rsid w:val="00DE399B"/>
    <w:rsid w:val="00E020B8"/>
    <w:rsid w:val="00E056E7"/>
    <w:rsid w:val="00E64ECA"/>
    <w:rsid w:val="00E91F3F"/>
    <w:rsid w:val="00EB03BF"/>
    <w:rsid w:val="00F20A26"/>
    <w:rsid w:val="00F3076B"/>
    <w:rsid w:val="00F37457"/>
    <w:rsid w:val="00F4279F"/>
    <w:rsid w:val="00F52070"/>
    <w:rsid w:val="00F863B2"/>
    <w:rsid w:val="00F9590C"/>
    <w:rsid w:val="00FB4EE5"/>
    <w:rsid w:val="00FC59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E906F"/>
  <w15:docId w15:val="{8975A175-9906-4A2A-8AA5-66CB49F77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cimalAligned">
    <w:name w:val="Decimal Aligned"/>
    <w:basedOn w:val="Normal"/>
    <w:uiPriority w:val="40"/>
    <w:qFormat/>
    <w:rsid w:val="00E056E7"/>
    <w:pPr>
      <w:tabs>
        <w:tab w:val="decimal" w:pos="360"/>
      </w:tabs>
    </w:pPr>
    <w:rPr>
      <w:lang w:eastAsia="ja-JP"/>
    </w:rPr>
  </w:style>
  <w:style w:type="paragraph" w:styleId="FootnoteText">
    <w:name w:val="footnote text"/>
    <w:basedOn w:val="Normal"/>
    <w:link w:val="FootnoteTextChar"/>
    <w:uiPriority w:val="99"/>
    <w:unhideWhenUsed/>
    <w:rsid w:val="00E056E7"/>
    <w:pPr>
      <w:spacing w:after="0" w:line="240" w:lineRule="auto"/>
    </w:pPr>
    <w:rPr>
      <w:rFonts w:eastAsiaTheme="minorEastAsia"/>
      <w:sz w:val="20"/>
      <w:szCs w:val="20"/>
      <w:lang w:eastAsia="ja-JP"/>
    </w:rPr>
  </w:style>
  <w:style w:type="character" w:customStyle="1" w:styleId="FootnoteTextChar">
    <w:name w:val="Footnote Text Char"/>
    <w:basedOn w:val="DefaultParagraphFont"/>
    <w:link w:val="FootnoteText"/>
    <w:uiPriority w:val="99"/>
    <w:rsid w:val="00E056E7"/>
    <w:rPr>
      <w:rFonts w:eastAsiaTheme="minorEastAsia"/>
      <w:sz w:val="20"/>
      <w:szCs w:val="20"/>
      <w:lang w:eastAsia="ja-JP"/>
    </w:rPr>
  </w:style>
  <w:style w:type="character" w:styleId="SubtleEmphasis">
    <w:name w:val="Subtle Emphasis"/>
    <w:basedOn w:val="DefaultParagraphFont"/>
    <w:uiPriority w:val="19"/>
    <w:qFormat/>
    <w:rsid w:val="00E056E7"/>
    <w:rPr>
      <w:i/>
      <w:iCs/>
      <w:color w:val="7F7F7F" w:themeColor="text1" w:themeTint="80"/>
    </w:rPr>
  </w:style>
  <w:style w:type="table" w:styleId="MediumShading2-Accent5">
    <w:name w:val="Medium Shading 2 Accent 5"/>
    <w:basedOn w:val="TableNormal"/>
    <w:uiPriority w:val="64"/>
    <w:rsid w:val="00E056E7"/>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Shading-Accent1">
    <w:name w:val="Light Shading Accent 1"/>
    <w:basedOn w:val="TableNormal"/>
    <w:uiPriority w:val="60"/>
    <w:rsid w:val="00E056E7"/>
    <w:pPr>
      <w:spacing w:after="0" w:line="240" w:lineRule="auto"/>
    </w:pPr>
    <w:rPr>
      <w:rFonts w:eastAsiaTheme="minorEastAsia"/>
      <w:color w:val="365F91" w:themeColor="accent1" w:themeShade="BF"/>
      <w:lang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ableGrid">
    <w:name w:val="Table Grid"/>
    <w:basedOn w:val="TableNormal"/>
    <w:uiPriority w:val="59"/>
    <w:rsid w:val="00E056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91F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1F3F"/>
    <w:rPr>
      <w:rFonts w:ascii="Tahoma" w:hAnsi="Tahoma" w:cs="Tahoma"/>
      <w:sz w:val="16"/>
      <w:szCs w:val="16"/>
    </w:rPr>
  </w:style>
  <w:style w:type="paragraph" w:styleId="ListParagraph">
    <w:name w:val="List Paragraph"/>
    <w:basedOn w:val="Normal"/>
    <w:uiPriority w:val="34"/>
    <w:qFormat/>
    <w:rsid w:val="000B41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1086</TotalTime>
  <Pages>6</Pages>
  <Words>2531</Words>
  <Characters>14428</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Fagan</dc:creator>
  <cp:lastModifiedBy>Brian Fagan</cp:lastModifiedBy>
  <cp:revision>16</cp:revision>
  <cp:lastPrinted>2012-08-15T17:19:00Z</cp:lastPrinted>
  <dcterms:created xsi:type="dcterms:W3CDTF">2018-09-18T22:08:00Z</dcterms:created>
  <dcterms:modified xsi:type="dcterms:W3CDTF">2018-09-19T16:14:00Z</dcterms:modified>
</cp:coreProperties>
</file>