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214" w:rsidRDefault="000D718D" w:rsidP="003A1214">
      <w:pPr>
        <w:spacing w:line="240" w:lineRule="auto"/>
        <w:jc w:val="center"/>
        <w:rPr>
          <w:b/>
          <w:sz w:val="28"/>
          <w:szCs w:val="28"/>
        </w:rPr>
      </w:pPr>
      <w:r>
        <w:rPr>
          <w:b/>
          <w:sz w:val="28"/>
          <w:szCs w:val="28"/>
        </w:rPr>
        <w:t xml:space="preserve">The Key to Understanding Household Consumption Patterns in China </w:t>
      </w:r>
    </w:p>
    <w:p w:rsidR="003A1214" w:rsidRDefault="003A1214">
      <w:pPr>
        <w:rPr>
          <w:b/>
        </w:rPr>
      </w:pPr>
    </w:p>
    <w:p w:rsidR="00632882" w:rsidRDefault="00184E93">
      <w:r w:rsidRPr="00184E93">
        <w:t xml:space="preserve">The Year of the Snake does not look auspicious for conspicuous consumption in China. The country’s newly-installed top leader, Xi Jinping, is urging officials to curb their appetite for lavish banquets. A broader anti-corruption campaign has also hit the market for the expensive luxury goods used for gift-giving. But these are political ripples on the surface of a huge wave of rising Chinese consumer spending. Even if China’s economic growth slows significantly, over the next decade hundreds of millions of people will join the modern consumer economy. </w:t>
      </w:r>
      <w:r w:rsidR="007321A2">
        <w:t>My</w:t>
      </w:r>
      <w:r w:rsidRPr="00184E93">
        <w:t xml:space="preserve"> model of China’s </w:t>
      </w:r>
      <w:r w:rsidR="007321A2">
        <w:t xml:space="preserve">household </w:t>
      </w:r>
      <w:r w:rsidRPr="00184E93">
        <w:t xml:space="preserve">income distribution indicates that the fastest growth in demand will no longer be for basic consumer goods, but for </w:t>
      </w:r>
      <w:r w:rsidR="007321A2">
        <w:t>goods</w:t>
      </w:r>
      <w:r w:rsidRPr="00184E93">
        <w:t xml:space="preserve"> and services favored by the newly affluent, such as international air travel and high-end beauty products. Catering to the Chinese nouveau riche is a growth market for which the best days are yet to come.</w:t>
      </w:r>
    </w:p>
    <w:p w:rsidR="00184E93" w:rsidRDefault="007321A2">
      <w:r>
        <w:t>A</w:t>
      </w:r>
      <w:r w:rsidR="00184E93" w:rsidRPr="00184E93">
        <w:t xml:space="preserve"> framework for analyzing consumer spending starts with the simple observation that the propensity to spend on certain goods does not rise </w:t>
      </w:r>
      <w:r w:rsidR="00BE5095">
        <w:t>proportionally</w:t>
      </w:r>
      <w:r w:rsidR="00184E93" w:rsidRPr="00184E93">
        <w:t xml:space="preserve"> </w:t>
      </w:r>
      <w:r w:rsidR="00BE5095">
        <w:t>with income, but moves in steps.</w:t>
      </w:r>
      <w:r w:rsidR="00184E93" w:rsidRPr="00184E93">
        <w:t xml:space="preserve"> </w:t>
      </w:r>
      <w:r w:rsidR="00BE5095">
        <w:t>H</w:t>
      </w:r>
      <w:r w:rsidR="00184E93" w:rsidRPr="00184E93">
        <w:t xml:space="preserve">ouseholds </w:t>
      </w:r>
      <w:r w:rsidR="00BE5095">
        <w:t>that are barely</w:t>
      </w:r>
      <w:r w:rsidR="00184E93" w:rsidRPr="00184E93">
        <w:t xml:space="preserve"> above a certain income threshold are much more likely to buy say, a car, than households just below it. This gives rise to </w:t>
      </w:r>
      <w:r>
        <w:t>what I call</w:t>
      </w:r>
      <w:r w:rsidR="00184E93" w:rsidRPr="00184E93">
        <w:t xml:space="preserve"> </w:t>
      </w:r>
      <w:r w:rsidR="00CD379D">
        <w:t>the</w:t>
      </w:r>
      <w:r>
        <w:t xml:space="preserve"> </w:t>
      </w:r>
      <w:r w:rsidR="00184E93" w:rsidRPr="00184E93">
        <w:t>“acceleration phenomen</w:t>
      </w:r>
      <w:r w:rsidR="00BE5095">
        <w:t>on”</w:t>
      </w:r>
      <w:r w:rsidR="00CD379D">
        <w:t>.</w:t>
      </w:r>
      <w:r>
        <w:t xml:space="preserve"> </w:t>
      </w:r>
      <w:r w:rsidR="00BE5095">
        <w:t>Th</w:t>
      </w:r>
      <w:r w:rsidR="00CD379D">
        <w:t>e</w:t>
      </w:r>
      <w:r w:rsidR="00BE5095">
        <w:t xml:space="preserve"> </w:t>
      </w:r>
      <w:r w:rsidR="00BE5095" w:rsidRPr="00184E93">
        <w:t>acceleration phenomen</w:t>
      </w:r>
      <w:r w:rsidR="003A2078">
        <w:t>a</w:t>
      </w:r>
      <w:r w:rsidR="00184E93" w:rsidRPr="00184E93">
        <w:t xml:space="preserve"> </w:t>
      </w:r>
      <w:r w:rsidR="00BE5095">
        <w:t xml:space="preserve">causes </w:t>
      </w:r>
      <w:r w:rsidR="003A2078">
        <w:t xml:space="preserve">demand for </w:t>
      </w:r>
      <w:r>
        <w:t>certain</w:t>
      </w:r>
      <w:r w:rsidR="00184E93" w:rsidRPr="00184E93">
        <w:t xml:space="preserve"> goods </w:t>
      </w:r>
      <w:r>
        <w:t>and services to</w:t>
      </w:r>
      <w:r w:rsidR="00184E93" w:rsidRPr="00184E93">
        <w:t xml:space="preserve"> grow </w:t>
      </w:r>
      <w:r>
        <w:t>at a disproportional rate</w:t>
      </w:r>
      <w:r w:rsidR="00184E93" w:rsidRPr="00184E93">
        <w:t xml:space="preserve"> </w:t>
      </w:r>
      <w:r w:rsidR="00CD379D">
        <w:t>to</w:t>
      </w:r>
      <w:r w:rsidR="00F55164">
        <w:t xml:space="preserve"> </w:t>
      </w:r>
      <w:r w:rsidR="000345F8">
        <w:t xml:space="preserve">household </w:t>
      </w:r>
      <w:r w:rsidR="00184E93" w:rsidRPr="00184E93">
        <w:t xml:space="preserve">average income when </w:t>
      </w:r>
      <w:r w:rsidR="00BE5095">
        <w:t xml:space="preserve">a </w:t>
      </w:r>
      <w:r w:rsidR="003A2078">
        <w:t xml:space="preserve">percentage </w:t>
      </w:r>
      <w:r w:rsidR="000345F8">
        <w:t xml:space="preserve">of the population’s income </w:t>
      </w:r>
      <w:r w:rsidR="00184E93" w:rsidRPr="00184E93">
        <w:t>cross</w:t>
      </w:r>
      <w:r w:rsidR="000345F8">
        <w:t>es</w:t>
      </w:r>
      <w:r w:rsidR="00184E93" w:rsidRPr="00184E93">
        <w:t xml:space="preserve"> </w:t>
      </w:r>
      <w:r w:rsidR="00403492">
        <w:t xml:space="preserve">certain </w:t>
      </w:r>
      <w:r w:rsidR="00184E93" w:rsidRPr="00184E93">
        <w:t>income thresholds. The acceleration phenomenon has clearl</w:t>
      </w:r>
      <w:r w:rsidR="003A2078">
        <w:t>y had powerful effects in China as</w:t>
      </w:r>
      <w:r w:rsidR="00184E93" w:rsidRPr="00184E93">
        <w:t xml:space="preserve"> passenger car sales grew more than 20% a year over the past decade</w:t>
      </w:r>
      <w:r w:rsidR="00C332DC">
        <w:rPr>
          <w:rStyle w:val="FootnoteReference"/>
        </w:rPr>
        <w:footnoteReference w:id="1"/>
      </w:r>
      <w:r w:rsidR="00184E93" w:rsidRPr="00184E93">
        <w:t>, while real urban incomes grew just 9%. How this works in theory is shown in the figure below, using a stylized income distribution and a hypothetical threshold of US$15,000.</w:t>
      </w:r>
    </w:p>
    <w:p w:rsidR="00656B45" w:rsidRDefault="00656B45"/>
    <w:p w:rsidR="00656B45" w:rsidRDefault="00656B45" w:rsidP="00656B45">
      <w:pPr>
        <w:jc w:val="center"/>
      </w:pPr>
      <w:r>
        <w:rPr>
          <w:noProof/>
        </w:rPr>
        <w:drawing>
          <wp:inline distT="0" distB="0" distL="0" distR="0" wp14:anchorId="5DFA6D7C" wp14:editId="7C6B81C7">
            <wp:extent cx="4438650" cy="31587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69" t="22768" r="30609" b="46160"/>
                    <a:stretch/>
                  </pic:blipFill>
                  <pic:spPr bwMode="auto">
                    <a:xfrm>
                      <a:off x="0" y="0"/>
                      <a:ext cx="4460195" cy="3174126"/>
                    </a:xfrm>
                    <a:prstGeom prst="rect">
                      <a:avLst/>
                    </a:prstGeom>
                    <a:ln>
                      <a:noFill/>
                    </a:ln>
                    <a:extLst>
                      <a:ext uri="{53640926-AAD7-44D8-BBD7-CCE9431645EC}">
                        <a14:shadowObscured xmlns:a14="http://schemas.microsoft.com/office/drawing/2010/main"/>
                      </a:ext>
                    </a:extLst>
                  </pic:spPr>
                </pic:pic>
              </a:graphicData>
            </a:graphic>
          </wp:inline>
        </w:drawing>
      </w:r>
    </w:p>
    <w:p w:rsidR="00BE5095" w:rsidRDefault="00BE5095"/>
    <w:p w:rsidR="00656B45" w:rsidRDefault="00CD379D">
      <w:r>
        <w:t>T</w:t>
      </w:r>
      <w:r w:rsidR="00184E93" w:rsidRPr="00184E93">
        <w:t xml:space="preserve">his theory does not tell us much about the actual dynamics of the acceleration phenomenon in China, since it occurs for different product categories at different income levels. </w:t>
      </w:r>
      <w:r>
        <w:t>T</w:t>
      </w:r>
      <w:r w:rsidR="00184E93" w:rsidRPr="00184E93">
        <w:t xml:space="preserve">he </w:t>
      </w:r>
      <w:r>
        <w:t>largest of which</w:t>
      </w:r>
      <w:r w:rsidR="00184E93" w:rsidRPr="00184E93">
        <w:t xml:space="preserve"> tend to come in the early stages of acceleration. To put this theory to work, </w:t>
      </w:r>
      <w:r>
        <w:t>one</w:t>
      </w:r>
      <w:r w:rsidR="00184E93" w:rsidRPr="00184E93">
        <w:t xml:space="preserve"> </w:t>
      </w:r>
      <w:r>
        <w:t xml:space="preserve">would </w:t>
      </w:r>
      <w:r w:rsidR="00184E93" w:rsidRPr="00184E93">
        <w:t xml:space="preserve">need to know two things: the shape of China’s income distribution curve and the relevant thresholds for consumer spending. Using income data from the </w:t>
      </w:r>
      <w:r>
        <w:t xml:space="preserve">China’s </w:t>
      </w:r>
      <w:r w:rsidR="00184E93" w:rsidRPr="00184E93">
        <w:t>National Bureau of Statistics and the World Bank</w:t>
      </w:r>
      <w:r w:rsidR="00537CF9">
        <w:rPr>
          <w:rStyle w:val="FootnoteReference"/>
        </w:rPr>
        <w:footnoteReference w:id="2"/>
      </w:r>
      <w:r w:rsidR="00184E93" w:rsidRPr="00184E93">
        <w:t xml:space="preserve">, </w:t>
      </w:r>
      <w:r w:rsidR="007321A2">
        <w:t>I</w:t>
      </w:r>
      <w:r w:rsidR="00184E93" w:rsidRPr="00184E93">
        <w:t xml:space="preserve"> </w:t>
      </w:r>
      <w:r w:rsidR="007321A2">
        <w:t xml:space="preserve">created </w:t>
      </w:r>
      <w:r w:rsidR="002B31D7">
        <w:t xml:space="preserve">real </w:t>
      </w:r>
      <w:r w:rsidR="007321A2">
        <w:t xml:space="preserve">household </w:t>
      </w:r>
      <w:r w:rsidR="00184E93" w:rsidRPr="00184E93">
        <w:t>income distribution curves for China (see the appendix for the technical details). The main difference between theory and reality is immediate</w:t>
      </w:r>
      <w:r w:rsidR="007321A2">
        <w:t xml:space="preserve">ly obvious from the chart </w:t>
      </w:r>
      <w:r>
        <w:t xml:space="preserve">shown </w:t>
      </w:r>
      <w:r w:rsidR="007321A2">
        <w:t>below.</w:t>
      </w:r>
      <w:r w:rsidR="00184E93" w:rsidRPr="00184E93">
        <w:t xml:space="preserve"> </w:t>
      </w:r>
      <w:r w:rsidR="007321A2">
        <w:t>R</w:t>
      </w:r>
      <w:r w:rsidR="00184E93" w:rsidRPr="00184E93">
        <w:t xml:space="preserve">ather than being a smooth, normally-distributed hump, China’s </w:t>
      </w:r>
      <w:r w:rsidR="007321A2">
        <w:t xml:space="preserve">household </w:t>
      </w:r>
      <w:r w:rsidR="00184E93" w:rsidRPr="00184E93">
        <w:t xml:space="preserve">income distribution </w:t>
      </w:r>
      <w:r w:rsidR="0080751F">
        <w:t>is negatively skewed with</w:t>
      </w:r>
      <w:r w:rsidR="00184E93" w:rsidRPr="00184E93">
        <w:t xml:space="preserve"> a long </w:t>
      </w:r>
      <w:r w:rsidR="0080751F">
        <w:t>right tail.</w:t>
      </w:r>
      <w:r w:rsidR="00184E93" w:rsidRPr="00184E93">
        <w:t xml:space="preserve"> </w:t>
      </w:r>
      <w:r w:rsidR="0080751F">
        <w:t>This reflects the degree</w:t>
      </w:r>
      <w:r w:rsidR="00184E93" w:rsidRPr="00184E93">
        <w:t xml:space="preserve"> of </w:t>
      </w:r>
      <w:r w:rsidR="0080751F">
        <w:t xml:space="preserve">household </w:t>
      </w:r>
      <w:r w:rsidR="00184E93" w:rsidRPr="00184E93">
        <w:t xml:space="preserve">income inequality. </w:t>
      </w:r>
      <w:r w:rsidR="0080751F">
        <w:t>As such,</w:t>
      </w:r>
      <w:r w:rsidR="00184E93" w:rsidRPr="00184E93">
        <w:t xml:space="preserve"> the actual acceleration phenomen</w:t>
      </w:r>
      <w:r w:rsidR="00403492">
        <w:t>on</w:t>
      </w:r>
      <w:r w:rsidR="00184E93" w:rsidRPr="00184E93">
        <w:t xml:space="preserve"> will not </w:t>
      </w:r>
      <w:r w:rsidR="0080751F">
        <w:t>occur</w:t>
      </w:r>
      <w:r w:rsidR="00184E93" w:rsidRPr="00184E93">
        <w:t xml:space="preserve"> as </w:t>
      </w:r>
      <w:r w:rsidR="0080751F">
        <w:t xml:space="preserve">shown </w:t>
      </w:r>
      <w:r w:rsidR="00184E93" w:rsidRPr="00184E93">
        <w:t xml:space="preserve">in </w:t>
      </w:r>
      <w:r w:rsidR="0080751F">
        <w:t xml:space="preserve">the chart above </w:t>
      </w:r>
      <w:r w:rsidR="00184E93" w:rsidRPr="00184E93">
        <w:t xml:space="preserve">because </w:t>
      </w:r>
      <w:r w:rsidR="0080751F">
        <w:t>of the difference in the shape of the distribution</w:t>
      </w:r>
      <w:r w:rsidR="00184E93" w:rsidRPr="00184E93">
        <w:t>.</w:t>
      </w:r>
    </w:p>
    <w:p w:rsidR="00184E93" w:rsidRDefault="00184E93"/>
    <w:p w:rsidR="00184E93" w:rsidRDefault="00184E93" w:rsidP="00184E93">
      <w:pPr>
        <w:jc w:val="center"/>
      </w:pPr>
      <w:r>
        <w:rPr>
          <w:noProof/>
        </w:rPr>
        <w:drawing>
          <wp:inline distT="0" distB="0" distL="0" distR="0" wp14:anchorId="4FEF370D" wp14:editId="5E29A4A8">
            <wp:extent cx="4476750" cy="31419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795" t="26518" r="43269" b="32500"/>
                    <a:stretch/>
                  </pic:blipFill>
                  <pic:spPr bwMode="auto">
                    <a:xfrm>
                      <a:off x="0" y="0"/>
                      <a:ext cx="4491669" cy="3152410"/>
                    </a:xfrm>
                    <a:prstGeom prst="rect">
                      <a:avLst/>
                    </a:prstGeom>
                    <a:ln>
                      <a:noFill/>
                    </a:ln>
                    <a:extLst>
                      <a:ext uri="{53640926-AAD7-44D8-BBD7-CCE9431645EC}">
                        <a14:shadowObscured xmlns:a14="http://schemas.microsoft.com/office/drawing/2010/main"/>
                      </a:ext>
                    </a:extLst>
                  </pic:spPr>
                </pic:pic>
              </a:graphicData>
            </a:graphic>
          </wp:inline>
        </w:drawing>
      </w:r>
    </w:p>
    <w:p w:rsidR="00BE5095" w:rsidRDefault="00BE5095"/>
    <w:p w:rsidR="00656B45" w:rsidRDefault="00184E93">
      <w:r w:rsidRPr="00184E93">
        <w:t xml:space="preserve">The income thresholds for different products will obviously vary quite a bit. For the purposes of this </w:t>
      </w:r>
      <w:r w:rsidR="0080751F">
        <w:t>analysis</w:t>
      </w:r>
      <w:r w:rsidRPr="00184E93">
        <w:t xml:space="preserve">, </w:t>
      </w:r>
      <w:r w:rsidR="003A2078">
        <w:t>I</w:t>
      </w:r>
      <w:r w:rsidRPr="00184E93">
        <w:t xml:space="preserve"> will focus on broad categories of consumption that change in recognizable ways. </w:t>
      </w:r>
      <w:r w:rsidR="003A2078">
        <w:t>I use</w:t>
      </w:r>
      <w:r w:rsidRPr="00184E93">
        <w:t xml:space="preserve"> work </w:t>
      </w:r>
      <w:r w:rsidR="0080751F">
        <w:t xml:space="preserve">done </w:t>
      </w:r>
      <w:r w:rsidRPr="00184E93">
        <w:t xml:space="preserve">by </w:t>
      </w:r>
      <w:r w:rsidR="0080751F">
        <w:t xml:space="preserve">the </w:t>
      </w:r>
      <w:r w:rsidRPr="00184E93">
        <w:t>Boston Consulting Group</w:t>
      </w:r>
      <w:r w:rsidR="00BE6CCB">
        <w:rPr>
          <w:rStyle w:val="FootnoteReference"/>
        </w:rPr>
        <w:footnoteReference w:id="3"/>
      </w:r>
      <w:r w:rsidRPr="00184E93">
        <w:t xml:space="preserve"> (summarized in the book</w:t>
      </w:r>
      <w:r w:rsidR="003A2078">
        <w:t>,</w:t>
      </w:r>
      <w:r w:rsidRPr="00184E93">
        <w:t xml:space="preserve"> </w:t>
      </w:r>
      <w:r w:rsidR="003A2078">
        <w:t>“</w:t>
      </w:r>
      <w:r w:rsidRPr="00184E93">
        <w:t>The $10 Trillion Prize</w:t>
      </w:r>
      <w:r w:rsidR="003A2078">
        <w:t>”</w:t>
      </w:r>
      <w:r w:rsidRPr="00184E93">
        <w:t xml:space="preserve">) </w:t>
      </w:r>
      <w:r w:rsidR="003A2078">
        <w:t xml:space="preserve">to define </w:t>
      </w:r>
      <w:r w:rsidR="00F55164">
        <w:t>the</w:t>
      </w:r>
      <w:r w:rsidRPr="00184E93">
        <w:t xml:space="preserve"> products and services </w:t>
      </w:r>
      <w:r w:rsidR="0080751F">
        <w:t>where</w:t>
      </w:r>
      <w:r w:rsidRPr="00184E93">
        <w:t xml:space="preserve"> people </w:t>
      </w:r>
      <w:r w:rsidR="000345F8">
        <w:t>begin</w:t>
      </w:r>
      <w:r w:rsidRPr="00184E93">
        <w:t xml:space="preserve"> to consume once their income passes certain key thresholds. The BCG authors suggest that a household earning more than US$7,500 in</w:t>
      </w:r>
      <w:r w:rsidR="000345F8">
        <w:t xml:space="preserve"> 2010 qualifies as middle class, </w:t>
      </w:r>
      <w:r w:rsidRPr="00184E93">
        <w:lastRenderedPageBreak/>
        <w:t xml:space="preserve">in the Chinese context, as it is when families start to buy mass-produced clothing and better housing. Different consumption dynamics emerge after a threshold of US$12,500, when households start to buy their first car, experiment with international brands, and spend more on non-essential goods like fruit juice, vitamins and alcoholic drinks. After crossing the threshold of US$19,000, households start to spend more on travel, recreation, fancier household goods and small luxuries such as coffee and wine. </w:t>
      </w:r>
      <w:r w:rsidR="00F55164">
        <w:t>Assuming</w:t>
      </w:r>
      <w:r w:rsidRPr="00184E93">
        <w:t xml:space="preserve"> </w:t>
      </w:r>
      <w:r w:rsidR="00F55164">
        <w:t xml:space="preserve">that </w:t>
      </w:r>
      <w:r w:rsidRPr="00184E93">
        <w:t xml:space="preserve">BCG’s </w:t>
      </w:r>
      <w:r w:rsidR="00F55164">
        <w:t xml:space="preserve">income </w:t>
      </w:r>
      <w:r w:rsidRPr="00184E93">
        <w:t xml:space="preserve">thresholds are plausible, </w:t>
      </w:r>
      <w:r w:rsidR="00F55164">
        <w:t>I</w:t>
      </w:r>
      <w:r w:rsidRPr="00184E93">
        <w:t xml:space="preserve"> adjust </w:t>
      </w:r>
      <w:r w:rsidR="00F55164">
        <w:t>household income and consumer goods and services using</w:t>
      </w:r>
      <w:r w:rsidRPr="00184E93">
        <w:t xml:space="preserve"> 2012 prices and exchange rates. </w:t>
      </w:r>
      <w:r w:rsidR="00F55164">
        <w:t>T</w:t>
      </w:r>
      <w:r w:rsidRPr="00184E93">
        <w:t xml:space="preserve">hese thresholds </w:t>
      </w:r>
      <w:r w:rsidR="00F55164">
        <w:t xml:space="preserve">are used </w:t>
      </w:r>
      <w:r w:rsidRPr="00184E93">
        <w:t>to divide China’s consumer population into three major categories: Emerging Consumers (household income above US$8,100 but less than US$13,500), Established Consumers (US$13,500-$20,550) and Affluent Consumers (over US$20,550).</w:t>
      </w:r>
    </w:p>
    <w:p w:rsidR="00184E93" w:rsidRDefault="00403492">
      <w:r>
        <w:t>Using</w:t>
      </w:r>
      <w:r w:rsidR="00184E93" w:rsidRPr="00184E93">
        <w:t xml:space="preserve"> </w:t>
      </w:r>
      <w:r>
        <w:t xml:space="preserve">these household income </w:t>
      </w:r>
      <w:r w:rsidR="00184E93" w:rsidRPr="00184E93">
        <w:t>thresholds distribution</w:t>
      </w:r>
      <w:r>
        <w:t>s</w:t>
      </w:r>
      <w:r w:rsidR="00184E93" w:rsidRPr="00184E93">
        <w:t xml:space="preserve">, </w:t>
      </w:r>
      <w:r>
        <w:t>one</w:t>
      </w:r>
      <w:r w:rsidR="00184E93" w:rsidRPr="00184E93">
        <w:t xml:space="preserve"> can start to pinpoint just how the acceleration phenomenon has played out in China, and where it is headed next. </w:t>
      </w:r>
      <w:r>
        <w:t>I</w:t>
      </w:r>
      <w:r w:rsidR="00184E93" w:rsidRPr="00184E93">
        <w:t>n 2012 China was home to 75</w:t>
      </w:r>
      <w:r>
        <w:t xml:space="preserve"> </w:t>
      </w:r>
      <w:r w:rsidR="00184E93" w:rsidRPr="00184E93">
        <w:t>m</w:t>
      </w:r>
      <w:r>
        <w:t>illion</w:t>
      </w:r>
      <w:r w:rsidR="00184E93" w:rsidRPr="00184E93">
        <w:t xml:space="preserve"> Emerging Consumer households, 51</w:t>
      </w:r>
      <w:r>
        <w:t xml:space="preserve"> </w:t>
      </w:r>
      <w:r w:rsidR="00184E93" w:rsidRPr="00184E93">
        <w:t>m</w:t>
      </w:r>
      <w:r>
        <w:t>illion</w:t>
      </w:r>
      <w:r w:rsidR="00184E93" w:rsidRPr="00184E93">
        <w:t xml:space="preserve"> Established Consumer households, and 5</w:t>
      </w:r>
      <w:r>
        <w:t>7 million Affluent Consumer households, leaving 265 million</w:t>
      </w:r>
      <w:r w:rsidR="00184E93" w:rsidRPr="00184E93">
        <w:t xml:space="preserve"> households below the Emerging Consumer threshold. In </w:t>
      </w:r>
      <w:r>
        <w:t xml:space="preserve">order to </w:t>
      </w:r>
      <w:r w:rsidR="00184E93" w:rsidRPr="00184E93">
        <w:t xml:space="preserve">forecast the growth of these </w:t>
      </w:r>
      <w:r>
        <w:t xml:space="preserve">household </w:t>
      </w:r>
      <w:r w:rsidR="00184E93" w:rsidRPr="00184E93">
        <w:t xml:space="preserve">groups, </w:t>
      </w:r>
      <w:r>
        <w:t>I</w:t>
      </w:r>
      <w:r w:rsidR="00184E93" w:rsidRPr="00184E93">
        <w:t xml:space="preserve"> assume conservative rates of real income growth (falling to 5% by 2020 from over 10% in recent years), RMB appreciation of 2% per year </w:t>
      </w:r>
      <w:r>
        <w:t xml:space="preserve">relative to USD </w:t>
      </w:r>
      <w:r w:rsidR="00184E93" w:rsidRPr="00184E93">
        <w:t>(down from 3.3% during 2005-2012) and urbanization in line with UN projections. Given these assumptions, by 2020 the number of Emerging Consumer households is modeled to rise 9% to 82</w:t>
      </w:r>
      <w:r>
        <w:t xml:space="preserve"> </w:t>
      </w:r>
      <w:r w:rsidR="00184E93" w:rsidRPr="00184E93">
        <w:t>m</w:t>
      </w:r>
      <w:r>
        <w:t>illion</w:t>
      </w:r>
      <w:r w:rsidR="00184E93" w:rsidRPr="00184E93">
        <w:t>, Established Consumer households to rise 43% to 72</w:t>
      </w:r>
      <w:r>
        <w:t xml:space="preserve"> </w:t>
      </w:r>
      <w:r w:rsidR="00184E93" w:rsidRPr="00184E93">
        <w:t>m</w:t>
      </w:r>
      <w:r>
        <w:t>illion</w:t>
      </w:r>
      <w:r w:rsidR="00184E93" w:rsidRPr="00184E93">
        <w:t>, and Affluent Consumers to rise 223% to 184</w:t>
      </w:r>
      <w:r>
        <w:t xml:space="preserve"> </w:t>
      </w:r>
      <w:r w:rsidR="00184E93" w:rsidRPr="00184E93">
        <w:t>m</w:t>
      </w:r>
      <w:r>
        <w:t>illion</w:t>
      </w:r>
      <w:r w:rsidR="00184E93" w:rsidRPr="00184E93">
        <w:t>, while the number of non-consuming households will shrink to 120</w:t>
      </w:r>
      <w:r>
        <w:t xml:space="preserve"> </w:t>
      </w:r>
      <w:r w:rsidR="00184E93" w:rsidRPr="00184E93">
        <w:t>m</w:t>
      </w:r>
      <w:r>
        <w:t>illion</w:t>
      </w:r>
      <w:r w:rsidR="00184E93" w:rsidRPr="00184E93">
        <w:t xml:space="preserve">. </w:t>
      </w:r>
      <w:r>
        <w:t xml:space="preserve">Assuming the variables used to estimate these growth rates </w:t>
      </w:r>
      <w:r w:rsidR="00D533D3">
        <w:t>are fairly accurate</w:t>
      </w:r>
      <w:r w:rsidR="00184E93" w:rsidRPr="00184E93">
        <w:t xml:space="preserve">, </w:t>
      </w:r>
      <w:r w:rsidR="00D533D3">
        <w:t>the percentage of households whose income is greater than the Affluent consumer spending threshold will grow at a faster rate relative to the other two categories</w:t>
      </w:r>
      <w:r w:rsidR="00184E93" w:rsidRPr="00184E93">
        <w:t>.</w:t>
      </w:r>
    </w:p>
    <w:p w:rsidR="00184E93" w:rsidRDefault="00184E93"/>
    <w:p w:rsidR="00184E93" w:rsidRDefault="00184E93" w:rsidP="00184E93">
      <w:pPr>
        <w:jc w:val="center"/>
      </w:pPr>
      <w:r>
        <w:rPr>
          <w:noProof/>
        </w:rPr>
        <w:drawing>
          <wp:inline distT="0" distB="0" distL="0" distR="0" wp14:anchorId="1FA5F383" wp14:editId="3D0DE2B3">
            <wp:extent cx="4394959" cy="26955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14" t="28394" r="42628" b="34642"/>
                    <a:stretch/>
                  </pic:blipFill>
                  <pic:spPr bwMode="auto">
                    <a:xfrm>
                      <a:off x="0" y="0"/>
                      <a:ext cx="4408428" cy="2703836"/>
                    </a:xfrm>
                    <a:prstGeom prst="rect">
                      <a:avLst/>
                    </a:prstGeom>
                    <a:ln>
                      <a:noFill/>
                    </a:ln>
                    <a:extLst>
                      <a:ext uri="{53640926-AAD7-44D8-BBD7-CCE9431645EC}">
                        <a14:shadowObscured xmlns:a14="http://schemas.microsoft.com/office/drawing/2010/main"/>
                      </a:ext>
                    </a:extLst>
                  </pic:spPr>
                </pic:pic>
              </a:graphicData>
            </a:graphic>
          </wp:inline>
        </w:drawing>
      </w:r>
    </w:p>
    <w:p w:rsidR="00656B45" w:rsidRDefault="00656B45"/>
    <w:p w:rsidR="00BE6CCB" w:rsidRDefault="00BE6CCB"/>
    <w:p w:rsidR="00656B45" w:rsidRDefault="00184E93">
      <w:r w:rsidRPr="00184E93">
        <w:lastRenderedPageBreak/>
        <w:t xml:space="preserve">The key variable in these projections, interestingly, turns out not to be assumptions on income growth or RMB appreciation, but the urbanization rate. This reflects the simple fact that urban income standards </w:t>
      </w:r>
      <w:r w:rsidR="00D533D3">
        <w:t>are higher</w:t>
      </w:r>
      <w:r w:rsidRPr="00184E93">
        <w:t xml:space="preserve"> </w:t>
      </w:r>
      <w:r w:rsidR="00D533D3">
        <w:t>than rural ones giving</w:t>
      </w:r>
      <w:r w:rsidRPr="00184E93">
        <w:t xml:space="preserve"> household</w:t>
      </w:r>
      <w:r w:rsidR="00D533D3">
        <w:t>s</w:t>
      </w:r>
      <w:r w:rsidRPr="00184E93">
        <w:t xml:space="preserve"> a significant </w:t>
      </w:r>
      <w:r w:rsidR="00D93167">
        <w:t>initial boost.</w:t>
      </w:r>
      <w:r w:rsidRPr="00184E93">
        <w:t xml:space="preserve"> </w:t>
      </w:r>
      <w:r w:rsidR="00D93167">
        <w:t>T</w:t>
      </w:r>
      <w:r w:rsidRPr="00184E93">
        <w:t xml:space="preserve">he lowest </w:t>
      </w:r>
      <w:r w:rsidR="00D93167">
        <w:t>income decile</w:t>
      </w:r>
      <w:r w:rsidRPr="00184E93">
        <w:t xml:space="preserve"> of urban households in 2012 earned the same</w:t>
      </w:r>
      <w:r w:rsidR="00D93167">
        <w:t xml:space="preserve"> as the average rural household</w:t>
      </w:r>
      <w:r w:rsidRPr="00184E93">
        <w:t xml:space="preserve"> </w:t>
      </w:r>
      <w:r w:rsidR="00D93167">
        <w:t>and</w:t>
      </w:r>
      <w:r w:rsidRPr="00184E93">
        <w:t xml:space="preserve"> the next </w:t>
      </w:r>
      <w:r w:rsidR="00D93167">
        <w:t xml:space="preserve">income decile </w:t>
      </w:r>
      <w:r w:rsidRPr="00184E93">
        <w:t xml:space="preserve">up earned 50% more. </w:t>
      </w:r>
      <w:r w:rsidR="00D93167">
        <w:t>Given this shift in initial real income,</w:t>
      </w:r>
      <w:r w:rsidRPr="00184E93">
        <w:t xml:space="preserve"> the future growth of Chinese consumer spending clearly depends on the government’s ability to continue </w:t>
      </w:r>
      <w:r w:rsidR="00D93167">
        <w:t xml:space="preserve">its </w:t>
      </w:r>
      <w:r w:rsidRPr="00184E93">
        <w:t>effective urbanization</w:t>
      </w:r>
      <w:r w:rsidR="00D93167">
        <w:t xml:space="preserve"> project. I</w:t>
      </w:r>
      <w:r w:rsidRPr="00184E93">
        <w:t>t is no surprise that the new leadership has made encouraging urbanization a central plank in their policy platform.</w:t>
      </w:r>
    </w:p>
    <w:p w:rsidR="00184E93" w:rsidRDefault="00184E93">
      <w:r w:rsidRPr="00184E93">
        <w:t>For our entry-level Emerging Consumer households, the acceleration phenomenon was stronges</w:t>
      </w:r>
      <w:r w:rsidR="00D93167">
        <w:t xml:space="preserve">t during 2005-10, with about </w:t>
      </w:r>
      <w:r w:rsidR="00C30A2E">
        <w:t>16</w:t>
      </w:r>
      <w:r w:rsidR="00D93167">
        <w:t xml:space="preserve"> million</w:t>
      </w:r>
      <w:r w:rsidRPr="00184E93">
        <w:t xml:space="preserve"> households crossing the threshold each year and their total</w:t>
      </w:r>
      <w:r w:rsidR="00D93167">
        <w:t xml:space="preserve"> number growing at 30% a year. </w:t>
      </w:r>
      <w:r w:rsidRPr="00184E93">
        <w:t xml:space="preserve">As the table </w:t>
      </w:r>
      <w:r w:rsidR="00D93167">
        <w:t xml:space="preserve">above </w:t>
      </w:r>
      <w:r w:rsidRPr="00184E93">
        <w:t>shows, the net annual increase in Emerging households was a smaller 11</w:t>
      </w:r>
      <w:r w:rsidR="00D93167">
        <w:t xml:space="preserve"> </w:t>
      </w:r>
      <w:r w:rsidRPr="00184E93">
        <w:t>m</w:t>
      </w:r>
      <w:r w:rsidR="00D93167">
        <w:t>illion</w:t>
      </w:r>
      <w:r w:rsidRPr="00184E93">
        <w:t xml:space="preserve">, because </w:t>
      </w:r>
      <w:r w:rsidR="00C30A2E">
        <w:t>5</w:t>
      </w:r>
      <w:r w:rsidR="00D93167">
        <w:t xml:space="preserve"> </w:t>
      </w:r>
      <w:r w:rsidRPr="00184E93">
        <w:t>m</w:t>
      </w:r>
      <w:r w:rsidR="00D93167">
        <w:t>illion</w:t>
      </w:r>
      <w:r w:rsidRPr="00184E93">
        <w:t xml:space="preserve"> households each year moved up</w:t>
      </w:r>
      <w:r w:rsidR="00D93167">
        <w:t xml:space="preserve"> into the Established category.</w:t>
      </w:r>
      <w:r w:rsidRPr="00184E93">
        <w:t xml:space="preserve"> These years saw a boom in mode</w:t>
      </w:r>
      <w:r w:rsidR="00D93167">
        <w:t>rn retailing and sporting goods</w:t>
      </w:r>
      <w:r w:rsidRPr="00184E93">
        <w:t xml:space="preserve">. </w:t>
      </w:r>
      <w:r w:rsidR="00D93167">
        <w:t>However,</w:t>
      </w:r>
      <w:r w:rsidRPr="00184E93">
        <w:t xml:space="preserve"> the growth phase for this category of consumers is probably over. The character of the new Emerging Consumers will also change, as the majority of those crossing this threshold in coming years will originate from rural areas and smaller cities.</w:t>
      </w:r>
    </w:p>
    <w:p w:rsidR="00184E93" w:rsidRDefault="00184E93">
      <w:r w:rsidRPr="00184E93">
        <w:t>China’s Established Consumers have come into their own more recently, with the acceleration phenomenon kicking in strongly in the latter years of the last decade. Those were the boom years for China’s auto market</w:t>
      </w:r>
      <w:r w:rsidR="00C30A2E">
        <w:t xml:space="preserve"> as the</w:t>
      </w:r>
      <w:r w:rsidRPr="00184E93">
        <w:t xml:space="preserve"> totemic purchase </w:t>
      </w:r>
      <w:r w:rsidR="00C30A2E">
        <w:t>for these consumers wa</w:t>
      </w:r>
      <w:r w:rsidRPr="00184E93">
        <w:t>s a car. An international comparison of car ownership and income levels suggests that vehicle ownership takes off somewhere around US$4,000 or US$5,000 per ca</w:t>
      </w:r>
      <w:r w:rsidR="00C30A2E">
        <w:t>pita which is near</w:t>
      </w:r>
      <w:r w:rsidRPr="00184E93">
        <w:t xml:space="preserve"> the US</w:t>
      </w:r>
      <w:r w:rsidR="00C30A2E">
        <w:t>$13,500 household income of the Established consumer category</w:t>
      </w:r>
      <w:r w:rsidRPr="00184E93">
        <w:t xml:space="preserve">. </w:t>
      </w:r>
      <w:r w:rsidR="00C30A2E">
        <w:t>T</w:t>
      </w:r>
      <w:r w:rsidRPr="00184E93">
        <w:t xml:space="preserve">he stock of passenger cars in private ownership indeed corresponds well with </w:t>
      </w:r>
      <w:r w:rsidR="00C30A2E">
        <w:t>my</w:t>
      </w:r>
      <w:r w:rsidRPr="00184E93">
        <w:t xml:space="preserve"> estimates for the number of households above this threshold </w:t>
      </w:r>
      <w:r w:rsidR="00C30A2E">
        <w:t>as shown in the chart below</w:t>
      </w:r>
      <w:r w:rsidRPr="00184E93">
        <w:t>.</w:t>
      </w:r>
    </w:p>
    <w:p w:rsidR="00184E93" w:rsidRDefault="00184E93">
      <w:r w:rsidRPr="00184E93">
        <w:t>Still, the high-growth phase is probably close to</w:t>
      </w:r>
      <w:r w:rsidR="00C30A2E">
        <w:t xml:space="preserve"> over for Established Consumers as the 20% </w:t>
      </w:r>
      <w:r w:rsidRPr="00184E93">
        <w:t>plus annual growth in the net size of this group will slow to 11% in 2012-15 and t</w:t>
      </w:r>
      <w:r w:rsidR="00C30A2E">
        <w:t>o just 1% in 2015-20. Around 20 million</w:t>
      </w:r>
      <w:r w:rsidRPr="00184E93">
        <w:t xml:space="preserve"> households will</w:t>
      </w:r>
      <w:r w:rsidR="00C30A2E">
        <w:t xml:space="preserve"> cross the threshold every year. However,</w:t>
      </w:r>
      <w:r w:rsidRPr="00184E93">
        <w:t xml:space="preserve"> the net increase will slow from 8</w:t>
      </w:r>
      <w:r w:rsidR="00C30A2E">
        <w:t xml:space="preserve"> </w:t>
      </w:r>
      <w:r w:rsidRPr="00184E93">
        <w:t>m</w:t>
      </w:r>
      <w:r w:rsidR="00C30A2E">
        <w:t>illion</w:t>
      </w:r>
      <w:r w:rsidRPr="00184E93">
        <w:t xml:space="preserve"> to 6</w:t>
      </w:r>
      <w:r w:rsidR="00C30A2E">
        <w:t xml:space="preserve"> </w:t>
      </w:r>
      <w:r w:rsidRPr="00184E93">
        <w:t>m</w:t>
      </w:r>
      <w:r w:rsidR="00C30A2E">
        <w:t>illion</w:t>
      </w:r>
      <w:r w:rsidRPr="00184E93">
        <w:t xml:space="preserve"> </w:t>
      </w:r>
      <w:r w:rsidR="00C30A2E">
        <w:t xml:space="preserve">between 2012 and 2015 </w:t>
      </w:r>
      <w:r w:rsidRPr="00184E93">
        <w:t>and then to 1</w:t>
      </w:r>
      <w:r w:rsidR="00C30A2E">
        <w:t xml:space="preserve"> </w:t>
      </w:r>
      <w:r w:rsidRPr="00184E93">
        <w:t>m</w:t>
      </w:r>
      <w:r w:rsidR="00C30A2E">
        <w:t>illion</w:t>
      </w:r>
      <w:r w:rsidRPr="00184E93">
        <w:t xml:space="preserve"> </w:t>
      </w:r>
      <w:r w:rsidR="00C30A2E">
        <w:t xml:space="preserve">between 2015 and </w:t>
      </w:r>
      <w:r w:rsidRPr="00184E93">
        <w:t>20</w:t>
      </w:r>
      <w:r w:rsidR="00C30A2E">
        <w:t>20</w:t>
      </w:r>
      <w:r w:rsidRPr="00184E93">
        <w:t>. Yet the number of Established and Affluent households that can affor</w:t>
      </w:r>
      <w:r w:rsidR="00C30A2E">
        <w:t>d a car will rise significantly, from 107 million today</w:t>
      </w:r>
      <w:r w:rsidRPr="00184E93">
        <w:t xml:space="preserve"> to 164</w:t>
      </w:r>
      <w:r w:rsidR="00C30A2E">
        <w:t xml:space="preserve"> </w:t>
      </w:r>
      <w:r w:rsidRPr="00184E93">
        <w:t>m</w:t>
      </w:r>
      <w:r w:rsidR="00C30A2E">
        <w:t>illion in 2015</w:t>
      </w:r>
      <w:r w:rsidRPr="00184E93">
        <w:t xml:space="preserve"> and to 256</w:t>
      </w:r>
      <w:r w:rsidR="00C30A2E">
        <w:t xml:space="preserve"> </w:t>
      </w:r>
      <w:r w:rsidRPr="00184E93">
        <w:t>m</w:t>
      </w:r>
      <w:r w:rsidR="00C30A2E">
        <w:t>illion</w:t>
      </w:r>
      <w:r w:rsidRPr="00184E93">
        <w:t xml:space="preserve"> by 2020. </w:t>
      </w:r>
      <w:r w:rsidR="00C30A2E">
        <w:t xml:space="preserve">Assuming consumer preferences of certain goods and services remain constant, </w:t>
      </w:r>
      <w:r w:rsidR="00280D19">
        <w:t xml:space="preserve">growth rates in auto </w:t>
      </w:r>
      <w:r w:rsidRPr="00184E93">
        <w:t xml:space="preserve">sales </w:t>
      </w:r>
      <w:r w:rsidR="00280D19">
        <w:t>should exceed</w:t>
      </w:r>
      <w:r w:rsidRPr="00184E93">
        <w:t xml:space="preserve"> </w:t>
      </w:r>
      <w:r w:rsidR="00280D19">
        <w:t>nominal GDP growth</w:t>
      </w:r>
      <w:r w:rsidRPr="00184E93">
        <w:t xml:space="preserve"> for the next decade. There is no guarantee that China will follow the patterns of car ownership seen in other countries, but the limiting factors will be government policy and urban planning, not incomes or affordability.</w:t>
      </w:r>
    </w:p>
    <w:p w:rsidR="00184E93" w:rsidRDefault="00184E93" w:rsidP="00184E93">
      <w:pPr>
        <w:jc w:val="center"/>
      </w:pPr>
      <w:r>
        <w:rPr>
          <w:noProof/>
        </w:rPr>
        <w:lastRenderedPageBreak/>
        <w:drawing>
          <wp:inline distT="0" distB="0" distL="0" distR="0" wp14:anchorId="3DCA175E" wp14:editId="4BACC3DE">
            <wp:extent cx="4495800" cy="310329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35" t="36161" r="42147" b="22053"/>
                    <a:stretch/>
                  </pic:blipFill>
                  <pic:spPr bwMode="auto">
                    <a:xfrm>
                      <a:off x="0" y="0"/>
                      <a:ext cx="4511380" cy="3114050"/>
                    </a:xfrm>
                    <a:prstGeom prst="rect">
                      <a:avLst/>
                    </a:prstGeom>
                    <a:ln>
                      <a:noFill/>
                    </a:ln>
                    <a:extLst>
                      <a:ext uri="{53640926-AAD7-44D8-BBD7-CCE9431645EC}">
                        <a14:shadowObscured xmlns:a14="http://schemas.microsoft.com/office/drawing/2010/main"/>
                      </a:ext>
                    </a:extLst>
                  </pic:spPr>
                </pic:pic>
              </a:graphicData>
            </a:graphic>
          </wp:inline>
        </w:drawing>
      </w:r>
    </w:p>
    <w:p w:rsidR="00656B45" w:rsidRDefault="00656B45"/>
    <w:p w:rsidR="00656B45" w:rsidRDefault="00184E93">
      <w:r w:rsidRPr="00184E93">
        <w:t>Markets for goods and services associated with more affluent consumers</w:t>
      </w:r>
      <w:r w:rsidR="00280D19">
        <w:t xml:space="preserve"> </w:t>
      </w:r>
      <w:r w:rsidRPr="00184E93">
        <w:t>are likely to experience the most intense part of the acceleration phenomenon later this decade. The number of households that pass the Affluent Consumer threshold each year will rise from 10</w:t>
      </w:r>
      <w:r w:rsidR="00280D19">
        <w:t xml:space="preserve"> </w:t>
      </w:r>
      <w:r w:rsidRPr="00184E93">
        <w:t>m</w:t>
      </w:r>
      <w:r w:rsidR="00280D19">
        <w:t>illion</w:t>
      </w:r>
      <w:r w:rsidRPr="00184E93">
        <w:t xml:space="preserve"> </w:t>
      </w:r>
      <w:r w:rsidR="00280D19">
        <w:t xml:space="preserve">between 2010 and </w:t>
      </w:r>
      <w:r w:rsidRPr="00184E93">
        <w:t>2012 to around 15</w:t>
      </w:r>
      <w:r w:rsidR="00280D19">
        <w:t xml:space="preserve"> </w:t>
      </w:r>
      <w:r w:rsidRPr="00184E93">
        <w:t>m</w:t>
      </w:r>
      <w:r w:rsidR="00280D19">
        <w:t>illion</w:t>
      </w:r>
      <w:r w:rsidRPr="00184E93">
        <w:t xml:space="preserve"> by 2015 and hit 20</w:t>
      </w:r>
      <w:r w:rsidR="00280D19">
        <w:t xml:space="preserve"> </w:t>
      </w:r>
      <w:r w:rsidRPr="00184E93">
        <w:t>m</w:t>
      </w:r>
      <w:r w:rsidR="00280D19">
        <w:t>illion</w:t>
      </w:r>
      <w:r w:rsidRPr="00184E93">
        <w:t xml:space="preserve"> by 2020. The percentage growth of the total size of this consumer group will remain </w:t>
      </w:r>
      <w:r w:rsidR="00280D19">
        <w:t>strong</w:t>
      </w:r>
      <w:r w:rsidRPr="00184E93">
        <w:t>, holding above 15% for most of the decade. This shift means that affluent households will become the</w:t>
      </w:r>
      <w:r w:rsidR="00280D19">
        <w:t xml:space="preserve"> fastest </w:t>
      </w:r>
      <w:r w:rsidRPr="00184E93">
        <w:t>growing part of China’s consumer economy, with significant implications for the type of products that will experience rapid growth. For Affluent Consumers, experiences begin to trump products as a sour</w:t>
      </w:r>
      <w:r w:rsidR="00280D19">
        <w:t xml:space="preserve">ce of satisfaction and prestige </w:t>
      </w:r>
      <w:r w:rsidRPr="00184E93">
        <w:t>from foreign travel to ballet classes for their darling youngsters. The first stages of this shift are apparent</w:t>
      </w:r>
      <w:r w:rsidR="00280D19">
        <w:t xml:space="preserve"> in some statistics from Boeing,</w:t>
      </w:r>
      <w:r w:rsidRPr="00184E93">
        <w:t xml:space="preserve"> air travel between China and Europe/North America grew 17% in 2011 to 179</w:t>
      </w:r>
      <w:r w:rsidR="00280D19">
        <w:t xml:space="preserve"> </w:t>
      </w:r>
      <w:r w:rsidRPr="00184E93">
        <w:t>m</w:t>
      </w:r>
      <w:r w:rsidR="00280D19">
        <w:t>illion</w:t>
      </w:r>
      <w:r w:rsidRPr="00184E93">
        <w:t xml:space="preserve"> trips. As China’s Affluent Consumer households grow in number, th</w:t>
      </w:r>
      <w:r w:rsidR="00280D19">
        <w:t>e</w:t>
      </w:r>
      <w:r w:rsidRPr="00184E93">
        <w:t xml:space="preserve"> shift towards greater consumption of services should also accelerate. Unfortunately this trend will be difficult to monitor, as there are few high-frequency gauges of activity in China’s service sector.</w:t>
      </w:r>
    </w:p>
    <w:p w:rsidR="00BE5095" w:rsidRDefault="00BE5095"/>
    <w:p w:rsidR="00184E93" w:rsidRDefault="00184E93" w:rsidP="00184E93">
      <w:pPr>
        <w:jc w:val="center"/>
      </w:pPr>
      <w:r>
        <w:rPr>
          <w:noProof/>
        </w:rPr>
        <w:lastRenderedPageBreak/>
        <w:drawing>
          <wp:inline distT="0" distB="0" distL="0" distR="0" wp14:anchorId="745044E6" wp14:editId="0902F008">
            <wp:extent cx="4457700" cy="3110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95" t="26250" r="42147" b="31696"/>
                    <a:stretch/>
                  </pic:blipFill>
                  <pic:spPr bwMode="auto">
                    <a:xfrm>
                      <a:off x="0" y="0"/>
                      <a:ext cx="4470208" cy="3119212"/>
                    </a:xfrm>
                    <a:prstGeom prst="rect">
                      <a:avLst/>
                    </a:prstGeom>
                    <a:ln>
                      <a:noFill/>
                    </a:ln>
                    <a:extLst>
                      <a:ext uri="{53640926-AAD7-44D8-BBD7-CCE9431645EC}">
                        <a14:shadowObscured xmlns:a14="http://schemas.microsoft.com/office/drawing/2010/main"/>
                      </a:ext>
                    </a:extLst>
                  </pic:spPr>
                </pic:pic>
              </a:graphicData>
            </a:graphic>
          </wp:inline>
        </w:drawing>
      </w:r>
    </w:p>
    <w:p w:rsidR="00184E93" w:rsidRDefault="00184E93" w:rsidP="00184E93"/>
    <w:p w:rsidR="003A1214" w:rsidRDefault="00BE5095" w:rsidP="00184E93">
      <w:r w:rsidRPr="00BE5095">
        <w:t>In closing, it’s important to emphasize that the size of the various consumer populations that we have identified is only an indicator of the potential market size. If distribution channels cannot keep pace with spending power, those potential sales remain inaccessible. This is a particularly important point now as hard-to-reach rural residents will start to become a major source of the new entrants into the consumer class. The companies that will do best in China’s consumer market over the next decade, therefore, will certainly include those who can position themselves to take advantage of the acceleration phenomenon of affluent households. But it will also include those who are adept at breaking down barriers to reaching lower-income consumers and translating China’s great potential into sales.</w:t>
      </w:r>
    </w:p>
    <w:p w:rsidR="003A1214" w:rsidRDefault="003A1214" w:rsidP="00184E93"/>
    <w:p w:rsidR="008A4977" w:rsidRDefault="008A4977" w:rsidP="00184E93">
      <w:pPr>
        <w:rPr>
          <w:b/>
        </w:rPr>
      </w:pPr>
    </w:p>
    <w:p w:rsidR="003A1214" w:rsidRPr="003A1214" w:rsidRDefault="003A1214" w:rsidP="00184E93">
      <w:pPr>
        <w:rPr>
          <w:b/>
        </w:rPr>
      </w:pPr>
      <w:r w:rsidRPr="003A1214">
        <w:rPr>
          <w:b/>
        </w:rPr>
        <w:t>Brian Fagan</w:t>
      </w:r>
    </w:p>
    <w:p w:rsidR="003A1214" w:rsidRPr="008A4977" w:rsidRDefault="003A1214" w:rsidP="003A1214">
      <w:pPr>
        <w:rPr>
          <w:b/>
        </w:rPr>
      </w:pPr>
      <w:r w:rsidRPr="003A1214">
        <w:rPr>
          <w:b/>
        </w:rPr>
        <w:t>MacKay Shields, March 2013</w:t>
      </w:r>
      <w:bookmarkStart w:id="0" w:name="_GoBack"/>
      <w:bookmarkEnd w:id="0"/>
    </w:p>
    <w:p w:rsidR="003A1214" w:rsidRDefault="003A1214" w:rsidP="003A1214">
      <w:pPr>
        <w:rPr>
          <w:rFonts w:ascii="Arial Black" w:hAnsi="Arial Black"/>
          <w:sz w:val="20"/>
          <w:szCs w:val="20"/>
        </w:rPr>
      </w:pPr>
    </w:p>
    <w:p w:rsidR="003A1214" w:rsidRDefault="003A1214" w:rsidP="003A1214">
      <w:pPr>
        <w:rPr>
          <w:rFonts w:ascii="Arial Black" w:hAnsi="Arial Black"/>
          <w:sz w:val="20"/>
          <w:szCs w:val="20"/>
        </w:rPr>
      </w:pPr>
    </w:p>
    <w:p w:rsidR="003A1214" w:rsidRPr="00990F13" w:rsidRDefault="003A1214" w:rsidP="003A1214">
      <w:pPr>
        <w:rPr>
          <w:rFonts w:ascii="Franklin Gothic Book" w:hAnsi="Franklin Gothic Book"/>
          <w:sz w:val="18"/>
          <w:szCs w:val="18"/>
        </w:rPr>
      </w:pPr>
      <w:r w:rsidRPr="003A1214">
        <w:rPr>
          <w:rFonts w:ascii="Arial Black" w:hAnsi="Arial Black"/>
        </w:rPr>
        <w:t>About the Author</w:t>
      </w:r>
      <w:r w:rsidRPr="00990F13">
        <w:rPr>
          <w:rFonts w:ascii="Arial Black" w:hAnsi="Arial Black"/>
          <w:sz w:val="20"/>
          <w:szCs w:val="20"/>
        </w:rPr>
        <w:t>:</w:t>
      </w:r>
      <w:r>
        <w:rPr>
          <w:rFonts w:ascii="Arial Black" w:hAnsi="Arial Black"/>
          <w:sz w:val="20"/>
          <w:szCs w:val="20"/>
        </w:rPr>
        <w:t xml:space="preserve"> </w:t>
      </w:r>
      <w:r w:rsidRPr="003A1214">
        <w:rPr>
          <w:rFonts w:ascii="Franklin Gothic Book" w:hAnsi="Franklin Gothic Book"/>
        </w:rPr>
        <w:t xml:space="preserve">Brian joined </w:t>
      </w:r>
      <w:r>
        <w:rPr>
          <w:rFonts w:ascii="Franklin Gothic Book" w:hAnsi="Franklin Gothic Book"/>
        </w:rPr>
        <w:t xml:space="preserve">the Global Fixed Income group at </w:t>
      </w:r>
      <w:r w:rsidRPr="003A1214">
        <w:rPr>
          <w:rFonts w:ascii="Franklin Gothic Book" w:hAnsi="Franklin Gothic Book"/>
        </w:rPr>
        <w:t xml:space="preserve">MacKay Shields in </w:t>
      </w:r>
      <w:r w:rsidR="005468ED">
        <w:rPr>
          <w:rFonts w:ascii="Franklin Gothic Book" w:hAnsi="Franklin Gothic Book"/>
        </w:rPr>
        <w:t xml:space="preserve">July of </w:t>
      </w:r>
      <w:r w:rsidRPr="003A1214">
        <w:rPr>
          <w:rFonts w:ascii="Franklin Gothic Book" w:hAnsi="Franklin Gothic Book"/>
        </w:rPr>
        <w:t>2013 as a macroeconomic and quantitative research analyst</w:t>
      </w:r>
      <w:r>
        <w:rPr>
          <w:rFonts w:ascii="Franklin Gothic Book" w:hAnsi="Franklin Gothic Book"/>
        </w:rPr>
        <w:t xml:space="preserve">. </w:t>
      </w:r>
      <w:r w:rsidR="005468ED">
        <w:rPr>
          <w:rFonts w:ascii="Franklin Gothic Book" w:hAnsi="Franklin Gothic Book"/>
        </w:rPr>
        <w:t xml:space="preserve">In this role, he works with the firm’s Chief Investment Officer </w:t>
      </w:r>
      <w:r w:rsidR="000B3EA8">
        <w:rPr>
          <w:rFonts w:ascii="Franklin Gothic Book" w:hAnsi="Franklin Gothic Book"/>
        </w:rPr>
        <w:t>designing and managing corporate cash and derivative fixed income strategies</w:t>
      </w:r>
      <w:r w:rsidR="005468ED">
        <w:rPr>
          <w:rFonts w:ascii="Franklin Gothic Book" w:hAnsi="Franklin Gothic Book"/>
        </w:rPr>
        <w:t>.</w:t>
      </w:r>
      <w:r w:rsidR="000B3EA8">
        <w:rPr>
          <w:rFonts w:ascii="Franklin Gothic Book" w:hAnsi="Franklin Gothic Book"/>
        </w:rPr>
        <w:t xml:space="preserve"> </w:t>
      </w:r>
      <w:r w:rsidRPr="003A1214">
        <w:rPr>
          <w:rFonts w:ascii="Franklin Gothic Book" w:hAnsi="Franklin Gothic Book"/>
        </w:rPr>
        <w:t>Prior</w:t>
      </w:r>
      <w:r>
        <w:rPr>
          <w:rFonts w:ascii="Franklin Gothic Book" w:hAnsi="Franklin Gothic Book"/>
        </w:rPr>
        <w:t xml:space="preserve"> to joining the firm, he was </w:t>
      </w:r>
      <w:r w:rsidRPr="003A1214">
        <w:rPr>
          <w:rFonts w:ascii="Franklin Gothic Book" w:hAnsi="Franklin Gothic Book"/>
        </w:rPr>
        <w:t>in the New York Life Investment Anal</w:t>
      </w:r>
      <w:r>
        <w:rPr>
          <w:rFonts w:ascii="Franklin Gothic Book" w:hAnsi="Franklin Gothic Book"/>
        </w:rPr>
        <w:t xml:space="preserve">yst Program </w:t>
      </w:r>
      <w:r w:rsidR="000B3EA8">
        <w:rPr>
          <w:rFonts w:ascii="Franklin Gothic Book" w:hAnsi="Franklin Gothic Book"/>
        </w:rPr>
        <w:t xml:space="preserve">as an </w:t>
      </w:r>
      <w:r w:rsidR="000B3EA8">
        <w:rPr>
          <w:rFonts w:ascii="Franklin Gothic Book" w:hAnsi="Franklin Gothic Book"/>
        </w:rPr>
        <w:t xml:space="preserve">emerging market corporate research analyst </w:t>
      </w:r>
      <w:r w:rsidR="000B3EA8">
        <w:rPr>
          <w:rFonts w:ascii="Franklin Gothic Book" w:hAnsi="Franklin Gothic Book"/>
        </w:rPr>
        <w:t>from 2011 to 2013</w:t>
      </w:r>
      <w:r w:rsidRPr="003A1214">
        <w:rPr>
          <w:rFonts w:ascii="Franklin Gothic Book" w:hAnsi="Franklin Gothic Book"/>
        </w:rPr>
        <w:t xml:space="preserve">. Prior </w:t>
      </w:r>
      <w:r w:rsidR="000B3EA8">
        <w:rPr>
          <w:rFonts w:ascii="Franklin Gothic Book" w:hAnsi="Franklin Gothic Book"/>
        </w:rPr>
        <w:t xml:space="preserve">started his career at </w:t>
      </w:r>
      <w:proofErr w:type="spellStart"/>
      <w:r w:rsidR="000B3EA8">
        <w:rPr>
          <w:rFonts w:ascii="Franklin Gothic Book" w:hAnsi="Franklin Gothic Book"/>
        </w:rPr>
        <w:t>AllianceBernstein</w:t>
      </w:r>
      <w:proofErr w:type="spellEnd"/>
      <w:r w:rsidRPr="003A1214">
        <w:rPr>
          <w:rFonts w:ascii="Franklin Gothic Book" w:hAnsi="Franklin Gothic Book"/>
        </w:rPr>
        <w:t xml:space="preserve">, </w:t>
      </w:r>
      <w:r w:rsidR="000B3EA8">
        <w:rPr>
          <w:rFonts w:ascii="Franklin Gothic Book" w:hAnsi="Franklin Gothic Book"/>
        </w:rPr>
        <w:t xml:space="preserve">where </w:t>
      </w:r>
      <w:r w:rsidRPr="003A1214">
        <w:rPr>
          <w:rFonts w:ascii="Franklin Gothic Book" w:hAnsi="Franklin Gothic Book"/>
        </w:rPr>
        <w:t xml:space="preserve">he was a </w:t>
      </w:r>
      <w:r w:rsidR="005468ED">
        <w:rPr>
          <w:rFonts w:ascii="Franklin Gothic Book" w:hAnsi="Franklin Gothic Book"/>
        </w:rPr>
        <w:t xml:space="preserve">member of the Global Analytics team </w:t>
      </w:r>
      <w:r w:rsidRPr="003A1214">
        <w:rPr>
          <w:rFonts w:ascii="Franklin Gothic Book" w:hAnsi="Franklin Gothic Book"/>
        </w:rPr>
        <w:t xml:space="preserve">as </w:t>
      </w:r>
      <w:r w:rsidR="005468ED">
        <w:rPr>
          <w:rFonts w:ascii="Franklin Gothic Book" w:hAnsi="Franklin Gothic Book"/>
        </w:rPr>
        <w:t xml:space="preserve">quantitative </w:t>
      </w:r>
      <w:r w:rsidR="000B3EA8">
        <w:rPr>
          <w:rFonts w:ascii="Franklin Gothic Book" w:hAnsi="Franklin Gothic Book"/>
        </w:rPr>
        <w:t xml:space="preserve">risk </w:t>
      </w:r>
      <w:r w:rsidR="005468ED">
        <w:rPr>
          <w:rFonts w:ascii="Franklin Gothic Book" w:hAnsi="Franklin Gothic Book"/>
        </w:rPr>
        <w:t>analyst. Brian</w:t>
      </w:r>
      <w:r w:rsidRPr="003A1214">
        <w:rPr>
          <w:rFonts w:ascii="Franklin Gothic Book" w:hAnsi="Franklin Gothic Book"/>
        </w:rPr>
        <w:t xml:space="preserve"> received a B</w:t>
      </w:r>
      <w:r w:rsidR="005468ED">
        <w:rPr>
          <w:rFonts w:ascii="Franklin Gothic Book" w:hAnsi="Franklin Gothic Book"/>
        </w:rPr>
        <w:t>.</w:t>
      </w:r>
      <w:r w:rsidRPr="003A1214">
        <w:rPr>
          <w:rFonts w:ascii="Franklin Gothic Book" w:hAnsi="Franklin Gothic Book"/>
        </w:rPr>
        <w:t>S</w:t>
      </w:r>
      <w:r w:rsidR="005468ED">
        <w:rPr>
          <w:rFonts w:ascii="Franklin Gothic Book" w:hAnsi="Franklin Gothic Book"/>
        </w:rPr>
        <w:t>.</w:t>
      </w:r>
      <w:r w:rsidRPr="003A1214">
        <w:rPr>
          <w:rFonts w:ascii="Franklin Gothic Book" w:hAnsi="Franklin Gothic Book"/>
        </w:rPr>
        <w:t xml:space="preserve"> in Applied Mathematics, magna cum laude, from Manhattan College in 2010. Brian is a level III candidate in the CFA program.</w:t>
      </w:r>
    </w:p>
    <w:p w:rsidR="00656B45" w:rsidRDefault="00656B45">
      <w:pPr>
        <w:rPr>
          <w:b/>
        </w:rPr>
      </w:pPr>
      <w:r w:rsidRPr="00656B45">
        <w:rPr>
          <w:b/>
        </w:rPr>
        <w:lastRenderedPageBreak/>
        <w:t>Technical appendix</w:t>
      </w:r>
      <w:r w:rsidR="00A34A3F">
        <w:rPr>
          <w:b/>
        </w:rPr>
        <w:t xml:space="preserve"> (Updated in May of 2016)</w:t>
      </w:r>
    </w:p>
    <w:p w:rsidR="00656B45" w:rsidRDefault="00656B45">
      <w:r>
        <w:t xml:space="preserve">The basis for our income distribution model is the official data on the income of urban and rural households from the National Bureau of Statistics’ household survey. Historically, income distribution by quintile was reported separately for urban and rural households, but in 2013 the NBS also began reporting a unified nationwide income distribution. Unfortunately, this income distribution is less detailed than the combination of the urban and rural distributions, and also difficult to reconcile with those separate reports. </w:t>
      </w:r>
      <w:r w:rsidR="001E0FC4">
        <w:t>Given the opaque nature of sampling techniques used by China’s NBS</w:t>
      </w:r>
      <w:r>
        <w:t xml:space="preserve">, </w:t>
      </w:r>
      <w:r w:rsidR="001E0FC4">
        <w:t>I</w:t>
      </w:r>
      <w:r>
        <w:t xml:space="preserve"> use the separate urban and rural income distributi</w:t>
      </w:r>
      <w:r w:rsidR="001E0FC4">
        <w:t>ons rather than the unified one</w:t>
      </w:r>
      <w:r>
        <w:t xml:space="preserve"> </w:t>
      </w:r>
      <w:r w:rsidR="001E0FC4">
        <w:t>and</w:t>
      </w:r>
      <w:r>
        <w:t xml:space="preserve"> add additional detail from the World Bank’s </w:t>
      </w:r>
      <w:proofErr w:type="spellStart"/>
      <w:r>
        <w:t>PovcalNet</w:t>
      </w:r>
      <w:proofErr w:type="spellEnd"/>
      <w:r w:rsidR="00A34A3F">
        <w:rPr>
          <w:rStyle w:val="FootnoteReference"/>
        </w:rPr>
        <w:footnoteReference w:id="4"/>
      </w:r>
      <w:r w:rsidR="001E0FC4">
        <w:t xml:space="preserve"> database.</w:t>
      </w:r>
      <w:r>
        <w:t xml:space="preserve"> </w:t>
      </w:r>
      <w:r w:rsidR="001E0FC4">
        <w:t>This</w:t>
      </w:r>
      <w:r>
        <w:t xml:space="preserve"> </w:t>
      </w:r>
      <w:r w:rsidR="001E0FC4">
        <w:t xml:space="preserve">database </w:t>
      </w:r>
      <w:r>
        <w:t xml:space="preserve">has access to more NBS household survey data than other public sources. Although </w:t>
      </w:r>
      <w:r w:rsidR="00A34A3F">
        <w:t>there is</w:t>
      </w:r>
      <w:r>
        <w:t xml:space="preserve"> missing </w:t>
      </w:r>
      <w:r w:rsidR="00A34A3F">
        <w:t xml:space="preserve">data </w:t>
      </w:r>
      <w:r>
        <w:t>for some years, requiring interpolation, and is only available up to 2012, it allows a more finely grained pic</w:t>
      </w:r>
      <w:r w:rsidR="001E0FC4">
        <w:t>ture of the income distribution. This allowed me to see</w:t>
      </w:r>
      <w:r>
        <w:t>, for instance, that the top 10% of urban households (or roughly the top 5% of all households) earn 28% of total household income.</w:t>
      </w:r>
    </w:p>
    <w:p w:rsidR="00656B45" w:rsidRDefault="00656B45">
      <w:r>
        <w:t xml:space="preserve">However, the income reported in the household survey appears to be somewhat incomplete. In the national accounts, total household income ends up being 30-40% </w:t>
      </w:r>
      <w:r w:rsidR="001E0FC4">
        <w:t>larger</w:t>
      </w:r>
      <w:r>
        <w:t xml:space="preserve"> than the total income implied by the </w:t>
      </w:r>
      <w:r w:rsidR="001E0FC4">
        <w:t>household survey.</w:t>
      </w:r>
      <w:r>
        <w:t xml:space="preserve"> </w:t>
      </w:r>
      <w:r w:rsidR="001E0FC4">
        <w:t>I</w:t>
      </w:r>
      <w:r>
        <w:t xml:space="preserve">n 2013, the flow of funds shows total household income of RMB35.7trn, while the household survey shows total income of only RMB24.9trn. The main difference between the two is that the household survey captures mainly cash income, while the flow of funds captures a broader range of compensation, including employee benefits, and has better sources for some income that is under-reported in the survey. The flow of funds should thus be the most accurate measure of total income, but it lacks data on the distribution of income. The difficulty then is how to allocate the additional income found in the flow of funds across different income groups, and there is no clear-cut method for doing so. The best source </w:t>
      </w:r>
      <w:r w:rsidR="001E0FC4">
        <w:t>I</w:t>
      </w:r>
      <w:r>
        <w:t xml:space="preserve"> could find was the work of </w:t>
      </w:r>
      <w:r w:rsidR="001E0FC4">
        <w:t>C</w:t>
      </w:r>
      <w:r>
        <w:t xml:space="preserve">hinese economist Wang </w:t>
      </w:r>
      <w:proofErr w:type="spellStart"/>
      <w:r>
        <w:t>Xiaolu</w:t>
      </w:r>
      <w:proofErr w:type="spellEnd"/>
      <w:r w:rsidR="00A34A3F">
        <w:rPr>
          <w:rStyle w:val="FootnoteReference"/>
        </w:rPr>
        <w:footnoteReference w:id="5"/>
      </w:r>
      <w:r>
        <w:t>, who conducted private surveys to estimate the extent of household income not reported to the government, and estimated how the income distribution would change as a result.</w:t>
      </w:r>
    </w:p>
    <w:p w:rsidR="00280D19" w:rsidRDefault="001E0FC4">
      <w:r>
        <w:t>I</w:t>
      </w:r>
      <w:r w:rsidR="00656B45">
        <w:t xml:space="preserve"> d</w:t>
      </w:r>
      <w:r>
        <w:t>id</w:t>
      </w:r>
      <w:r w:rsidR="00656B45">
        <w:t xml:space="preserve"> not directly borrow Wang’s results for two reasons. First, Wang’s survey and methodology implies that total household income in 2008 was 30% higher than shown in the national accounts, and 70% higher than shown in the NBS household survey. </w:t>
      </w:r>
      <w:r>
        <w:t>To me, this is simply implausible.</w:t>
      </w:r>
      <w:r w:rsidR="00656B45">
        <w:t xml:space="preserve"> </w:t>
      </w:r>
      <w:r>
        <w:t>W</w:t>
      </w:r>
      <w:r w:rsidR="00656B45">
        <w:t>hile there is still some under-estimation of household consumption in China’s national accounts, there is no credible evidence that such massive sums are going missing. Second, Wang’s results imply an extreme level of income inequality that is also implausible. His income distribution gives a Gini coefficient of 0.65 for 2010, while the official household survey has a Gini of 0.46, and independent household surveys</w:t>
      </w:r>
      <w:r w:rsidR="00537CF9">
        <w:rPr>
          <w:rStyle w:val="FootnoteReference"/>
        </w:rPr>
        <w:footnoteReference w:id="6"/>
      </w:r>
      <w:r w:rsidR="00656B45">
        <w:t xml:space="preserve"> yield Gini coefficients of 0.50- 0.58. Nonetheless, Wang’s survey results at least provide some objective basis for understanding how much of the income missing from the household survey accrues to different groups. </w:t>
      </w:r>
      <w:r>
        <w:t>In order</w:t>
      </w:r>
      <w:r w:rsidR="00656B45">
        <w:t xml:space="preserve"> to </w:t>
      </w:r>
      <w:r w:rsidR="001F2294">
        <w:t>incorporate conservative measures while using meaningful trends in my model, I used Wang’s adjustments</w:t>
      </w:r>
      <w:r w:rsidR="00656B45">
        <w:t xml:space="preserve"> but constrain</w:t>
      </w:r>
      <w:r w:rsidR="001F2294">
        <w:t>ed</w:t>
      </w:r>
      <w:r w:rsidR="00656B45">
        <w:t xml:space="preserve"> them so that the total household </w:t>
      </w:r>
      <w:r w:rsidR="001F2294">
        <w:t>income stayed</w:t>
      </w:r>
      <w:r w:rsidR="00656B45">
        <w:t xml:space="preserve"> consistent with the national accounts</w:t>
      </w:r>
      <w:r w:rsidR="001F2294">
        <w:t xml:space="preserve"> data. This reduced</w:t>
      </w:r>
      <w:r w:rsidR="00656B45">
        <w:t xml:space="preserve"> his adjustments by roughly half for most years. For </w:t>
      </w:r>
      <w:r w:rsidR="00656B45">
        <w:lastRenderedPageBreak/>
        <w:t xml:space="preserve">instance, in </w:t>
      </w:r>
      <w:r w:rsidR="001F2294">
        <w:t>my</w:t>
      </w:r>
      <w:r w:rsidR="00656B45">
        <w:t xml:space="preserve"> model around 40% of missing income is allocated to the top 10% of urban households in 2008, raising their average income by 207%, while Wang allocated 63% of missing income to that 10% of households, raising their average income by 320%. </w:t>
      </w:r>
      <w:r w:rsidR="001F2294">
        <w:t xml:space="preserve">By making this adjustment, </w:t>
      </w:r>
      <w:r w:rsidR="00301C75">
        <w:t xml:space="preserve">the </w:t>
      </w:r>
      <w:r w:rsidR="00656B45">
        <w:t xml:space="preserve">Gini coefficient </w:t>
      </w:r>
      <w:r w:rsidR="00301C75">
        <w:t xml:space="preserve">for 2010 was </w:t>
      </w:r>
      <w:r w:rsidR="00656B45">
        <w:t>0.57</w:t>
      </w:r>
      <w:r w:rsidR="00301C75">
        <w:t xml:space="preserve"> which</w:t>
      </w:r>
      <w:r w:rsidR="00656B45">
        <w:t xml:space="preserve"> </w:t>
      </w:r>
      <w:r w:rsidR="00301C75">
        <w:t xml:space="preserve">is </w:t>
      </w:r>
      <w:r w:rsidR="00656B45">
        <w:t>within the range of independent survey estimates.</w:t>
      </w:r>
    </w:p>
    <w:p w:rsidR="00656B45" w:rsidRDefault="00656B45">
      <w:r>
        <w:t xml:space="preserve">After making these adjustments to the official data, </w:t>
      </w:r>
      <w:r w:rsidR="00A34A3F">
        <w:t>I</w:t>
      </w:r>
      <w:r>
        <w:t xml:space="preserve"> end up with per capita income by decile for each year from 1995 to 2015, deflated to constant 2015 prices. </w:t>
      </w:r>
      <w:r w:rsidR="00A34A3F">
        <w:t>I</w:t>
      </w:r>
      <w:r>
        <w:t xml:space="preserve"> then simulated a frequency distribution to estimate how many individuals would be at given income levels each year. </w:t>
      </w:r>
      <w:r w:rsidR="007E3945">
        <w:t>To</w:t>
      </w:r>
      <w:r>
        <w:t xml:space="preserve"> start</w:t>
      </w:r>
      <w:r w:rsidR="007E3945">
        <w:t>, I began</w:t>
      </w:r>
      <w:r>
        <w:t xml:space="preserve"> with 20 data points (10 deciles each for urban and rural households), and interpolate data points between the average to generate a curve. Lacking detailed data on the top of the income distribution, </w:t>
      </w:r>
      <w:r w:rsidR="007E3945">
        <w:t>I</w:t>
      </w:r>
      <w:r>
        <w:t xml:space="preserve"> assume</w:t>
      </w:r>
      <w:r w:rsidR="007E3945">
        <w:t>d</w:t>
      </w:r>
      <w:r>
        <w:t xml:space="preserve"> the </w:t>
      </w:r>
      <w:r w:rsidR="007E3945">
        <w:t xml:space="preserve">shape of the distribution of the </w:t>
      </w:r>
      <w:r>
        <w:t>top 5% of</w:t>
      </w:r>
      <w:r w:rsidR="007E3945">
        <w:t xml:space="preserve"> both urban and rural household incomes </w:t>
      </w:r>
      <w:r w:rsidR="006B53EF">
        <w:t>was exponential</w:t>
      </w:r>
      <w:r w:rsidR="007E3945">
        <w:t>.</w:t>
      </w:r>
      <w:r>
        <w:t xml:space="preserve"> </w:t>
      </w:r>
      <w:r w:rsidR="006B53EF">
        <w:t>T</w:t>
      </w:r>
      <w:r>
        <w:t xml:space="preserve">he income of the 96th percentile is 6.4% higher than the 95th percentile, the 97th </w:t>
      </w:r>
      <w:r w:rsidR="006B53EF">
        <w:t xml:space="preserve">is </w:t>
      </w:r>
      <w:r>
        <w:t xml:space="preserve">6.5% higher than the 96th, and so on up to the top 0.1%. Using this simulation </w:t>
      </w:r>
      <w:r w:rsidR="006B53EF">
        <w:t>I</w:t>
      </w:r>
      <w:r>
        <w:t xml:space="preserve"> then estimate</w:t>
      </w:r>
      <w:r w:rsidR="006B53EF">
        <w:t>d</w:t>
      </w:r>
      <w:r>
        <w:t xml:space="preserve"> the number of households above or below a given income threshold </w:t>
      </w:r>
      <w:r w:rsidR="006B53EF">
        <w:t>for a given</w:t>
      </w:r>
      <w:r>
        <w:t xml:space="preserve"> year</w:t>
      </w:r>
      <w:r w:rsidR="006B53EF">
        <w:t>.</w:t>
      </w:r>
      <w:r>
        <w:t xml:space="preserve"> </w:t>
      </w:r>
      <w:r w:rsidR="006B53EF">
        <w:t>This</w:t>
      </w:r>
      <w:r>
        <w:t xml:space="preserve"> is the basis of the acceleration phenomenon.</w:t>
      </w:r>
    </w:p>
    <w:p w:rsidR="00656B45" w:rsidRDefault="00656B45">
      <w:r>
        <w:t xml:space="preserve">Finally, in </w:t>
      </w:r>
      <w:r w:rsidR="006B53EF">
        <w:t>my</w:t>
      </w:r>
      <w:r>
        <w:t xml:space="preserve"> model </w:t>
      </w:r>
      <w:r w:rsidR="006B53EF">
        <w:t>I</w:t>
      </w:r>
      <w:r>
        <w:t xml:space="preserve"> chose to set the “affluent” threshold as the highest income threshold. If </w:t>
      </w:r>
      <w:r w:rsidR="006B53EF">
        <w:t>I</w:t>
      </w:r>
      <w:r>
        <w:t xml:space="preserve"> set an income threshold above “affluent,” </w:t>
      </w:r>
      <w:r w:rsidR="006B53EF">
        <w:t>the output w</w:t>
      </w:r>
      <w:r>
        <w:t xml:space="preserve">ould indeed show that the acceleration phenomenon has a next stage, as the number of households above that threshold will start to rise rapidly at some point. </w:t>
      </w:r>
      <w:r w:rsidR="006B53EF">
        <w:t xml:space="preserve">However, </w:t>
      </w:r>
      <w:r>
        <w:t xml:space="preserve">it is not clear that affluent households </w:t>
      </w:r>
      <w:r w:rsidR="006B53EF">
        <w:t xml:space="preserve">today make near </w:t>
      </w:r>
      <w:r>
        <w:t xml:space="preserve">automatic purchases of a few types of goods when they achieve even higher income levels, in the way that they did when they could first afford a car or a foreign vacation. </w:t>
      </w:r>
      <w:r w:rsidR="006B53EF">
        <w:t>I</w:t>
      </w:r>
      <w:r>
        <w:t xml:space="preserve">t is the </w:t>
      </w:r>
      <w:r w:rsidR="006B53EF">
        <w:t xml:space="preserve">strength of the </w:t>
      </w:r>
      <w:r>
        <w:t xml:space="preserve">association </w:t>
      </w:r>
      <w:r w:rsidR="006B53EF">
        <w:t>between</w:t>
      </w:r>
      <w:r>
        <w:t xml:space="preserve"> income thresholds </w:t>
      </w:r>
      <w:r w:rsidR="00D65BE6">
        <w:t>and</w:t>
      </w:r>
      <w:r>
        <w:t xml:space="preserve"> </w:t>
      </w:r>
      <w:r w:rsidR="00D65BE6">
        <w:t xml:space="preserve">changes in </w:t>
      </w:r>
      <w:r>
        <w:t>purchases</w:t>
      </w:r>
      <w:r w:rsidR="00D65BE6">
        <w:t xml:space="preserve"> of certain goods and services that matters.</w:t>
      </w:r>
      <w:r>
        <w:t xml:space="preserve"> </w:t>
      </w:r>
      <w:r w:rsidR="00D65BE6">
        <w:t>T</w:t>
      </w:r>
      <w:r w:rsidR="00030DF8">
        <w:t>he strength between these variables</w:t>
      </w:r>
      <w:r>
        <w:t xml:space="preserve"> </w:t>
      </w:r>
      <w:r w:rsidR="00D65BE6">
        <w:t>weakens</w:t>
      </w:r>
      <w:r>
        <w:t xml:space="preserve"> as incomes get higher and choice and taste play a greater role. </w:t>
      </w:r>
      <w:r w:rsidR="00D65BE6">
        <w:t>In order to understand the changing dynamics of consumer purchases and its effect on certain goods and services, accurately measuring a</w:t>
      </w:r>
      <w:r>
        <w:t xml:space="preserve">cceleration phenomenon is </w:t>
      </w:r>
      <w:r w:rsidR="00D65BE6">
        <w:t>crucial.</w:t>
      </w:r>
      <w:r>
        <w:t xml:space="preserve"> </w:t>
      </w:r>
      <w:r w:rsidR="00D65BE6">
        <w:t>This tool</w:t>
      </w:r>
      <w:r>
        <w:t xml:space="preserve"> </w:t>
      </w:r>
      <w:r w:rsidR="00D65BE6">
        <w:t>is</w:t>
      </w:r>
      <w:r>
        <w:t xml:space="preserve"> less useful when </w:t>
      </w:r>
      <w:r w:rsidR="00D65BE6">
        <w:t>majority of a country’s household income distribution is</w:t>
      </w:r>
      <w:r>
        <w:t xml:space="preserve"> already part of the modern consumer economy</w:t>
      </w:r>
      <w:r w:rsidR="00D65BE6">
        <w:t xml:space="preserve"> and the growth in real wages remains relatively unchanged over a given time period</w:t>
      </w:r>
      <w:r>
        <w:t>.</w:t>
      </w:r>
    </w:p>
    <w:p w:rsidR="006B53EF" w:rsidRDefault="006B53EF"/>
    <w:p w:rsidR="00185DEF" w:rsidRPr="00656B45" w:rsidRDefault="00185DEF" w:rsidP="00185DEF">
      <w:pPr>
        <w:jc w:val="center"/>
        <w:rPr>
          <w:b/>
        </w:rPr>
      </w:pPr>
      <w:r>
        <w:rPr>
          <w:noProof/>
        </w:rPr>
        <w:drawing>
          <wp:inline distT="0" distB="0" distL="0" distR="0" wp14:anchorId="4021D431" wp14:editId="01B12461">
            <wp:extent cx="4646096" cy="2257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269" t="67768" r="28366" b="9197"/>
                    <a:stretch/>
                  </pic:blipFill>
                  <pic:spPr bwMode="auto">
                    <a:xfrm>
                      <a:off x="0" y="0"/>
                      <a:ext cx="4663120" cy="2265696"/>
                    </a:xfrm>
                    <a:prstGeom prst="rect">
                      <a:avLst/>
                    </a:prstGeom>
                    <a:ln>
                      <a:noFill/>
                    </a:ln>
                    <a:extLst>
                      <a:ext uri="{53640926-AAD7-44D8-BBD7-CCE9431645EC}">
                        <a14:shadowObscured xmlns:a14="http://schemas.microsoft.com/office/drawing/2010/main"/>
                      </a:ext>
                    </a:extLst>
                  </pic:spPr>
                </pic:pic>
              </a:graphicData>
            </a:graphic>
          </wp:inline>
        </w:drawing>
      </w:r>
    </w:p>
    <w:sectPr w:rsidR="00185DEF" w:rsidRPr="00656B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A3F" w:rsidRDefault="00A34A3F" w:rsidP="00A34A3F">
      <w:pPr>
        <w:spacing w:after="0" w:line="240" w:lineRule="auto"/>
      </w:pPr>
      <w:r>
        <w:separator/>
      </w:r>
    </w:p>
  </w:endnote>
  <w:endnote w:type="continuationSeparator" w:id="0">
    <w:p w:rsidR="00A34A3F" w:rsidRDefault="00A34A3F" w:rsidP="00A34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A3F" w:rsidRDefault="00A34A3F" w:rsidP="00A34A3F">
      <w:pPr>
        <w:spacing w:after="0" w:line="240" w:lineRule="auto"/>
      </w:pPr>
      <w:r>
        <w:separator/>
      </w:r>
    </w:p>
  </w:footnote>
  <w:footnote w:type="continuationSeparator" w:id="0">
    <w:p w:rsidR="00A34A3F" w:rsidRDefault="00A34A3F" w:rsidP="00A34A3F">
      <w:pPr>
        <w:spacing w:after="0" w:line="240" w:lineRule="auto"/>
      </w:pPr>
      <w:r>
        <w:continuationSeparator/>
      </w:r>
    </w:p>
  </w:footnote>
  <w:footnote w:id="1">
    <w:p w:rsidR="00C332DC" w:rsidRDefault="00C332DC">
      <w:pPr>
        <w:pStyle w:val="FootnoteText"/>
      </w:pPr>
      <w:r>
        <w:rPr>
          <w:rStyle w:val="FootnoteReference"/>
        </w:rPr>
        <w:footnoteRef/>
      </w:r>
      <w:r>
        <w:t xml:space="preserve"> </w:t>
      </w:r>
      <w:proofErr w:type="spellStart"/>
      <w:r>
        <w:t>Haver</w:t>
      </w:r>
      <w:proofErr w:type="spellEnd"/>
      <w:r>
        <w:t xml:space="preserve"> Analytics, China Association of Automobile Manufacturers</w:t>
      </w:r>
    </w:p>
  </w:footnote>
  <w:footnote w:id="2">
    <w:p w:rsidR="00537CF9" w:rsidRDefault="00537CF9">
      <w:pPr>
        <w:pStyle w:val="FootnoteText"/>
      </w:pPr>
      <w:r>
        <w:rPr>
          <w:rStyle w:val="FootnoteReference"/>
        </w:rPr>
        <w:footnoteRef/>
      </w:r>
      <w:r>
        <w:t xml:space="preserve"> </w:t>
      </w:r>
      <w:hyperlink r:id="rId1" w:history="1">
        <w:r w:rsidRPr="00216E47">
          <w:rPr>
            <w:rStyle w:val="Hyperlink"/>
          </w:rPr>
          <w:t>http://iresearch.worldbank.org/PovcalNet/povOnDemand.aspx</w:t>
        </w:r>
      </w:hyperlink>
    </w:p>
  </w:footnote>
  <w:footnote w:id="3">
    <w:p w:rsidR="00BE6CCB" w:rsidRDefault="00BE6CCB">
      <w:pPr>
        <w:pStyle w:val="FootnoteText"/>
      </w:pPr>
      <w:r>
        <w:rPr>
          <w:rStyle w:val="FootnoteReference"/>
        </w:rPr>
        <w:footnoteRef/>
      </w:r>
      <w:r>
        <w:t xml:space="preserve"> </w:t>
      </w:r>
      <w:hyperlink r:id="rId2" w:history="1">
        <w:r w:rsidRPr="00216E47">
          <w:rPr>
            <w:rStyle w:val="Hyperlink"/>
          </w:rPr>
          <w:t>http://www.bcg.com.cn/export/sites/default/en/files/publications/reports_pdf/BCG_The_Age_of_the_Affluent_Nov_2012_ENG.pdf</w:t>
        </w:r>
      </w:hyperlink>
    </w:p>
    <w:p w:rsidR="00BE6CCB" w:rsidRDefault="00BE6CCB">
      <w:pPr>
        <w:pStyle w:val="FootnoteText"/>
      </w:pPr>
    </w:p>
  </w:footnote>
  <w:footnote w:id="4">
    <w:p w:rsidR="00A34A3F" w:rsidRDefault="00A34A3F">
      <w:pPr>
        <w:pStyle w:val="FootnoteText"/>
      </w:pPr>
      <w:r>
        <w:rPr>
          <w:rStyle w:val="FootnoteReference"/>
        </w:rPr>
        <w:footnoteRef/>
      </w:r>
      <w:r>
        <w:t xml:space="preserve"> </w:t>
      </w:r>
      <w:hyperlink r:id="rId3" w:history="1">
        <w:r w:rsidRPr="00216E47">
          <w:rPr>
            <w:rStyle w:val="Hyperlink"/>
          </w:rPr>
          <w:t>http://iresearch.worldbank.org/PovcalNet/povOnDemand.aspx</w:t>
        </w:r>
      </w:hyperlink>
    </w:p>
    <w:p w:rsidR="00A34A3F" w:rsidRDefault="00A34A3F">
      <w:pPr>
        <w:pStyle w:val="FootnoteText"/>
      </w:pPr>
    </w:p>
  </w:footnote>
  <w:footnote w:id="5">
    <w:p w:rsidR="00A34A3F" w:rsidRDefault="00A34A3F">
      <w:pPr>
        <w:pStyle w:val="FootnoteText"/>
      </w:pPr>
      <w:r>
        <w:rPr>
          <w:rStyle w:val="FootnoteReference"/>
        </w:rPr>
        <w:footnoteRef/>
      </w:r>
      <w:r>
        <w:t xml:space="preserve"> </w:t>
      </w:r>
      <w:hyperlink r:id="rId4" w:history="1">
        <w:r w:rsidRPr="00216E47">
          <w:rPr>
            <w:rStyle w:val="Hyperlink"/>
          </w:rPr>
          <w:t>http://faculty.econ.ucdavis.edu/faculty/woo/9.Wang-Woo.Hidden%20Income%20in%20China.2010-12-25.pdf</w:t>
        </w:r>
      </w:hyperlink>
    </w:p>
    <w:p w:rsidR="00A34A3F" w:rsidRDefault="00A34A3F">
      <w:pPr>
        <w:pStyle w:val="FootnoteText"/>
      </w:pPr>
    </w:p>
  </w:footnote>
  <w:footnote w:id="6">
    <w:p w:rsidR="00537CF9" w:rsidRDefault="00537CF9">
      <w:pPr>
        <w:pStyle w:val="FootnoteText"/>
      </w:pPr>
      <w:r>
        <w:rPr>
          <w:rStyle w:val="FootnoteReference"/>
        </w:rPr>
        <w:footnoteRef/>
      </w:r>
      <w:r>
        <w:t xml:space="preserve"> </w:t>
      </w:r>
      <w:hyperlink r:id="rId5" w:history="1">
        <w:r w:rsidRPr="00216E47">
          <w:rPr>
            <w:rStyle w:val="Hyperlink"/>
          </w:rPr>
          <w:t>http://www.pnas.org/content/111/19/6928</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45"/>
    <w:rsid w:val="00030DF8"/>
    <w:rsid w:val="000345F8"/>
    <w:rsid w:val="000557CC"/>
    <w:rsid w:val="000879D8"/>
    <w:rsid w:val="000B3EA8"/>
    <w:rsid w:val="000D718D"/>
    <w:rsid w:val="00120768"/>
    <w:rsid w:val="00184E93"/>
    <w:rsid w:val="00185DEF"/>
    <w:rsid w:val="001E0FC4"/>
    <w:rsid w:val="001F2294"/>
    <w:rsid w:val="00280D19"/>
    <w:rsid w:val="002B31D7"/>
    <w:rsid w:val="00301C75"/>
    <w:rsid w:val="003A1214"/>
    <w:rsid w:val="003A2078"/>
    <w:rsid w:val="003C03F3"/>
    <w:rsid w:val="00403492"/>
    <w:rsid w:val="004506B9"/>
    <w:rsid w:val="00537CF9"/>
    <w:rsid w:val="005468ED"/>
    <w:rsid w:val="0058337E"/>
    <w:rsid w:val="005A423F"/>
    <w:rsid w:val="006140EA"/>
    <w:rsid w:val="006340F8"/>
    <w:rsid w:val="00656B45"/>
    <w:rsid w:val="006B53EF"/>
    <w:rsid w:val="007321A2"/>
    <w:rsid w:val="00786DD7"/>
    <w:rsid w:val="007E3945"/>
    <w:rsid w:val="007F2950"/>
    <w:rsid w:val="00800B3B"/>
    <w:rsid w:val="0080751F"/>
    <w:rsid w:val="008A4977"/>
    <w:rsid w:val="00A32BC8"/>
    <w:rsid w:val="00A34A3F"/>
    <w:rsid w:val="00A978EF"/>
    <w:rsid w:val="00B453B8"/>
    <w:rsid w:val="00BE5095"/>
    <w:rsid w:val="00BE6CCB"/>
    <w:rsid w:val="00C30A2E"/>
    <w:rsid w:val="00C332DC"/>
    <w:rsid w:val="00CD379D"/>
    <w:rsid w:val="00CD7701"/>
    <w:rsid w:val="00D533D3"/>
    <w:rsid w:val="00D53F25"/>
    <w:rsid w:val="00D65BE6"/>
    <w:rsid w:val="00D93167"/>
    <w:rsid w:val="00F108AD"/>
    <w:rsid w:val="00F16988"/>
    <w:rsid w:val="00F5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21DB41-E636-4ABC-8206-2EF5D003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4A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A3F"/>
    <w:rPr>
      <w:sz w:val="20"/>
      <w:szCs w:val="20"/>
    </w:rPr>
  </w:style>
  <w:style w:type="character" w:styleId="FootnoteReference">
    <w:name w:val="footnote reference"/>
    <w:basedOn w:val="DefaultParagraphFont"/>
    <w:uiPriority w:val="99"/>
    <w:semiHidden/>
    <w:unhideWhenUsed/>
    <w:rsid w:val="00A34A3F"/>
    <w:rPr>
      <w:vertAlign w:val="superscript"/>
    </w:rPr>
  </w:style>
  <w:style w:type="character" w:styleId="Hyperlink">
    <w:name w:val="Hyperlink"/>
    <w:basedOn w:val="DefaultParagraphFont"/>
    <w:uiPriority w:val="99"/>
    <w:unhideWhenUsed/>
    <w:rsid w:val="00A34A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iresearch.worldbank.org/PovcalNet/povOnDemand.aspx" TargetMode="External"/><Relationship Id="rId2" Type="http://schemas.openxmlformats.org/officeDocument/2006/relationships/hyperlink" Target="http://www.bcg.com.cn/export/sites/default/en/files/publications/reports_pdf/BCG_The_Age_of_the_Affluent_Nov_2012_ENG.pdf" TargetMode="External"/><Relationship Id="rId1" Type="http://schemas.openxmlformats.org/officeDocument/2006/relationships/hyperlink" Target="http://iresearch.worldbank.org/PovcalNet/povOnDemand.aspx" TargetMode="External"/><Relationship Id="rId5" Type="http://schemas.openxmlformats.org/officeDocument/2006/relationships/hyperlink" Target="http://www.pnas.org/content/111/19/6928" TargetMode="External"/><Relationship Id="rId4" Type="http://schemas.openxmlformats.org/officeDocument/2006/relationships/hyperlink" Target="http://faculty.econ.ucdavis.edu/faculty/woo/9.Wang-Woo.Hidden%20Income%20in%20China.2010-12-2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0F899-6F86-481C-9B4C-FB65EE5E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Pages>
  <Words>2620</Words>
  <Characters>14935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17520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7</cp:revision>
  <dcterms:created xsi:type="dcterms:W3CDTF">2017-03-13T22:41:00Z</dcterms:created>
  <dcterms:modified xsi:type="dcterms:W3CDTF">2017-03-15T14:42:00Z</dcterms:modified>
</cp:coreProperties>
</file>