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4EE9C" w14:textId="77777777" w:rsidR="00F949B9" w:rsidRDefault="00F949B9" w:rsidP="00F949B9">
      <w:pPr>
        <w:pStyle w:val="CTitle"/>
        <w:rPr>
          <w:szCs w:val="24"/>
        </w:rPr>
      </w:pPr>
      <w:r>
        <w:rPr>
          <w:szCs w:val="24"/>
        </w:rPr>
        <w:t>Factor Investing in the Corporate Bond Market</w:t>
      </w:r>
    </w:p>
    <w:p w14:paraId="7A7296A8" w14:textId="77777777" w:rsidR="00F949B9" w:rsidRDefault="00F949B9" w:rsidP="00F949B9">
      <w:pPr>
        <w:pStyle w:val="Authors"/>
        <w:autoSpaceDE w:val="0"/>
        <w:autoSpaceDN w:val="0"/>
        <w:adjustRightInd w:val="0"/>
        <w:rPr>
          <w:szCs w:val="24"/>
        </w:rPr>
      </w:pPr>
      <w:r>
        <w:rPr>
          <w:rStyle w:val="aufname"/>
          <w:szCs w:val="24"/>
        </w:rPr>
        <w:t>Patrick</w:t>
      </w:r>
      <w:r>
        <w:rPr>
          <w:szCs w:val="24"/>
        </w:rPr>
        <w:t xml:space="preserve"> </w:t>
      </w:r>
      <w:r>
        <w:rPr>
          <w:rStyle w:val="ausurname"/>
          <w:szCs w:val="24"/>
        </w:rPr>
        <w:t>Houweling</w:t>
      </w:r>
    </w:p>
    <w:p w14:paraId="4A0A2686" w14:textId="77777777" w:rsidR="00F949B9" w:rsidRDefault="00F949B9" w:rsidP="00F949B9">
      <w:pPr>
        <w:pStyle w:val="Authors"/>
        <w:autoSpaceDE w:val="0"/>
        <w:autoSpaceDN w:val="0"/>
        <w:adjustRightInd w:val="0"/>
        <w:rPr>
          <w:szCs w:val="24"/>
        </w:rPr>
      </w:pPr>
      <w:r>
        <w:rPr>
          <w:rStyle w:val="aufname"/>
          <w:szCs w:val="24"/>
        </w:rPr>
        <w:t>Jeroen</w:t>
      </w:r>
      <w:r>
        <w:rPr>
          <w:szCs w:val="24"/>
        </w:rPr>
        <w:t xml:space="preserve"> </w:t>
      </w:r>
      <w:r>
        <w:rPr>
          <w:rStyle w:val="ausurname"/>
          <w:szCs w:val="24"/>
        </w:rPr>
        <w:t>van Zundert</w:t>
      </w:r>
      <w:r>
        <w:rPr>
          <w:szCs w:val="24"/>
        </w:rPr>
        <w:t xml:space="preserve">, </w:t>
      </w:r>
      <w:r>
        <w:rPr>
          <w:rStyle w:val="audeg"/>
          <w:szCs w:val="24"/>
        </w:rPr>
        <w:t>CFA</w:t>
      </w:r>
    </w:p>
    <w:p w14:paraId="3ABD4914" w14:textId="6C17014C" w:rsidR="00714B7B" w:rsidRDefault="00461B26" w:rsidP="00486F2D">
      <w:pPr>
        <w:spacing w:line="480" w:lineRule="auto"/>
        <w:rPr>
          <w:rFonts w:ascii="Times New Roman" w:eastAsia="Times New Roman" w:hAnsi="Times New Roman" w:cs="Times New Roman"/>
          <w:b/>
          <w:sz w:val="28"/>
          <w:szCs w:val="32"/>
          <w:lang w:val="en-US"/>
        </w:rPr>
      </w:pPr>
      <w:r>
        <w:rPr>
          <w:rFonts w:ascii="Times New Roman" w:eastAsia="Times New Roman" w:hAnsi="Times New Roman" w:cs="Times New Roman"/>
          <w:b/>
          <w:sz w:val="28"/>
          <w:szCs w:val="32"/>
          <w:lang w:val="en-US"/>
        </w:rPr>
        <w:t>A</w:t>
      </w:r>
      <w:r w:rsidR="005269AF" w:rsidRPr="0074438C">
        <w:rPr>
          <w:rFonts w:ascii="Times New Roman" w:eastAsia="Times New Roman" w:hAnsi="Times New Roman" w:cs="Times New Roman"/>
          <w:b/>
          <w:sz w:val="28"/>
          <w:szCs w:val="32"/>
          <w:lang w:val="en-US"/>
        </w:rPr>
        <w:t>ppendix</w:t>
      </w:r>
      <w:r w:rsidR="00EC0768">
        <w:rPr>
          <w:rFonts w:ascii="Times New Roman" w:eastAsia="Times New Roman" w:hAnsi="Times New Roman" w:cs="Times New Roman"/>
          <w:b/>
          <w:sz w:val="28"/>
          <w:szCs w:val="32"/>
          <w:lang w:val="en-US"/>
        </w:rPr>
        <w:t xml:space="preserve"> </w:t>
      </w:r>
      <w:r w:rsidR="0073245E">
        <w:rPr>
          <w:rFonts w:ascii="Times New Roman" w:eastAsia="Times New Roman" w:hAnsi="Times New Roman" w:cs="Times New Roman"/>
          <w:b/>
          <w:sz w:val="28"/>
          <w:szCs w:val="32"/>
          <w:lang w:val="en-US"/>
        </w:rPr>
        <w:t>A</w:t>
      </w:r>
      <w:r w:rsidR="00A77D37">
        <w:rPr>
          <w:rFonts w:ascii="Times New Roman" w:eastAsia="Times New Roman" w:hAnsi="Times New Roman" w:cs="Times New Roman"/>
          <w:b/>
          <w:sz w:val="28"/>
          <w:szCs w:val="32"/>
          <w:lang w:val="en-US"/>
        </w:rPr>
        <w:t>.</w:t>
      </w:r>
      <w:r w:rsidR="005269AF" w:rsidRPr="0074438C">
        <w:rPr>
          <w:rFonts w:ascii="Times New Roman" w:eastAsia="Times New Roman" w:hAnsi="Times New Roman" w:cs="Times New Roman"/>
          <w:b/>
          <w:sz w:val="28"/>
          <w:szCs w:val="32"/>
          <w:lang w:val="en-US"/>
        </w:rPr>
        <w:t xml:space="preserve"> </w:t>
      </w:r>
      <w:r w:rsidR="00A77D37" w:rsidRPr="00A77D37">
        <w:rPr>
          <w:rFonts w:ascii="Times New Roman" w:eastAsia="Times New Roman" w:hAnsi="Times New Roman" w:cs="Times New Roman"/>
          <w:b/>
          <w:sz w:val="28"/>
          <w:szCs w:val="32"/>
          <w:lang w:val="en-US"/>
        </w:rPr>
        <w:t>Robustness Checks</w:t>
      </w:r>
      <w:r w:rsidR="00A77D37">
        <w:rPr>
          <w:rFonts w:ascii="Times New Roman" w:eastAsia="Times New Roman" w:hAnsi="Times New Roman" w:cs="Times New Roman"/>
          <w:b/>
          <w:sz w:val="28"/>
          <w:szCs w:val="32"/>
          <w:lang w:val="en-US"/>
        </w:rPr>
        <w:t xml:space="preserve"> </w:t>
      </w:r>
    </w:p>
    <w:p w14:paraId="10664993" w14:textId="32FD37A3" w:rsidR="005269AF" w:rsidRPr="00461B26" w:rsidRDefault="00166A8C" w:rsidP="00486F2D">
      <w:pPr>
        <w:pStyle w:val="Heading2"/>
        <w:rPr>
          <w:rFonts w:cs="Times New Roman"/>
          <w:i w:val="0"/>
          <w:sz w:val="24"/>
          <w:szCs w:val="24"/>
        </w:rPr>
      </w:pPr>
      <w:r>
        <w:rPr>
          <w:rFonts w:cs="Times New Roman"/>
          <w:i w:val="0"/>
          <w:sz w:val="24"/>
          <w:szCs w:val="24"/>
        </w:rPr>
        <w:t>U</w:t>
      </w:r>
      <w:r w:rsidRPr="00461B26">
        <w:rPr>
          <w:rFonts w:cs="Times New Roman"/>
          <w:i w:val="0"/>
          <w:sz w:val="24"/>
          <w:szCs w:val="24"/>
        </w:rPr>
        <w:t xml:space="preserve">sing </w:t>
      </w:r>
      <w:r>
        <w:rPr>
          <w:rFonts w:cs="Times New Roman"/>
          <w:i w:val="0"/>
          <w:sz w:val="24"/>
          <w:szCs w:val="24"/>
        </w:rPr>
        <w:t>C</w:t>
      </w:r>
      <w:r w:rsidRPr="00461B26">
        <w:rPr>
          <w:rFonts w:cs="Times New Roman"/>
          <w:i w:val="0"/>
          <w:sz w:val="24"/>
          <w:szCs w:val="24"/>
        </w:rPr>
        <w:t xml:space="preserve">orporate </w:t>
      </w:r>
      <w:r>
        <w:rPr>
          <w:rFonts w:cs="Times New Roman"/>
          <w:i w:val="0"/>
          <w:sz w:val="24"/>
          <w:szCs w:val="24"/>
        </w:rPr>
        <w:t>B</w:t>
      </w:r>
      <w:r w:rsidRPr="00461B26">
        <w:rPr>
          <w:rFonts w:cs="Times New Roman"/>
          <w:i w:val="0"/>
          <w:sz w:val="24"/>
          <w:szCs w:val="24"/>
        </w:rPr>
        <w:t xml:space="preserve">ond </w:t>
      </w:r>
      <w:r>
        <w:rPr>
          <w:rFonts w:cs="Times New Roman"/>
          <w:i w:val="0"/>
          <w:sz w:val="24"/>
          <w:szCs w:val="24"/>
        </w:rPr>
        <w:t>D</w:t>
      </w:r>
      <w:r w:rsidRPr="00461B26">
        <w:rPr>
          <w:rFonts w:cs="Times New Roman"/>
          <w:i w:val="0"/>
          <w:sz w:val="24"/>
          <w:szCs w:val="24"/>
        </w:rPr>
        <w:t xml:space="preserve">ata </w:t>
      </w:r>
      <w:r>
        <w:rPr>
          <w:rFonts w:cs="Times New Roman"/>
          <w:i w:val="0"/>
          <w:sz w:val="24"/>
          <w:szCs w:val="24"/>
        </w:rPr>
        <w:t xml:space="preserve">for </w:t>
      </w:r>
      <w:r w:rsidR="005269AF" w:rsidRPr="00461B26">
        <w:rPr>
          <w:rFonts w:cs="Times New Roman"/>
          <w:i w:val="0"/>
          <w:sz w:val="24"/>
          <w:szCs w:val="24"/>
        </w:rPr>
        <w:t xml:space="preserve">Alternative </w:t>
      </w:r>
      <w:r w:rsidR="00461B26">
        <w:rPr>
          <w:rFonts w:cs="Times New Roman"/>
          <w:i w:val="0"/>
          <w:sz w:val="24"/>
          <w:szCs w:val="24"/>
        </w:rPr>
        <w:t>F</w:t>
      </w:r>
      <w:r w:rsidR="005269AF" w:rsidRPr="00461B26">
        <w:rPr>
          <w:rFonts w:cs="Times New Roman"/>
          <w:i w:val="0"/>
          <w:sz w:val="24"/>
          <w:szCs w:val="24"/>
        </w:rPr>
        <w:t xml:space="preserve">actor </w:t>
      </w:r>
      <w:r w:rsidR="00461B26">
        <w:rPr>
          <w:rFonts w:cs="Times New Roman"/>
          <w:i w:val="0"/>
          <w:sz w:val="24"/>
          <w:szCs w:val="24"/>
        </w:rPr>
        <w:t>D</w:t>
      </w:r>
      <w:r>
        <w:rPr>
          <w:rFonts w:cs="Times New Roman"/>
          <w:i w:val="0"/>
          <w:sz w:val="24"/>
          <w:szCs w:val="24"/>
        </w:rPr>
        <w:t>efinitions</w:t>
      </w:r>
    </w:p>
    <w:p w14:paraId="3F2141AD" w14:textId="3740F6CE" w:rsidR="005269AF"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Although we believe that the definitions presented in </w:t>
      </w:r>
      <w:r w:rsidR="00D12EFC">
        <w:rPr>
          <w:rFonts w:ascii="Times New Roman" w:hAnsi="Times New Roman" w:cs="Times New Roman"/>
          <w:sz w:val="24"/>
          <w:szCs w:val="24"/>
          <w:lang w:val="en-US"/>
        </w:rPr>
        <w:t xml:space="preserve">the article </w:t>
      </w:r>
      <w:r w:rsidRPr="00486F2D">
        <w:rPr>
          <w:rFonts w:ascii="Times New Roman" w:hAnsi="Times New Roman" w:cs="Times New Roman"/>
          <w:sz w:val="24"/>
          <w:szCs w:val="24"/>
          <w:lang w:val="en-US"/>
        </w:rPr>
        <w:t>ar</w:t>
      </w:r>
      <w:bookmarkStart w:id="0" w:name="_GoBack"/>
      <w:bookmarkEnd w:id="0"/>
      <w:r w:rsidRPr="00486F2D">
        <w:rPr>
          <w:rFonts w:ascii="Times New Roman" w:hAnsi="Times New Roman" w:cs="Times New Roman"/>
          <w:sz w:val="24"/>
          <w:szCs w:val="24"/>
          <w:lang w:val="en-US"/>
        </w:rPr>
        <w:t xml:space="preserve">e suitable representations of the factors, they are by no means the only way to define them. This is similar to the choices investors face when applying factor investing in the equity market, where multiple definitions could be used to capture a factor. For instance, the equity </w:t>
      </w:r>
      <w:r w:rsidR="00E12FD9">
        <w:rPr>
          <w:rFonts w:ascii="Times New Roman" w:hAnsi="Times New Roman" w:cs="Times New Roman"/>
          <w:sz w:val="24"/>
          <w:szCs w:val="24"/>
          <w:lang w:val="en-US"/>
        </w:rPr>
        <w:t>v</w:t>
      </w:r>
      <w:r w:rsidRPr="00486F2D">
        <w:rPr>
          <w:rFonts w:ascii="Times New Roman" w:hAnsi="Times New Roman" w:cs="Times New Roman"/>
          <w:sz w:val="24"/>
          <w:szCs w:val="24"/>
          <w:lang w:val="en-US"/>
        </w:rPr>
        <w:t>alue factor can be defined as the book-to-market ratio, the price-</w:t>
      </w:r>
      <w:r w:rsidR="00E70125">
        <w:rPr>
          <w:rFonts w:ascii="Times New Roman" w:hAnsi="Times New Roman" w:cs="Times New Roman"/>
          <w:sz w:val="24"/>
          <w:szCs w:val="24"/>
          <w:lang w:val="en-US"/>
        </w:rPr>
        <w:t>to-</w:t>
      </w:r>
      <w:r w:rsidRPr="00486F2D">
        <w:rPr>
          <w:rFonts w:ascii="Times New Roman" w:hAnsi="Times New Roman" w:cs="Times New Roman"/>
          <w:sz w:val="24"/>
          <w:szCs w:val="24"/>
          <w:lang w:val="en-US"/>
        </w:rPr>
        <w:t xml:space="preserve">earnings </w:t>
      </w:r>
      <w:r w:rsidR="00204ACC" w:rsidRPr="00486F2D">
        <w:rPr>
          <w:rFonts w:ascii="Times New Roman" w:hAnsi="Times New Roman" w:cs="Times New Roman"/>
          <w:sz w:val="24"/>
          <w:szCs w:val="24"/>
          <w:lang w:val="en-US"/>
        </w:rPr>
        <w:t>ratio,</w:t>
      </w:r>
      <w:r w:rsidRPr="00486F2D">
        <w:rPr>
          <w:rFonts w:ascii="Times New Roman" w:hAnsi="Times New Roman" w:cs="Times New Roman"/>
          <w:sz w:val="24"/>
          <w:szCs w:val="24"/>
          <w:lang w:val="en-US"/>
        </w:rPr>
        <w:t xml:space="preserve"> or the dividend yield. Likewise, </w:t>
      </w:r>
      <w:r w:rsidR="00E12FD9">
        <w:rPr>
          <w:rFonts w:ascii="Times New Roman" w:hAnsi="Times New Roman" w:cs="Times New Roman"/>
          <w:sz w:val="24"/>
          <w:szCs w:val="24"/>
          <w:lang w:val="en-US"/>
        </w:rPr>
        <w:t>m</w:t>
      </w:r>
      <w:r w:rsidRPr="00486F2D">
        <w:rPr>
          <w:rFonts w:ascii="Times New Roman" w:hAnsi="Times New Roman" w:cs="Times New Roman"/>
          <w:sz w:val="24"/>
          <w:szCs w:val="24"/>
          <w:lang w:val="en-US"/>
        </w:rPr>
        <w:t xml:space="preserve">omentum can be calculated over various formation periods. </w:t>
      </w:r>
      <w:r w:rsidR="00486F2D">
        <w:rPr>
          <w:rFonts w:ascii="Times New Roman" w:hAnsi="Times New Roman" w:cs="Times New Roman"/>
          <w:sz w:val="24"/>
          <w:szCs w:val="24"/>
          <w:lang w:val="en-US"/>
        </w:rPr>
        <w:t xml:space="preserve">In </w:t>
      </w:r>
      <w:r w:rsidR="00D12EFC">
        <w:rPr>
          <w:rFonts w:ascii="Times New Roman" w:hAnsi="Times New Roman" w:cs="Times New Roman"/>
          <w:sz w:val="24"/>
          <w:szCs w:val="24"/>
          <w:lang w:val="en-US"/>
        </w:rPr>
        <w:t>this section</w:t>
      </w:r>
      <w:r w:rsidR="00DF0923">
        <w:rPr>
          <w:rFonts w:ascii="Times New Roman" w:hAnsi="Times New Roman" w:cs="Times New Roman"/>
          <w:sz w:val="24"/>
          <w:szCs w:val="24"/>
          <w:lang w:val="en-US"/>
        </w:rPr>
        <w:t>,</w:t>
      </w:r>
      <w:r w:rsidR="00D12EFC">
        <w:rPr>
          <w:rFonts w:ascii="Times New Roman" w:hAnsi="Times New Roman" w:cs="Times New Roman"/>
          <w:sz w:val="24"/>
          <w:szCs w:val="24"/>
          <w:lang w:val="en-US"/>
        </w:rPr>
        <w:t xml:space="preserve"> </w:t>
      </w:r>
      <w:r w:rsidR="00486F2D">
        <w:rPr>
          <w:rFonts w:ascii="Times New Roman" w:hAnsi="Times New Roman" w:cs="Times New Roman"/>
          <w:sz w:val="24"/>
          <w:szCs w:val="24"/>
          <w:lang w:val="en-US"/>
        </w:rPr>
        <w:t xml:space="preserve">we </w:t>
      </w:r>
      <w:r w:rsidR="00D12EFC">
        <w:rPr>
          <w:rFonts w:ascii="Times New Roman" w:hAnsi="Times New Roman" w:cs="Times New Roman"/>
          <w:sz w:val="24"/>
          <w:szCs w:val="24"/>
          <w:lang w:val="en-US"/>
        </w:rPr>
        <w:t xml:space="preserve">provide empirical evidence for </w:t>
      </w:r>
      <w:r w:rsidR="001617A5">
        <w:rPr>
          <w:rFonts w:ascii="Times New Roman" w:hAnsi="Times New Roman" w:cs="Times New Roman"/>
          <w:sz w:val="24"/>
          <w:szCs w:val="24"/>
          <w:lang w:val="en-US"/>
        </w:rPr>
        <w:t xml:space="preserve">alternative </w:t>
      </w:r>
      <w:r w:rsidR="00D12EFC">
        <w:rPr>
          <w:rFonts w:ascii="Times New Roman" w:hAnsi="Times New Roman" w:cs="Times New Roman"/>
          <w:sz w:val="24"/>
          <w:szCs w:val="24"/>
          <w:lang w:val="en-US"/>
        </w:rPr>
        <w:t xml:space="preserve">factor </w:t>
      </w:r>
      <w:r w:rsidR="001617A5">
        <w:rPr>
          <w:rFonts w:ascii="Times New Roman" w:hAnsi="Times New Roman" w:cs="Times New Roman"/>
          <w:sz w:val="24"/>
          <w:szCs w:val="24"/>
          <w:lang w:val="en-US"/>
        </w:rPr>
        <w:t>definitions</w:t>
      </w:r>
      <w:r w:rsidR="00D12EFC">
        <w:rPr>
          <w:rFonts w:ascii="Times New Roman" w:hAnsi="Times New Roman" w:cs="Times New Roman"/>
          <w:sz w:val="24"/>
          <w:szCs w:val="24"/>
          <w:lang w:val="en-US"/>
        </w:rPr>
        <w:t xml:space="preserve"> in the corporate bond market.</w:t>
      </w:r>
    </w:p>
    <w:p w14:paraId="0CDA38AC" w14:textId="15D0E95E" w:rsidR="001617A5" w:rsidRPr="00486F2D" w:rsidRDefault="001617A5" w:rsidP="001617A5">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Our base case definition o</w:t>
      </w:r>
      <w:r w:rsidR="00CB4F10">
        <w:rPr>
          <w:rFonts w:ascii="Times New Roman" w:hAnsi="Times New Roman" w:cs="Times New Roman"/>
          <w:sz w:val="24"/>
          <w:szCs w:val="24"/>
          <w:lang w:val="en-US"/>
        </w:rPr>
        <w:t>f</w:t>
      </w:r>
      <w:r w:rsidRPr="00486F2D">
        <w:rPr>
          <w:rFonts w:ascii="Times New Roman" w:hAnsi="Times New Roman" w:cs="Times New Roman"/>
          <w:sz w:val="24"/>
          <w:szCs w:val="24"/>
          <w:lang w:val="en-US"/>
        </w:rPr>
        <w:t xml:space="preserve"> </w:t>
      </w:r>
      <w:r w:rsidR="001A40D2">
        <w:rPr>
          <w:rFonts w:ascii="Times New Roman" w:hAnsi="Times New Roman" w:cs="Times New Roman"/>
          <w:sz w:val="24"/>
          <w:szCs w:val="24"/>
          <w:lang w:val="en-US"/>
        </w:rPr>
        <w:t>s</w:t>
      </w:r>
      <w:r w:rsidRPr="00486F2D">
        <w:rPr>
          <w:rFonts w:ascii="Times New Roman" w:hAnsi="Times New Roman" w:cs="Times New Roman"/>
          <w:sz w:val="24"/>
          <w:szCs w:val="24"/>
          <w:lang w:val="en-US"/>
        </w:rPr>
        <w:t>ize</w:t>
      </w:r>
      <w:r w:rsidRPr="00486F2D">
        <w:rPr>
          <w:rFonts w:ascii="Times New Roman" w:hAnsi="Times New Roman" w:cs="Times New Roman"/>
          <w:b/>
          <w:bCs/>
          <w:sz w:val="24"/>
          <w:szCs w:val="24"/>
          <w:lang w:val="en-US"/>
        </w:rPr>
        <w:t xml:space="preserve">, </w:t>
      </w:r>
      <w:r w:rsidRPr="00486F2D">
        <w:rPr>
          <w:rFonts w:ascii="Times New Roman" w:hAnsi="Times New Roman" w:cs="Times New Roman"/>
          <w:sz w:val="24"/>
          <w:szCs w:val="24"/>
          <w:lang w:val="en-US"/>
        </w:rPr>
        <w:t xml:space="preserve">which we will refer </w:t>
      </w:r>
      <w:r w:rsidR="001A40D2">
        <w:rPr>
          <w:rFonts w:ascii="Times New Roman" w:hAnsi="Times New Roman" w:cs="Times New Roman"/>
          <w:sz w:val="24"/>
          <w:szCs w:val="24"/>
          <w:lang w:val="en-US"/>
        </w:rPr>
        <w:t xml:space="preserve">to </w:t>
      </w:r>
      <w:r w:rsidRPr="00486F2D">
        <w:rPr>
          <w:rFonts w:ascii="Times New Roman" w:hAnsi="Times New Roman" w:cs="Times New Roman"/>
          <w:sz w:val="24"/>
          <w:szCs w:val="24"/>
          <w:lang w:val="en-US"/>
        </w:rPr>
        <w:t>as S</w:t>
      </w:r>
      <w:r w:rsidR="001A40D2">
        <w:rPr>
          <w:rFonts w:ascii="Times New Roman" w:hAnsi="Times New Roman" w:cs="Times New Roman"/>
          <w:sz w:val="24"/>
          <w:szCs w:val="24"/>
          <w:lang w:val="en-US"/>
        </w:rPr>
        <w:t>0</w:t>
      </w:r>
      <w:r w:rsidRPr="00486F2D">
        <w:rPr>
          <w:rFonts w:ascii="Times New Roman" w:hAnsi="Times New Roman" w:cs="Times New Roman"/>
          <w:sz w:val="24"/>
          <w:szCs w:val="24"/>
          <w:lang w:val="en-US"/>
        </w:rPr>
        <w:t xml:space="preserve">, is the total market capitalization of all bonds of a company in the index. Our alternative definition, S1, does not look at </w:t>
      </w:r>
      <w:r w:rsidRPr="00486F2D">
        <w:rPr>
          <w:rFonts w:ascii="Times New Roman" w:hAnsi="Times New Roman" w:cs="Times New Roman"/>
          <w:i/>
          <w:iCs/>
          <w:sz w:val="24"/>
          <w:szCs w:val="24"/>
          <w:lang w:val="en-US"/>
        </w:rPr>
        <w:t>company</w:t>
      </w:r>
      <w:r w:rsidRPr="00486F2D">
        <w:rPr>
          <w:rFonts w:ascii="Times New Roman" w:hAnsi="Times New Roman" w:cs="Times New Roman"/>
          <w:sz w:val="24"/>
          <w:szCs w:val="24"/>
          <w:lang w:val="en-US"/>
        </w:rPr>
        <w:t xml:space="preserve"> size but</w:t>
      </w:r>
      <w:r w:rsidR="005F5FCD">
        <w:rPr>
          <w:rFonts w:ascii="Times New Roman" w:hAnsi="Times New Roman" w:cs="Times New Roman"/>
          <w:sz w:val="24"/>
          <w:szCs w:val="24"/>
          <w:lang w:val="en-US"/>
        </w:rPr>
        <w:t>, rather,</w:t>
      </w:r>
      <w:r w:rsidRPr="00486F2D">
        <w:rPr>
          <w:rFonts w:ascii="Times New Roman" w:hAnsi="Times New Roman" w:cs="Times New Roman"/>
          <w:sz w:val="24"/>
          <w:szCs w:val="24"/>
          <w:lang w:val="en-US"/>
        </w:rPr>
        <w:t xml:space="preserve"> at </w:t>
      </w:r>
      <w:r w:rsidRPr="00486F2D">
        <w:rPr>
          <w:rFonts w:ascii="Times New Roman" w:hAnsi="Times New Roman" w:cs="Times New Roman"/>
          <w:i/>
          <w:iCs/>
          <w:sz w:val="24"/>
          <w:szCs w:val="24"/>
          <w:lang w:val="en-US"/>
        </w:rPr>
        <w:t>bond</w:t>
      </w:r>
      <w:r w:rsidRPr="00486F2D">
        <w:rPr>
          <w:rFonts w:ascii="Times New Roman" w:hAnsi="Times New Roman" w:cs="Times New Roman"/>
          <w:sz w:val="24"/>
          <w:szCs w:val="24"/>
          <w:lang w:val="en-US"/>
        </w:rPr>
        <w:t xml:space="preserve"> size by selecting the 10% of the bonds with the smallest market capitalization in the index.</w:t>
      </w:r>
    </w:p>
    <w:p w14:paraId="2ABCDF26" w14:textId="4E8D805D" w:rsidR="001617A5" w:rsidRPr="00486F2D" w:rsidRDefault="001617A5" w:rsidP="001617A5">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For </w:t>
      </w:r>
      <w:r w:rsidR="00707513">
        <w:rPr>
          <w:rFonts w:ascii="Times New Roman" w:hAnsi="Times New Roman" w:cs="Times New Roman"/>
          <w:sz w:val="24"/>
          <w:szCs w:val="24"/>
          <w:lang w:val="en-US"/>
        </w:rPr>
        <w:t>l</w:t>
      </w:r>
      <w:r w:rsidRPr="00486F2D">
        <w:rPr>
          <w:rFonts w:ascii="Times New Roman" w:hAnsi="Times New Roman" w:cs="Times New Roman"/>
          <w:sz w:val="24"/>
          <w:szCs w:val="24"/>
          <w:lang w:val="en-US"/>
        </w:rPr>
        <w:t>ow</w:t>
      </w:r>
      <w:r w:rsidR="00707513">
        <w:rPr>
          <w:rFonts w:ascii="Times New Roman" w:hAnsi="Times New Roman" w:cs="Times New Roman"/>
          <w:sz w:val="24"/>
          <w:szCs w:val="24"/>
          <w:lang w:val="en-US"/>
        </w:rPr>
        <w:t xml:space="preserve"> r</w:t>
      </w:r>
      <w:r w:rsidRPr="00486F2D">
        <w:rPr>
          <w:rFonts w:ascii="Times New Roman" w:hAnsi="Times New Roman" w:cs="Times New Roman"/>
          <w:sz w:val="24"/>
          <w:szCs w:val="24"/>
          <w:lang w:val="en-US"/>
        </w:rPr>
        <w:t>isk</w:t>
      </w:r>
      <w:r w:rsidR="00707513">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the base case definition </w:t>
      </w:r>
      <w:r w:rsidR="009B0256">
        <w:rPr>
          <w:rFonts w:ascii="Times New Roman" w:hAnsi="Times New Roman" w:cs="Times New Roman"/>
          <w:sz w:val="24"/>
          <w:szCs w:val="24"/>
          <w:lang w:val="en-US"/>
        </w:rPr>
        <w:t>(</w:t>
      </w:r>
      <w:r w:rsidRPr="00486F2D">
        <w:rPr>
          <w:rFonts w:ascii="Times New Roman" w:hAnsi="Times New Roman" w:cs="Times New Roman"/>
          <w:sz w:val="24"/>
          <w:szCs w:val="24"/>
          <w:lang w:val="en-US"/>
        </w:rPr>
        <w:t>LR0</w:t>
      </w:r>
      <w:r w:rsidR="009B0256">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selects the 10% shortest-maturity bonds within the highest ratings: AAA/AA/A for </w:t>
      </w:r>
      <w:r w:rsidR="00707513">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707513">
        <w:rPr>
          <w:rFonts w:ascii="Times New Roman" w:hAnsi="Times New Roman" w:cs="Times New Roman"/>
          <w:sz w:val="24"/>
          <w:szCs w:val="24"/>
          <w:lang w:val="en-US"/>
        </w:rPr>
        <w:t>g</w:t>
      </w:r>
      <w:r w:rsidRPr="00486F2D">
        <w:rPr>
          <w:rFonts w:ascii="Times New Roman" w:hAnsi="Times New Roman" w:cs="Times New Roman"/>
          <w:sz w:val="24"/>
          <w:szCs w:val="24"/>
          <w:lang w:val="en-US"/>
        </w:rPr>
        <w:t xml:space="preserve">rade and BB/B for </w:t>
      </w:r>
      <w:r w:rsidR="00707513">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707513">
        <w:rPr>
          <w:rFonts w:ascii="Times New Roman" w:hAnsi="Times New Roman" w:cs="Times New Roman"/>
          <w:sz w:val="24"/>
          <w:szCs w:val="24"/>
          <w:lang w:val="en-US"/>
        </w:rPr>
        <w:t>y</w:t>
      </w:r>
      <w:r w:rsidRPr="00486F2D">
        <w:rPr>
          <w:rFonts w:ascii="Times New Roman" w:hAnsi="Times New Roman" w:cs="Times New Roman"/>
          <w:sz w:val="24"/>
          <w:szCs w:val="24"/>
          <w:lang w:val="en-US"/>
        </w:rPr>
        <w:t xml:space="preserve">ield. Our first alternative definition, LR1, is more restrictive in the rating dimension by choosing from AAA </w:t>
      </w:r>
      <w:r w:rsidR="00696A10" w:rsidRPr="00486F2D">
        <w:rPr>
          <w:rFonts w:ascii="Times New Roman" w:hAnsi="Times New Roman" w:cs="Times New Roman"/>
          <w:sz w:val="24"/>
          <w:szCs w:val="24"/>
          <w:lang w:val="en-US"/>
        </w:rPr>
        <w:t xml:space="preserve">rated </w:t>
      </w:r>
      <w:r w:rsidRPr="00486F2D">
        <w:rPr>
          <w:rFonts w:ascii="Times New Roman" w:hAnsi="Times New Roman" w:cs="Times New Roman"/>
          <w:sz w:val="24"/>
          <w:szCs w:val="24"/>
          <w:lang w:val="en-US"/>
        </w:rPr>
        <w:t>and AA</w:t>
      </w:r>
      <w:r w:rsidR="00696A10">
        <w:rPr>
          <w:rFonts w:ascii="Times New Roman" w:hAnsi="Times New Roman" w:cs="Times New Roman"/>
          <w:sz w:val="24"/>
          <w:szCs w:val="24"/>
          <w:lang w:val="en-US"/>
        </w:rPr>
        <w:t xml:space="preserve"> </w:t>
      </w:r>
      <w:r w:rsidRPr="00486F2D">
        <w:rPr>
          <w:rFonts w:ascii="Times New Roman" w:hAnsi="Times New Roman" w:cs="Times New Roman"/>
          <w:sz w:val="24"/>
          <w:szCs w:val="24"/>
          <w:lang w:val="en-US"/>
        </w:rPr>
        <w:lastRenderedPageBreak/>
        <w:t xml:space="preserve">rated bonds in </w:t>
      </w:r>
      <w:r w:rsidR="00696A10">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696A10">
        <w:rPr>
          <w:rFonts w:ascii="Times New Roman" w:hAnsi="Times New Roman" w:cs="Times New Roman"/>
          <w:sz w:val="24"/>
          <w:szCs w:val="24"/>
          <w:lang w:val="en-US"/>
        </w:rPr>
        <w:t>g</w:t>
      </w:r>
      <w:r w:rsidRPr="00486F2D">
        <w:rPr>
          <w:rFonts w:ascii="Times New Roman" w:hAnsi="Times New Roman" w:cs="Times New Roman"/>
          <w:sz w:val="24"/>
          <w:szCs w:val="24"/>
          <w:lang w:val="en-US"/>
        </w:rPr>
        <w:t>rade and from BB</w:t>
      </w:r>
      <w:r w:rsidR="00696A10">
        <w:rPr>
          <w:rFonts w:ascii="Times New Roman" w:hAnsi="Times New Roman" w:cs="Times New Roman"/>
          <w:sz w:val="24"/>
          <w:szCs w:val="24"/>
          <w:lang w:val="en-US"/>
        </w:rPr>
        <w:t xml:space="preserve"> </w:t>
      </w:r>
      <w:r w:rsidRPr="00486F2D">
        <w:rPr>
          <w:rFonts w:ascii="Times New Roman" w:hAnsi="Times New Roman" w:cs="Times New Roman"/>
          <w:sz w:val="24"/>
          <w:szCs w:val="24"/>
          <w:lang w:val="en-US"/>
        </w:rPr>
        <w:t xml:space="preserve">rated bonds in </w:t>
      </w:r>
      <w:r w:rsidR="00696A10">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696A10">
        <w:rPr>
          <w:rFonts w:ascii="Times New Roman" w:hAnsi="Times New Roman" w:cs="Times New Roman"/>
          <w:sz w:val="24"/>
          <w:szCs w:val="24"/>
          <w:lang w:val="en-US"/>
        </w:rPr>
        <w:t>y</w:t>
      </w:r>
      <w:r w:rsidRPr="00486F2D">
        <w:rPr>
          <w:rFonts w:ascii="Times New Roman" w:hAnsi="Times New Roman" w:cs="Times New Roman"/>
          <w:sz w:val="24"/>
          <w:szCs w:val="24"/>
          <w:lang w:val="en-US"/>
        </w:rPr>
        <w:t>ield. Otherwise, LR1 uses the same construction method. Our second alternative definition o</w:t>
      </w:r>
      <w:r w:rsidR="002D01A2">
        <w:rPr>
          <w:rFonts w:ascii="Times New Roman" w:hAnsi="Times New Roman" w:cs="Times New Roman"/>
          <w:sz w:val="24"/>
          <w:szCs w:val="24"/>
          <w:lang w:val="en-US"/>
        </w:rPr>
        <w:t>f</w:t>
      </w:r>
      <w:r w:rsidRPr="00486F2D">
        <w:rPr>
          <w:rFonts w:ascii="Times New Roman" w:hAnsi="Times New Roman" w:cs="Times New Roman"/>
          <w:sz w:val="24"/>
          <w:szCs w:val="24"/>
          <w:lang w:val="en-US"/>
        </w:rPr>
        <w:t xml:space="preserve"> </w:t>
      </w:r>
      <w:r w:rsidR="00227DC9">
        <w:rPr>
          <w:rFonts w:ascii="Times New Roman" w:hAnsi="Times New Roman" w:cs="Times New Roman"/>
          <w:sz w:val="24"/>
          <w:szCs w:val="24"/>
          <w:lang w:val="en-US"/>
        </w:rPr>
        <w:t>l</w:t>
      </w:r>
      <w:r w:rsidRPr="00486F2D">
        <w:rPr>
          <w:rFonts w:ascii="Times New Roman" w:hAnsi="Times New Roman" w:cs="Times New Roman"/>
          <w:sz w:val="24"/>
          <w:szCs w:val="24"/>
          <w:lang w:val="en-US"/>
        </w:rPr>
        <w:t>ow</w:t>
      </w:r>
      <w:r w:rsidR="00227DC9">
        <w:rPr>
          <w:rFonts w:ascii="Times New Roman" w:hAnsi="Times New Roman" w:cs="Times New Roman"/>
          <w:sz w:val="24"/>
          <w:szCs w:val="24"/>
          <w:lang w:val="en-US"/>
        </w:rPr>
        <w:t xml:space="preserve"> r</w:t>
      </w:r>
      <w:r w:rsidRPr="00486F2D">
        <w:rPr>
          <w:rFonts w:ascii="Times New Roman" w:hAnsi="Times New Roman" w:cs="Times New Roman"/>
          <w:sz w:val="24"/>
          <w:szCs w:val="24"/>
          <w:lang w:val="en-US"/>
        </w:rPr>
        <w:t xml:space="preserve">isk </w:t>
      </w:r>
      <w:r w:rsidR="00227DC9">
        <w:rPr>
          <w:rFonts w:ascii="Times New Roman" w:hAnsi="Times New Roman" w:cs="Times New Roman"/>
          <w:sz w:val="24"/>
          <w:szCs w:val="24"/>
          <w:lang w:val="en-US"/>
        </w:rPr>
        <w:t>(</w:t>
      </w:r>
      <w:r w:rsidRPr="00486F2D">
        <w:rPr>
          <w:rFonts w:ascii="Times New Roman" w:hAnsi="Times New Roman" w:cs="Times New Roman"/>
          <w:sz w:val="24"/>
          <w:szCs w:val="24"/>
          <w:lang w:val="en-US"/>
        </w:rPr>
        <w:t>LR2</w:t>
      </w:r>
      <w:r w:rsidR="00227DC9">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uses spread and maturity as risk measures, instead of rating and maturity as in the base case. LR2 selects the </w:t>
      </w:r>
      <w:r w:rsidR="006D7C2A">
        <w:rPr>
          <w:rFonts w:ascii="Times New Roman" w:hAnsi="Times New Roman" w:cs="Times New Roman"/>
          <w:sz w:val="24"/>
          <w:szCs w:val="24"/>
          <w:lang w:val="en-US"/>
        </w:rPr>
        <w:t>one-third</w:t>
      </w:r>
      <w:r w:rsidRPr="00486F2D">
        <w:rPr>
          <w:rFonts w:ascii="Times New Roman" w:hAnsi="Times New Roman" w:cs="Times New Roman"/>
          <w:sz w:val="24"/>
          <w:szCs w:val="24"/>
          <w:lang w:val="en-US"/>
        </w:rPr>
        <w:t xml:space="preserve"> of the bonds with the shortest maturities within the </w:t>
      </w:r>
      <w:r w:rsidR="006D7C2A">
        <w:rPr>
          <w:rFonts w:ascii="Times New Roman" w:hAnsi="Times New Roman" w:cs="Times New Roman"/>
          <w:sz w:val="24"/>
          <w:szCs w:val="24"/>
          <w:lang w:val="en-US"/>
        </w:rPr>
        <w:t>one-third</w:t>
      </w:r>
      <w:r w:rsidRPr="00486F2D">
        <w:rPr>
          <w:rFonts w:ascii="Times New Roman" w:hAnsi="Times New Roman" w:cs="Times New Roman"/>
          <w:sz w:val="24"/>
          <w:szCs w:val="24"/>
          <w:lang w:val="en-US"/>
        </w:rPr>
        <w:t xml:space="preserve"> of the bonds with the lowest credit spreads. It thus contains 11% of the bonds, which is very close to the 10% used in the previous definitions. The final alternative definition </w:t>
      </w:r>
      <w:r w:rsidR="00E6264F">
        <w:rPr>
          <w:rFonts w:ascii="Times New Roman" w:hAnsi="Times New Roman" w:cs="Times New Roman"/>
          <w:sz w:val="24"/>
          <w:szCs w:val="24"/>
          <w:lang w:val="en-US"/>
        </w:rPr>
        <w:t>(</w:t>
      </w:r>
      <w:r w:rsidRPr="00486F2D">
        <w:rPr>
          <w:rFonts w:ascii="Times New Roman" w:hAnsi="Times New Roman" w:cs="Times New Roman"/>
          <w:sz w:val="24"/>
          <w:szCs w:val="24"/>
          <w:lang w:val="en-US"/>
        </w:rPr>
        <w:t>LR3</w:t>
      </w:r>
      <w:r w:rsidR="00E6264F">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selects the 10% of the bonds with the lowest </w:t>
      </w:r>
      <w:r w:rsidR="00E6264F">
        <w:rPr>
          <w:rFonts w:ascii="Times New Roman" w:hAnsi="Times New Roman" w:cs="Times New Roman"/>
          <w:sz w:val="24"/>
          <w:szCs w:val="24"/>
          <w:lang w:val="en-US"/>
        </w:rPr>
        <w:t>d</w:t>
      </w:r>
      <w:r w:rsidRPr="00486F2D">
        <w:rPr>
          <w:rFonts w:ascii="Times New Roman" w:hAnsi="Times New Roman" w:cs="Times New Roman"/>
          <w:sz w:val="24"/>
          <w:szCs w:val="24"/>
          <w:lang w:val="en-US"/>
        </w:rPr>
        <w:t xml:space="preserve">uration </w:t>
      </w:r>
      <w:r w:rsidR="00E6264F">
        <w:rPr>
          <w:rFonts w:ascii="Times New Roman" w:hAnsi="Times New Roman" w:cs="Times New Roman"/>
          <w:sz w:val="24"/>
          <w:szCs w:val="24"/>
          <w:lang w:val="en-US"/>
        </w:rPr>
        <w:t>t</w:t>
      </w:r>
      <w:r w:rsidRPr="00486F2D">
        <w:rPr>
          <w:rFonts w:ascii="Times New Roman" w:hAnsi="Times New Roman" w:cs="Times New Roman"/>
          <w:sz w:val="24"/>
          <w:szCs w:val="24"/>
          <w:lang w:val="en-US"/>
        </w:rPr>
        <w:t xml:space="preserve">imes </w:t>
      </w:r>
      <w:r w:rsidR="00E6264F">
        <w:rPr>
          <w:rFonts w:ascii="Times New Roman" w:hAnsi="Times New Roman" w:cs="Times New Roman"/>
          <w:sz w:val="24"/>
          <w:szCs w:val="24"/>
          <w:lang w:val="en-US"/>
        </w:rPr>
        <w:t>s</w:t>
      </w:r>
      <w:r w:rsidRPr="00486F2D">
        <w:rPr>
          <w:rFonts w:ascii="Times New Roman" w:hAnsi="Times New Roman" w:cs="Times New Roman"/>
          <w:sz w:val="24"/>
          <w:szCs w:val="24"/>
          <w:lang w:val="en-US"/>
        </w:rPr>
        <w:t xml:space="preserve">pread (DTS). Ben </w:t>
      </w:r>
      <w:proofErr w:type="spellStart"/>
      <w:r w:rsidRPr="00486F2D">
        <w:rPr>
          <w:rFonts w:ascii="Times New Roman" w:hAnsi="Times New Roman" w:cs="Times New Roman"/>
          <w:sz w:val="24"/>
          <w:szCs w:val="24"/>
          <w:lang w:val="en-US"/>
        </w:rPr>
        <w:t>Dor</w:t>
      </w:r>
      <w:proofErr w:type="spellEnd"/>
      <w:r w:rsidR="004D4D5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proofErr w:type="spellStart"/>
      <w:r w:rsidR="004D4D52" w:rsidRPr="00EC0768">
        <w:rPr>
          <w:rFonts w:ascii="Times New Roman" w:eastAsia="Times New Roman" w:hAnsi="Times New Roman" w:cs="Times New Roman"/>
          <w:sz w:val="24"/>
          <w:szCs w:val="20"/>
          <w:lang w:val="en-US"/>
        </w:rPr>
        <w:t>Dynkin</w:t>
      </w:r>
      <w:proofErr w:type="spellEnd"/>
      <w:r w:rsidR="004D4D52" w:rsidRPr="00EC0768">
        <w:rPr>
          <w:rFonts w:ascii="Times New Roman" w:eastAsia="Times New Roman" w:hAnsi="Times New Roman" w:cs="Times New Roman"/>
          <w:sz w:val="24"/>
          <w:szCs w:val="20"/>
          <w:lang w:val="en-US"/>
        </w:rPr>
        <w:t xml:space="preserve">, Hyman, </w:t>
      </w:r>
      <w:proofErr w:type="spellStart"/>
      <w:r w:rsidR="004D4D52" w:rsidRPr="00EC0768">
        <w:rPr>
          <w:rFonts w:ascii="Times New Roman" w:eastAsia="Times New Roman" w:hAnsi="Times New Roman" w:cs="Times New Roman"/>
          <w:sz w:val="24"/>
          <w:szCs w:val="20"/>
          <w:lang w:val="en-US"/>
        </w:rPr>
        <w:t>Houweling</w:t>
      </w:r>
      <w:proofErr w:type="spellEnd"/>
      <w:r w:rsidR="004D4D52" w:rsidRPr="00EC0768">
        <w:rPr>
          <w:rFonts w:ascii="Times New Roman" w:eastAsia="Times New Roman" w:hAnsi="Times New Roman" w:cs="Times New Roman"/>
          <w:sz w:val="24"/>
          <w:szCs w:val="20"/>
          <w:lang w:val="en-US"/>
        </w:rPr>
        <w:t xml:space="preserve">, van </w:t>
      </w:r>
      <w:proofErr w:type="spellStart"/>
      <w:r w:rsidR="004D4D52" w:rsidRPr="00EC0768">
        <w:rPr>
          <w:rFonts w:ascii="Times New Roman" w:eastAsia="Times New Roman" w:hAnsi="Times New Roman" w:cs="Times New Roman"/>
          <w:sz w:val="24"/>
          <w:szCs w:val="20"/>
          <w:lang w:val="en-US"/>
        </w:rPr>
        <w:t>Leeuwen</w:t>
      </w:r>
      <w:proofErr w:type="spellEnd"/>
      <w:r w:rsidR="004D4D52" w:rsidRPr="00EC0768">
        <w:rPr>
          <w:rFonts w:ascii="Times New Roman" w:eastAsia="Times New Roman" w:hAnsi="Times New Roman" w:cs="Times New Roman"/>
          <w:sz w:val="24"/>
          <w:szCs w:val="20"/>
          <w:lang w:val="en-US"/>
        </w:rPr>
        <w:t xml:space="preserve">, and </w:t>
      </w:r>
      <w:proofErr w:type="spellStart"/>
      <w:r w:rsidR="004D4D52" w:rsidRPr="00EC0768">
        <w:rPr>
          <w:rFonts w:ascii="Times New Roman" w:eastAsia="Times New Roman" w:hAnsi="Times New Roman" w:cs="Times New Roman"/>
          <w:sz w:val="24"/>
          <w:szCs w:val="20"/>
          <w:lang w:val="en-US"/>
        </w:rPr>
        <w:t>Penninga</w:t>
      </w:r>
      <w:proofErr w:type="spellEnd"/>
      <w:r w:rsidRPr="00486F2D">
        <w:rPr>
          <w:rFonts w:ascii="Times New Roman" w:hAnsi="Times New Roman" w:cs="Times New Roman"/>
          <w:sz w:val="24"/>
          <w:szCs w:val="24"/>
          <w:lang w:val="en-US"/>
        </w:rPr>
        <w:t xml:space="preserve"> (2007) </w:t>
      </w:r>
      <w:r w:rsidR="002C0301">
        <w:rPr>
          <w:rFonts w:ascii="Times New Roman" w:hAnsi="Times New Roman" w:cs="Times New Roman"/>
          <w:sz w:val="24"/>
          <w:szCs w:val="24"/>
          <w:lang w:val="en-US"/>
        </w:rPr>
        <w:t>found</w:t>
      </w:r>
      <w:r w:rsidRPr="00486F2D">
        <w:rPr>
          <w:rFonts w:ascii="Times New Roman" w:hAnsi="Times New Roman" w:cs="Times New Roman"/>
          <w:sz w:val="24"/>
          <w:szCs w:val="24"/>
          <w:lang w:val="en-US"/>
        </w:rPr>
        <w:t xml:space="preserve"> strong evidence that DTS is a predictor of the volatility of a corporate bond</w:t>
      </w:r>
      <w:r w:rsidR="002655A9">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r w:rsidR="002655A9">
        <w:rPr>
          <w:rFonts w:ascii="Times New Roman" w:hAnsi="Times New Roman" w:cs="Times New Roman"/>
          <w:sz w:val="24"/>
          <w:szCs w:val="24"/>
          <w:lang w:val="en-US"/>
        </w:rPr>
        <w:t>d</w:t>
      </w:r>
      <w:r w:rsidRPr="00486F2D">
        <w:rPr>
          <w:rFonts w:ascii="Times New Roman" w:hAnsi="Times New Roman" w:cs="Times New Roman"/>
          <w:sz w:val="24"/>
          <w:szCs w:val="24"/>
          <w:lang w:val="en-US"/>
        </w:rPr>
        <w:t xml:space="preserve">e </w:t>
      </w:r>
      <w:proofErr w:type="spellStart"/>
      <w:r w:rsidRPr="00486F2D">
        <w:rPr>
          <w:rFonts w:ascii="Times New Roman" w:hAnsi="Times New Roman" w:cs="Times New Roman"/>
          <w:sz w:val="24"/>
          <w:szCs w:val="24"/>
          <w:lang w:val="en-US"/>
        </w:rPr>
        <w:t>Carvalho</w:t>
      </w:r>
      <w:proofErr w:type="spellEnd"/>
      <w:r w:rsidR="00D92E3B">
        <w:rPr>
          <w:rFonts w:ascii="Times New Roman" w:hAnsi="Times New Roman" w:cs="Times New Roman"/>
          <w:sz w:val="24"/>
          <w:szCs w:val="24"/>
          <w:lang w:val="en-US"/>
        </w:rPr>
        <w:t xml:space="preserve">, </w:t>
      </w:r>
      <w:proofErr w:type="spellStart"/>
      <w:r w:rsidR="00D92E3B" w:rsidRPr="008461E3">
        <w:rPr>
          <w:rFonts w:ascii="Times New Roman" w:eastAsia="Times New Roman" w:hAnsi="Times New Roman" w:cs="Times New Roman"/>
          <w:sz w:val="24"/>
          <w:szCs w:val="20"/>
          <w:lang w:val="en-US"/>
        </w:rPr>
        <w:t>Dugnolle</w:t>
      </w:r>
      <w:proofErr w:type="spellEnd"/>
      <w:r w:rsidR="00D92E3B" w:rsidRPr="008461E3">
        <w:rPr>
          <w:rFonts w:ascii="Times New Roman" w:eastAsia="Times New Roman" w:hAnsi="Times New Roman" w:cs="Times New Roman"/>
          <w:sz w:val="24"/>
          <w:szCs w:val="20"/>
          <w:lang w:val="en-US"/>
        </w:rPr>
        <w:t>, Lu, and Moulin</w:t>
      </w:r>
      <w:r w:rsidRPr="00486F2D">
        <w:rPr>
          <w:rFonts w:ascii="Times New Roman" w:hAnsi="Times New Roman" w:cs="Times New Roman"/>
          <w:sz w:val="24"/>
          <w:szCs w:val="24"/>
          <w:lang w:val="en-US"/>
        </w:rPr>
        <w:t> (2014) demonstrate</w:t>
      </w:r>
      <w:r w:rsidR="002655A9">
        <w:rPr>
          <w:rFonts w:ascii="Times New Roman" w:hAnsi="Times New Roman" w:cs="Times New Roman"/>
          <w:sz w:val="24"/>
          <w:szCs w:val="24"/>
          <w:lang w:val="en-US"/>
        </w:rPr>
        <w:t>d</w:t>
      </w:r>
      <w:r w:rsidRPr="00486F2D">
        <w:rPr>
          <w:rFonts w:ascii="Times New Roman" w:hAnsi="Times New Roman" w:cs="Times New Roman"/>
          <w:sz w:val="24"/>
          <w:szCs w:val="24"/>
          <w:lang w:val="en-US"/>
        </w:rPr>
        <w:t xml:space="preserve"> the existence of a low-risk effect across various fixed</w:t>
      </w:r>
      <w:r w:rsidR="002655A9">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income markets using DTS as </w:t>
      </w:r>
      <w:r w:rsidR="009860A3">
        <w:rPr>
          <w:rFonts w:ascii="Times New Roman" w:hAnsi="Times New Roman" w:cs="Times New Roman"/>
          <w:sz w:val="24"/>
          <w:szCs w:val="24"/>
          <w:lang w:val="en-US"/>
        </w:rPr>
        <w:t xml:space="preserve">the </w:t>
      </w:r>
      <w:r w:rsidRPr="00486F2D">
        <w:rPr>
          <w:rFonts w:ascii="Times New Roman" w:hAnsi="Times New Roman" w:cs="Times New Roman"/>
          <w:sz w:val="24"/>
          <w:szCs w:val="24"/>
          <w:lang w:val="en-US"/>
        </w:rPr>
        <w:t>risk measure.</w:t>
      </w:r>
    </w:p>
    <w:p w14:paraId="2AC98547" w14:textId="1528EF27" w:rsidR="001617A5" w:rsidRPr="00486F2D" w:rsidRDefault="001617A5" w:rsidP="001617A5">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The </w:t>
      </w:r>
      <w:r w:rsidR="00E85698">
        <w:rPr>
          <w:rFonts w:ascii="Times New Roman" w:hAnsi="Times New Roman" w:cs="Times New Roman"/>
          <w:sz w:val="24"/>
          <w:szCs w:val="24"/>
          <w:lang w:val="en-US"/>
        </w:rPr>
        <w:t>v</w:t>
      </w:r>
      <w:r w:rsidRPr="00486F2D">
        <w:rPr>
          <w:rFonts w:ascii="Times New Roman" w:hAnsi="Times New Roman" w:cs="Times New Roman"/>
          <w:sz w:val="24"/>
          <w:szCs w:val="24"/>
          <w:lang w:val="en-US"/>
        </w:rPr>
        <w:t xml:space="preserve">alue base case definition </w:t>
      </w:r>
      <w:r w:rsidR="00E85698">
        <w:rPr>
          <w:rFonts w:ascii="Times New Roman" w:hAnsi="Times New Roman" w:cs="Times New Roman"/>
          <w:sz w:val="24"/>
          <w:szCs w:val="24"/>
          <w:lang w:val="en-US"/>
        </w:rPr>
        <w:t>(</w:t>
      </w:r>
      <w:r w:rsidRPr="00486F2D">
        <w:rPr>
          <w:rFonts w:ascii="Times New Roman" w:hAnsi="Times New Roman" w:cs="Times New Roman"/>
          <w:sz w:val="24"/>
          <w:szCs w:val="24"/>
          <w:lang w:val="en-US"/>
        </w:rPr>
        <w:t>V0</w:t>
      </w:r>
      <w:r w:rsidR="00E85698">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conducts a regression of spread on minor rating (AAA, AA+, AA, … C) dummies, maturity</w:t>
      </w:r>
      <w:r w:rsidR="00E85698">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and three-month spread change and selects the 10% bonds for which the percentage deviation between the market spread and the fitted spread is the largest. The first alternative definition </w:t>
      </w:r>
      <w:r w:rsidR="00875FA3">
        <w:rPr>
          <w:rFonts w:ascii="Times New Roman" w:hAnsi="Times New Roman" w:cs="Times New Roman"/>
          <w:sz w:val="24"/>
          <w:szCs w:val="24"/>
          <w:lang w:val="en-US"/>
        </w:rPr>
        <w:t>(</w:t>
      </w:r>
      <w:r w:rsidRPr="00486F2D">
        <w:rPr>
          <w:rFonts w:ascii="Times New Roman" w:hAnsi="Times New Roman" w:cs="Times New Roman"/>
          <w:sz w:val="24"/>
          <w:szCs w:val="24"/>
          <w:lang w:val="en-US"/>
        </w:rPr>
        <w:t>V1</w:t>
      </w:r>
      <w:r w:rsidR="00875FA3">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uses rating and maturity </w:t>
      </w:r>
      <w:r w:rsidR="00875FA3">
        <w:rPr>
          <w:rFonts w:ascii="Times New Roman" w:hAnsi="Times New Roman" w:cs="Times New Roman"/>
          <w:sz w:val="24"/>
          <w:szCs w:val="24"/>
          <w:lang w:val="en-US"/>
        </w:rPr>
        <w:t>as in</w:t>
      </w:r>
      <w:r w:rsidRPr="00486F2D">
        <w:rPr>
          <w:rFonts w:ascii="Times New Roman" w:hAnsi="Times New Roman" w:cs="Times New Roman"/>
          <w:sz w:val="24"/>
          <w:szCs w:val="24"/>
          <w:lang w:val="en-US"/>
        </w:rPr>
        <w:t xml:space="preserve"> the base case, but instead of a regression, it first creates three equally populated maturity buckets within each major rating group (AAA/AA, A, BBB, BB, B, CCC/CC/C) and then selects the 10% highest spreads within each rating</w:t>
      </w:r>
      <w:r w:rsidR="00040F00">
        <w:rPr>
          <w:rFonts w:ascii="Times New Roman" w:hAnsi="Times New Roman" w:cs="Times New Roman"/>
          <w:sz w:val="24"/>
          <w:szCs w:val="24"/>
          <w:lang w:val="en-US"/>
        </w:rPr>
        <w:t>-</w:t>
      </w:r>
      <w:r w:rsidR="005313AC">
        <w:rPr>
          <w:rFonts w:ascii="Times New Roman" w:hAnsi="Times New Roman" w:cs="Times New Roman"/>
          <w:sz w:val="24"/>
          <w:szCs w:val="24"/>
          <w:lang w:val="en-US"/>
        </w:rPr>
        <w:t>times</w:t>
      </w:r>
      <w:r w:rsidR="00040F00">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maturity peer group. The second alternative </w:t>
      </w:r>
      <w:r w:rsidR="00040F00">
        <w:rPr>
          <w:rFonts w:ascii="Times New Roman" w:hAnsi="Times New Roman" w:cs="Times New Roman"/>
          <w:sz w:val="24"/>
          <w:szCs w:val="24"/>
          <w:lang w:val="en-US"/>
        </w:rPr>
        <w:t>v</w:t>
      </w:r>
      <w:r w:rsidRPr="00486F2D">
        <w:rPr>
          <w:rFonts w:ascii="Times New Roman" w:hAnsi="Times New Roman" w:cs="Times New Roman"/>
          <w:sz w:val="24"/>
          <w:szCs w:val="24"/>
          <w:lang w:val="en-US"/>
        </w:rPr>
        <w:t xml:space="preserve">alue definition </w:t>
      </w:r>
      <w:r w:rsidR="00040F00">
        <w:rPr>
          <w:rFonts w:ascii="Times New Roman" w:hAnsi="Times New Roman" w:cs="Times New Roman"/>
          <w:sz w:val="24"/>
          <w:szCs w:val="24"/>
          <w:lang w:val="en-US"/>
        </w:rPr>
        <w:t>(</w:t>
      </w:r>
      <w:r w:rsidRPr="00486F2D">
        <w:rPr>
          <w:rFonts w:ascii="Times New Roman" w:hAnsi="Times New Roman" w:cs="Times New Roman"/>
          <w:sz w:val="24"/>
          <w:szCs w:val="24"/>
          <w:lang w:val="en-US"/>
        </w:rPr>
        <w:t>V2</w:t>
      </w:r>
      <w:r w:rsidR="00040F00">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is a direct translation of the book-to-market measure in the equity market by selecting the 10% of the bonds with the highest ratio of notional amount to market value (i.e.</w:t>
      </w:r>
      <w:r w:rsidR="00BE0177">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the reciprocal of the bond price). </w:t>
      </w:r>
    </w:p>
    <w:p w14:paraId="262F6C87" w14:textId="21C2E916" w:rsidR="001617A5" w:rsidRPr="00486F2D" w:rsidRDefault="001617A5"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For </w:t>
      </w:r>
      <w:r w:rsidR="00EA3F98">
        <w:rPr>
          <w:rFonts w:ascii="Times New Roman" w:hAnsi="Times New Roman" w:cs="Times New Roman"/>
          <w:sz w:val="24"/>
          <w:szCs w:val="24"/>
          <w:lang w:val="en-US"/>
        </w:rPr>
        <w:t>m</w:t>
      </w:r>
      <w:r w:rsidR="00204ACC" w:rsidRPr="00486F2D">
        <w:rPr>
          <w:rFonts w:ascii="Times New Roman" w:hAnsi="Times New Roman" w:cs="Times New Roman"/>
          <w:sz w:val="24"/>
          <w:szCs w:val="24"/>
          <w:lang w:val="en-US"/>
        </w:rPr>
        <w:t>omentum,</w:t>
      </w:r>
      <w:r w:rsidRPr="00486F2D">
        <w:rPr>
          <w:rFonts w:ascii="Times New Roman" w:hAnsi="Times New Roman" w:cs="Times New Roman"/>
          <w:sz w:val="24"/>
          <w:szCs w:val="24"/>
          <w:lang w:val="en-US"/>
        </w:rPr>
        <w:t xml:space="preserve"> we use a formation period of 6 months in the base case definition </w:t>
      </w:r>
      <w:r w:rsidR="005272C2">
        <w:rPr>
          <w:rFonts w:ascii="Times New Roman" w:hAnsi="Times New Roman" w:cs="Times New Roman"/>
          <w:sz w:val="24"/>
          <w:szCs w:val="24"/>
          <w:lang w:val="en-US"/>
        </w:rPr>
        <w:t>(</w:t>
      </w:r>
      <w:r w:rsidRPr="00486F2D">
        <w:rPr>
          <w:rFonts w:ascii="Times New Roman" w:hAnsi="Times New Roman" w:cs="Times New Roman"/>
          <w:sz w:val="24"/>
          <w:szCs w:val="24"/>
          <w:lang w:val="en-US"/>
        </w:rPr>
        <w:t>M0</w:t>
      </w:r>
      <w:r w:rsidR="005272C2">
        <w:rPr>
          <w:rFonts w:ascii="Times New Roman" w:hAnsi="Times New Roman" w:cs="Times New Roman"/>
          <w:sz w:val="24"/>
          <w:szCs w:val="24"/>
          <w:lang w:val="en-US"/>
        </w:rPr>
        <w:t>)</w:t>
      </w:r>
      <w:r w:rsidR="00EA3F98">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r w:rsidR="00EA3F98">
        <w:rPr>
          <w:rFonts w:ascii="Times New Roman" w:hAnsi="Times New Roman" w:cs="Times New Roman"/>
          <w:sz w:val="24"/>
          <w:szCs w:val="24"/>
          <w:lang w:val="en-US"/>
        </w:rPr>
        <w:t>f</w:t>
      </w:r>
      <w:r w:rsidRPr="00486F2D">
        <w:rPr>
          <w:rFonts w:ascii="Times New Roman" w:hAnsi="Times New Roman" w:cs="Times New Roman"/>
          <w:sz w:val="24"/>
          <w:szCs w:val="24"/>
          <w:lang w:val="en-US"/>
        </w:rPr>
        <w:t xml:space="preserve">or the alternative definitions </w:t>
      </w:r>
      <w:r w:rsidR="00EA3F98">
        <w:rPr>
          <w:rFonts w:ascii="Times New Roman" w:hAnsi="Times New Roman" w:cs="Times New Roman"/>
          <w:sz w:val="24"/>
          <w:szCs w:val="24"/>
          <w:lang w:val="en-US"/>
        </w:rPr>
        <w:t>(</w:t>
      </w:r>
      <w:r w:rsidRPr="00486F2D">
        <w:rPr>
          <w:rFonts w:ascii="Times New Roman" w:hAnsi="Times New Roman" w:cs="Times New Roman"/>
          <w:sz w:val="24"/>
          <w:szCs w:val="24"/>
          <w:lang w:val="en-US"/>
        </w:rPr>
        <w:t>M1, M2</w:t>
      </w:r>
      <w:r w:rsidR="00EA3F98">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and M3</w:t>
      </w:r>
      <w:r w:rsidR="00EA3F98">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we change the formation period to 3 months, 9 </w:t>
      </w:r>
      <w:r w:rsidR="00204ACC" w:rsidRPr="00486F2D">
        <w:rPr>
          <w:rFonts w:ascii="Times New Roman" w:hAnsi="Times New Roman" w:cs="Times New Roman"/>
          <w:sz w:val="24"/>
          <w:szCs w:val="24"/>
          <w:lang w:val="en-US"/>
        </w:rPr>
        <w:t>month</w:t>
      </w:r>
      <w:r w:rsidR="00204ACC">
        <w:rPr>
          <w:rFonts w:ascii="Times New Roman" w:hAnsi="Times New Roman" w:cs="Times New Roman"/>
          <w:sz w:val="24"/>
          <w:szCs w:val="24"/>
          <w:lang w:val="en-US"/>
        </w:rPr>
        <w:t>s,</w:t>
      </w:r>
      <w:r>
        <w:rPr>
          <w:rFonts w:ascii="Times New Roman" w:hAnsi="Times New Roman" w:cs="Times New Roman"/>
          <w:sz w:val="24"/>
          <w:szCs w:val="24"/>
          <w:lang w:val="en-US"/>
        </w:rPr>
        <w:t xml:space="preserve"> and 12 months, respectively.</w:t>
      </w:r>
    </w:p>
    <w:p w14:paraId="79E1694E" w14:textId="7FA51C27" w:rsidR="005269AF" w:rsidRPr="00486F2D" w:rsidRDefault="00DE4C5F" w:rsidP="00486F2D">
      <w:pPr>
        <w:spacing w:line="480" w:lineRule="auto"/>
        <w:rPr>
          <w:rFonts w:ascii="Times New Roman" w:hAnsi="Times New Roman" w:cs="Times New Roman"/>
          <w:sz w:val="24"/>
          <w:szCs w:val="24"/>
          <w:lang w:val="en-US"/>
        </w:rPr>
      </w:pPr>
      <w:r w:rsidRPr="00EF2DC8">
        <w:rPr>
          <w:rFonts w:ascii="Times New Roman" w:hAnsi="Times New Roman" w:cs="Times New Roman"/>
          <w:b/>
          <w:sz w:val="24"/>
          <w:szCs w:val="24"/>
          <w:lang w:val="en-US"/>
        </w:rPr>
        <w:lastRenderedPageBreak/>
        <w:t>Table A1</w:t>
      </w:r>
      <w:r w:rsidR="005269AF" w:rsidRPr="00486F2D">
        <w:rPr>
          <w:rFonts w:ascii="Times New Roman" w:hAnsi="Times New Roman" w:cs="Times New Roman"/>
          <w:sz w:val="24"/>
          <w:szCs w:val="24"/>
          <w:lang w:val="en-US"/>
        </w:rPr>
        <w:t xml:space="preserve"> shows key statistics for </w:t>
      </w:r>
      <w:r w:rsidR="00B06A19">
        <w:rPr>
          <w:rFonts w:ascii="Times New Roman" w:hAnsi="Times New Roman" w:cs="Times New Roman"/>
          <w:sz w:val="24"/>
          <w:szCs w:val="24"/>
          <w:lang w:val="en-US"/>
        </w:rPr>
        <w:t xml:space="preserve">both </w:t>
      </w:r>
      <w:r w:rsidR="005269AF" w:rsidRPr="00486F2D">
        <w:rPr>
          <w:rFonts w:ascii="Times New Roman" w:hAnsi="Times New Roman" w:cs="Times New Roman"/>
          <w:sz w:val="24"/>
          <w:szCs w:val="24"/>
          <w:lang w:val="en-US"/>
        </w:rPr>
        <w:t>the alternative definitions a</w:t>
      </w:r>
      <w:r w:rsidR="00B06A19">
        <w:rPr>
          <w:rFonts w:ascii="Times New Roman" w:hAnsi="Times New Roman" w:cs="Times New Roman"/>
          <w:sz w:val="24"/>
          <w:szCs w:val="24"/>
          <w:lang w:val="en-US"/>
        </w:rPr>
        <w:t>nd</w:t>
      </w:r>
      <w:r w:rsidR="005269AF" w:rsidRPr="00486F2D">
        <w:rPr>
          <w:rFonts w:ascii="Times New Roman" w:hAnsi="Times New Roman" w:cs="Times New Roman"/>
          <w:sz w:val="24"/>
          <w:szCs w:val="24"/>
          <w:lang w:val="en-US"/>
        </w:rPr>
        <w:t xml:space="preserve"> the base case definitions to facilitate the comparison. For the </w:t>
      </w:r>
      <w:r w:rsidR="000C2CE3">
        <w:rPr>
          <w:rFonts w:ascii="Times New Roman" w:hAnsi="Times New Roman" w:cs="Times New Roman"/>
          <w:sz w:val="24"/>
          <w:szCs w:val="24"/>
          <w:lang w:val="en-US"/>
        </w:rPr>
        <w:t>s</w:t>
      </w:r>
      <w:r w:rsidR="005269AF" w:rsidRPr="00486F2D">
        <w:rPr>
          <w:rFonts w:ascii="Times New Roman" w:hAnsi="Times New Roman" w:cs="Times New Roman"/>
          <w:sz w:val="24"/>
          <w:szCs w:val="24"/>
          <w:lang w:val="en-US"/>
        </w:rPr>
        <w:t xml:space="preserve">ize factor (Panel A), </w:t>
      </w:r>
      <w:r w:rsidR="005269AF" w:rsidRPr="00486F2D">
        <w:rPr>
          <w:rFonts w:ascii="Times New Roman" w:hAnsi="Times New Roman" w:cs="Times New Roman"/>
          <w:color w:val="000000"/>
          <w:sz w:val="24"/>
          <w:szCs w:val="24"/>
          <w:lang w:val="en-US"/>
        </w:rPr>
        <w:t xml:space="preserve">we consider bond size as </w:t>
      </w:r>
      <w:r w:rsidR="005148C7">
        <w:rPr>
          <w:rFonts w:ascii="Times New Roman" w:hAnsi="Times New Roman" w:cs="Times New Roman"/>
          <w:color w:val="000000"/>
          <w:sz w:val="24"/>
          <w:szCs w:val="24"/>
          <w:lang w:val="en-US"/>
        </w:rPr>
        <w:t xml:space="preserve">an </w:t>
      </w:r>
      <w:r w:rsidR="005269AF" w:rsidRPr="00486F2D">
        <w:rPr>
          <w:rFonts w:ascii="Times New Roman" w:hAnsi="Times New Roman" w:cs="Times New Roman"/>
          <w:color w:val="000000"/>
          <w:sz w:val="24"/>
          <w:szCs w:val="24"/>
          <w:lang w:val="en-US"/>
        </w:rPr>
        <w:t>alternative to company size. T</w:t>
      </w:r>
      <w:r w:rsidR="005269AF" w:rsidRPr="00486F2D">
        <w:rPr>
          <w:rFonts w:ascii="Times New Roman" w:hAnsi="Times New Roman" w:cs="Times New Roman"/>
          <w:sz w:val="24"/>
          <w:szCs w:val="24"/>
          <w:lang w:val="en-US"/>
        </w:rPr>
        <w:t xml:space="preserve">he bond size measure yields a significant Sharpe ratio for </w:t>
      </w:r>
      <w:r w:rsidR="000C2CE3">
        <w:rPr>
          <w:rFonts w:ascii="Times New Roman" w:hAnsi="Times New Roman" w:cs="Times New Roman"/>
          <w:sz w:val="24"/>
          <w:szCs w:val="24"/>
          <w:lang w:val="en-US"/>
        </w:rPr>
        <w:t>h</w:t>
      </w:r>
      <w:r w:rsidR="005269AF" w:rsidRPr="00486F2D">
        <w:rPr>
          <w:rFonts w:ascii="Times New Roman" w:hAnsi="Times New Roman" w:cs="Times New Roman"/>
          <w:sz w:val="24"/>
          <w:szCs w:val="24"/>
          <w:lang w:val="en-US"/>
        </w:rPr>
        <w:t xml:space="preserve">igh </w:t>
      </w:r>
      <w:r w:rsidR="000C2CE3">
        <w:rPr>
          <w:rFonts w:ascii="Times New Roman" w:hAnsi="Times New Roman" w:cs="Times New Roman"/>
          <w:sz w:val="24"/>
          <w:szCs w:val="24"/>
          <w:lang w:val="en-US"/>
        </w:rPr>
        <w:t>y</w:t>
      </w:r>
      <w:r w:rsidR="005269AF" w:rsidRPr="00486F2D">
        <w:rPr>
          <w:rFonts w:ascii="Times New Roman" w:hAnsi="Times New Roman" w:cs="Times New Roman"/>
          <w:sz w:val="24"/>
          <w:szCs w:val="24"/>
          <w:lang w:val="en-US"/>
        </w:rPr>
        <w:t xml:space="preserve">ield </w:t>
      </w:r>
      <w:r w:rsidR="005148C7">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0.54</w:t>
      </w:r>
      <w:r w:rsidR="005148C7">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but not for </w:t>
      </w:r>
      <w:r w:rsidR="000C2CE3">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 xml:space="preserve">nvestment </w:t>
      </w:r>
      <w:r w:rsidR="000C2CE3">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 xml:space="preserve">rade (0.22). There are two possible explanations. First, the alternative definition measures </w:t>
      </w:r>
      <w:r w:rsidR="005269AF" w:rsidRPr="00486F2D">
        <w:rPr>
          <w:rFonts w:ascii="Times New Roman" w:hAnsi="Times New Roman" w:cs="Times New Roman"/>
          <w:i/>
          <w:iCs/>
          <w:sz w:val="24"/>
          <w:szCs w:val="24"/>
          <w:lang w:val="en-US"/>
        </w:rPr>
        <w:t xml:space="preserve">bond </w:t>
      </w:r>
      <w:r w:rsidR="005269AF" w:rsidRPr="00486F2D">
        <w:rPr>
          <w:rFonts w:ascii="Times New Roman" w:hAnsi="Times New Roman" w:cs="Times New Roman"/>
          <w:sz w:val="24"/>
          <w:szCs w:val="24"/>
          <w:lang w:val="en-US"/>
        </w:rPr>
        <w:t xml:space="preserve">size rather than </w:t>
      </w:r>
      <w:r w:rsidR="005269AF" w:rsidRPr="00486F2D">
        <w:rPr>
          <w:rFonts w:ascii="Times New Roman" w:hAnsi="Times New Roman" w:cs="Times New Roman"/>
          <w:i/>
          <w:iCs/>
          <w:sz w:val="24"/>
          <w:szCs w:val="24"/>
          <w:lang w:val="en-US"/>
        </w:rPr>
        <w:t xml:space="preserve">company </w:t>
      </w:r>
      <w:r w:rsidR="005269AF" w:rsidRPr="00486F2D">
        <w:rPr>
          <w:rFonts w:ascii="Times New Roman" w:hAnsi="Times New Roman" w:cs="Times New Roman"/>
          <w:sz w:val="24"/>
          <w:szCs w:val="24"/>
          <w:lang w:val="en-US"/>
        </w:rPr>
        <w:t xml:space="preserve">size, so it proxies </w:t>
      </w:r>
      <w:r w:rsidR="006B726A">
        <w:rPr>
          <w:rFonts w:ascii="Times New Roman" w:hAnsi="Times New Roman" w:cs="Times New Roman"/>
          <w:sz w:val="24"/>
          <w:szCs w:val="24"/>
          <w:lang w:val="en-US"/>
        </w:rPr>
        <w:t xml:space="preserve">for </w:t>
      </w:r>
      <w:r w:rsidR="005269AF" w:rsidRPr="00486F2D">
        <w:rPr>
          <w:rFonts w:ascii="Times New Roman" w:hAnsi="Times New Roman" w:cs="Times New Roman"/>
          <w:sz w:val="24"/>
          <w:szCs w:val="24"/>
          <w:lang w:val="en-US"/>
        </w:rPr>
        <w:t xml:space="preserve">bond illiquidity </w:t>
      </w:r>
      <w:r w:rsidR="006B726A">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see </w:t>
      </w:r>
      <w:proofErr w:type="spellStart"/>
      <w:r w:rsidR="005269AF" w:rsidRPr="00486F2D">
        <w:rPr>
          <w:rFonts w:ascii="Times New Roman" w:hAnsi="Times New Roman" w:cs="Times New Roman"/>
          <w:sz w:val="24"/>
          <w:szCs w:val="24"/>
          <w:lang w:val="en-US"/>
        </w:rPr>
        <w:t>S</w:t>
      </w:r>
      <w:r w:rsidR="006B726A">
        <w:rPr>
          <w:rFonts w:ascii="Times New Roman" w:hAnsi="Times New Roman" w:cs="Times New Roman"/>
          <w:sz w:val="24"/>
          <w:szCs w:val="24"/>
          <w:lang w:val="en-US"/>
        </w:rPr>
        <w:t>arig</w:t>
      </w:r>
      <w:proofErr w:type="spellEnd"/>
      <w:r w:rsidR="006B726A">
        <w:rPr>
          <w:rFonts w:ascii="Times New Roman" w:hAnsi="Times New Roman" w:cs="Times New Roman"/>
          <w:sz w:val="24"/>
          <w:szCs w:val="24"/>
          <w:lang w:val="en-US"/>
        </w:rPr>
        <w:t xml:space="preserve"> and </w:t>
      </w:r>
      <w:proofErr w:type="spellStart"/>
      <w:r w:rsidR="006B726A">
        <w:rPr>
          <w:rFonts w:ascii="Times New Roman" w:hAnsi="Times New Roman" w:cs="Times New Roman"/>
          <w:sz w:val="24"/>
          <w:szCs w:val="24"/>
          <w:lang w:val="en-US"/>
        </w:rPr>
        <w:t>Warga</w:t>
      </w:r>
      <w:proofErr w:type="spellEnd"/>
      <w:r w:rsidR="006B726A">
        <w:rPr>
          <w:rFonts w:ascii="Times New Roman" w:hAnsi="Times New Roman" w:cs="Times New Roman"/>
          <w:sz w:val="24"/>
          <w:szCs w:val="24"/>
          <w:lang w:val="en-US"/>
        </w:rPr>
        <w:t> </w:t>
      </w:r>
      <w:r w:rsidR="005269AF" w:rsidRPr="00486F2D">
        <w:rPr>
          <w:rFonts w:ascii="Times New Roman" w:hAnsi="Times New Roman" w:cs="Times New Roman"/>
          <w:sz w:val="24"/>
          <w:szCs w:val="24"/>
          <w:lang w:val="en-US"/>
        </w:rPr>
        <w:t xml:space="preserve">1989). </w:t>
      </w:r>
      <w:r w:rsidR="000C2CE3">
        <w:rPr>
          <w:rFonts w:ascii="Times New Roman" w:hAnsi="Times New Roman" w:cs="Times New Roman"/>
          <w:sz w:val="24"/>
          <w:szCs w:val="24"/>
          <w:lang w:val="en-US"/>
        </w:rPr>
        <w:t>Becaus</w:t>
      </w:r>
      <w:r w:rsidR="005269AF" w:rsidRPr="00486F2D">
        <w:rPr>
          <w:rFonts w:ascii="Times New Roman" w:hAnsi="Times New Roman" w:cs="Times New Roman"/>
          <w:sz w:val="24"/>
          <w:szCs w:val="24"/>
          <w:lang w:val="en-US"/>
        </w:rPr>
        <w:t xml:space="preserve">e </w:t>
      </w:r>
      <w:r w:rsidR="000C2CE3">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nvestment</w:t>
      </w:r>
      <w:r w:rsidR="000C2CE3">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 xml:space="preserve">rade bonds are generally more liquid than </w:t>
      </w:r>
      <w:r w:rsidR="000C2CE3">
        <w:rPr>
          <w:rFonts w:ascii="Times New Roman" w:hAnsi="Times New Roman" w:cs="Times New Roman"/>
          <w:sz w:val="24"/>
          <w:szCs w:val="24"/>
          <w:lang w:val="en-US"/>
        </w:rPr>
        <w:t>h</w:t>
      </w:r>
      <w:r w:rsidR="005269AF" w:rsidRPr="00486F2D">
        <w:rPr>
          <w:rFonts w:ascii="Times New Roman" w:hAnsi="Times New Roman" w:cs="Times New Roman"/>
          <w:sz w:val="24"/>
          <w:szCs w:val="24"/>
          <w:lang w:val="en-US"/>
        </w:rPr>
        <w:t>igh</w:t>
      </w:r>
      <w:r w:rsidR="000C2CE3">
        <w:rPr>
          <w:rFonts w:ascii="Times New Roman" w:hAnsi="Times New Roman" w:cs="Times New Roman"/>
          <w:sz w:val="24"/>
          <w:szCs w:val="24"/>
          <w:lang w:val="en-US"/>
        </w:rPr>
        <w:t>-y</w:t>
      </w:r>
      <w:r w:rsidR="005269AF" w:rsidRPr="00486F2D">
        <w:rPr>
          <w:rFonts w:ascii="Times New Roman" w:hAnsi="Times New Roman" w:cs="Times New Roman"/>
          <w:sz w:val="24"/>
          <w:szCs w:val="24"/>
          <w:lang w:val="en-US"/>
        </w:rPr>
        <w:t>ield bonds (see Chen</w:t>
      </w:r>
      <w:r w:rsidR="00642E60">
        <w:rPr>
          <w:rFonts w:ascii="Times New Roman" w:hAnsi="Times New Roman" w:cs="Times New Roman"/>
          <w:sz w:val="24"/>
          <w:szCs w:val="24"/>
          <w:lang w:val="en-US"/>
        </w:rPr>
        <w:t xml:space="preserve">, </w:t>
      </w:r>
      <w:proofErr w:type="spellStart"/>
      <w:r w:rsidR="00642E60" w:rsidRPr="00D12EFC">
        <w:rPr>
          <w:rFonts w:ascii="Times New Roman" w:eastAsia="Times New Roman" w:hAnsi="Times New Roman" w:cs="Times New Roman"/>
          <w:sz w:val="24"/>
          <w:szCs w:val="20"/>
          <w:lang w:val="en-US"/>
        </w:rPr>
        <w:t>Lesmond</w:t>
      </w:r>
      <w:proofErr w:type="spellEnd"/>
      <w:r w:rsidR="00642E60" w:rsidRPr="00D12EFC">
        <w:rPr>
          <w:rFonts w:ascii="Times New Roman" w:eastAsia="Times New Roman" w:hAnsi="Times New Roman" w:cs="Times New Roman"/>
          <w:sz w:val="24"/>
          <w:szCs w:val="20"/>
          <w:lang w:val="en-US"/>
        </w:rPr>
        <w:t>, and Wei</w:t>
      </w:r>
      <w:r w:rsidR="005269AF" w:rsidRPr="00486F2D">
        <w:rPr>
          <w:rFonts w:ascii="Times New Roman" w:hAnsi="Times New Roman" w:cs="Times New Roman"/>
          <w:sz w:val="24"/>
          <w:szCs w:val="24"/>
          <w:lang w:val="en-US"/>
        </w:rPr>
        <w:t xml:space="preserve"> 2007, Table I), the illiquidity premium is likely to be lower in </w:t>
      </w:r>
      <w:r w:rsidR="000C2CE3">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 xml:space="preserve">nvestment </w:t>
      </w:r>
      <w:r w:rsidR="000C2CE3">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rade. Second, a large p</w:t>
      </w:r>
      <w:r w:rsidR="00241891">
        <w:rPr>
          <w:rFonts w:ascii="Times New Roman" w:hAnsi="Times New Roman" w:cs="Times New Roman"/>
          <w:sz w:val="24"/>
          <w:szCs w:val="24"/>
          <w:lang w:val="en-US"/>
        </w:rPr>
        <w:t>ercentage</w:t>
      </w:r>
      <w:r w:rsidR="005269AF" w:rsidRPr="00486F2D">
        <w:rPr>
          <w:rFonts w:ascii="Times New Roman" w:hAnsi="Times New Roman" w:cs="Times New Roman"/>
          <w:sz w:val="24"/>
          <w:szCs w:val="24"/>
          <w:lang w:val="en-US"/>
        </w:rPr>
        <w:t xml:space="preserve"> of the companies in the </w:t>
      </w:r>
      <w:r w:rsidR="00187E90">
        <w:rPr>
          <w:rFonts w:ascii="Times New Roman" w:hAnsi="Times New Roman" w:cs="Times New Roman"/>
          <w:sz w:val="24"/>
          <w:szCs w:val="24"/>
          <w:lang w:val="en-US"/>
        </w:rPr>
        <w:t>h</w:t>
      </w:r>
      <w:r w:rsidR="005269AF" w:rsidRPr="00486F2D">
        <w:rPr>
          <w:rFonts w:ascii="Times New Roman" w:hAnsi="Times New Roman" w:cs="Times New Roman"/>
          <w:sz w:val="24"/>
          <w:szCs w:val="24"/>
          <w:lang w:val="en-US"/>
        </w:rPr>
        <w:t>igh</w:t>
      </w:r>
      <w:r w:rsidR="00187E90">
        <w:rPr>
          <w:rFonts w:ascii="Times New Roman" w:hAnsi="Times New Roman" w:cs="Times New Roman"/>
          <w:sz w:val="24"/>
          <w:szCs w:val="24"/>
          <w:lang w:val="en-US"/>
        </w:rPr>
        <w:t>-y</w:t>
      </w:r>
      <w:r w:rsidR="005269AF" w:rsidRPr="00486F2D">
        <w:rPr>
          <w:rFonts w:ascii="Times New Roman" w:hAnsi="Times New Roman" w:cs="Times New Roman"/>
          <w:sz w:val="24"/>
          <w:szCs w:val="24"/>
          <w:lang w:val="en-US"/>
        </w:rPr>
        <w:t>ield market ha</w:t>
      </w:r>
      <w:r w:rsidR="00627453">
        <w:rPr>
          <w:rFonts w:ascii="Times New Roman" w:hAnsi="Times New Roman" w:cs="Times New Roman"/>
          <w:sz w:val="24"/>
          <w:szCs w:val="24"/>
          <w:lang w:val="en-US"/>
        </w:rPr>
        <w:t>ve</w:t>
      </w:r>
      <w:r w:rsidR="005269AF" w:rsidRPr="00486F2D">
        <w:rPr>
          <w:rFonts w:ascii="Times New Roman" w:hAnsi="Times New Roman" w:cs="Times New Roman"/>
          <w:sz w:val="24"/>
          <w:szCs w:val="24"/>
          <w:lang w:val="en-US"/>
        </w:rPr>
        <w:t xml:space="preserve"> only one bond in the index (on average</w:t>
      </w:r>
      <w:r w:rsidR="00627453">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65% versus 30% for </w:t>
      </w:r>
      <w:r w:rsidR="00627453">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 xml:space="preserve">nvestment </w:t>
      </w:r>
      <w:r w:rsidR="00627453">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rade), so the difference between selecting small bonds or small companies is smaller.</w:t>
      </w:r>
    </w:p>
    <w:p w14:paraId="5791BEE9" w14:textId="4A3B6A79"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For the </w:t>
      </w:r>
      <w:r w:rsidR="000B341C">
        <w:rPr>
          <w:rFonts w:ascii="Times New Roman" w:hAnsi="Times New Roman" w:cs="Times New Roman"/>
          <w:sz w:val="24"/>
          <w:szCs w:val="24"/>
          <w:lang w:val="en-US"/>
        </w:rPr>
        <w:t>l</w:t>
      </w:r>
      <w:r w:rsidRPr="00486F2D">
        <w:rPr>
          <w:rFonts w:ascii="Times New Roman" w:hAnsi="Times New Roman" w:cs="Times New Roman"/>
          <w:sz w:val="24"/>
          <w:szCs w:val="24"/>
          <w:lang w:val="en-US"/>
        </w:rPr>
        <w:t>ow-</w:t>
      </w:r>
      <w:r w:rsidR="000B341C">
        <w:rPr>
          <w:rFonts w:ascii="Times New Roman" w:hAnsi="Times New Roman" w:cs="Times New Roman"/>
          <w:sz w:val="24"/>
          <w:szCs w:val="24"/>
          <w:lang w:val="en-US"/>
        </w:rPr>
        <w:t>r</w:t>
      </w:r>
      <w:r w:rsidRPr="00486F2D">
        <w:rPr>
          <w:rFonts w:ascii="Times New Roman" w:hAnsi="Times New Roman" w:cs="Times New Roman"/>
          <w:sz w:val="24"/>
          <w:szCs w:val="24"/>
          <w:lang w:val="en-US"/>
        </w:rPr>
        <w:t>isk factor</w:t>
      </w:r>
      <w:r w:rsidR="000B341C">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r w:rsidRPr="00486F2D">
        <w:rPr>
          <w:rFonts w:ascii="Times New Roman" w:hAnsi="Times New Roman" w:cs="Times New Roman"/>
          <w:color w:val="000000"/>
          <w:sz w:val="24"/>
          <w:szCs w:val="24"/>
          <w:lang w:val="en-US"/>
        </w:rPr>
        <w:t>there is a strong consistency in the results in Panel B, because all three alternative definitions generate significantly positive alphas</w:t>
      </w:r>
      <w:r w:rsidR="00204ACC" w:rsidRPr="00486F2D">
        <w:rPr>
          <w:rFonts w:ascii="Times New Roman" w:hAnsi="Times New Roman" w:cs="Times New Roman"/>
          <w:color w:val="000000"/>
          <w:sz w:val="24"/>
          <w:szCs w:val="24"/>
          <w:lang w:val="en-US"/>
        </w:rPr>
        <w:t xml:space="preserve">, </w:t>
      </w:r>
      <w:r w:rsidR="00204ACC" w:rsidRPr="00486F2D">
        <w:rPr>
          <w:rFonts w:ascii="Times New Roman" w:hAnsi="Times New Roman" w:cs="Times New Roman"/>
          <w:sz w:val="24"/>
          <w:szCs w:val="24"/>
          <w:lang w:val="en-US"/>
        </w:rPr>
        <w:t>varying</w:t>
      </w:r>
      <w:r w:rsidRPr="00486F2D">
        <w:rPr>
          <w:rFonts w:ascii="Times New Roman" w:hAnsi="Times New Roman" w:cs="Times New Roman"/>
          <w:sz w:val="24"/>
          <w:szCs w:val="24"/>
          <w:lang w:val="en-US"/>
        </w:rPr>
        <w:t xml:space="preserve"> between 0.42% (1.80%) and 0.65% (2.20%) for </w:t>
      </w:r>
      <w:r w:rsidR="000B341C">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0B341C">
        <w:rPr>
          <w:rFonts w:ascii="Times New Roman" w:hAnsi="Times New Roman" w:cs="Times New Roman"/>
          <w:sz w:val="24"/>
          <w:szCs w:val="24"/>
          <w:lang w:val="en-US"/>
        </w:rPr>
        <w:t>g</w:t>
      </w:r>
      <w:r w:rsidRPr="00486F2D">
        <w:rPr>
          <w:rFonts w:ascii="Times New Roman" w:hAnsi="Times New Roman" w:cs="Times New Roman"/>
          <w:sz w:val="24"/>
          <w:szCs w:val="24"/>
          <w:lang w:val="en-US"/>
        </w:rPr>
        <w:t>rade (</w:t>
      </w:r>
      <w:r w:rsidR="000B341C">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0B341C">
        <w:rPr>
          <w:rFonts w:ascii="Times New Roman" w:hAnsi="Times New Roman" w:cs="Times New Roman"/>
          <w:sz w:val="24"/>
          <w:szCs w:val="24"/>
          <w:lang w:val="en-US"/>
        </w:rPr>
        <w:t>y</w:t>
      </w:r>
      <w:r w:rsidRPr="00486F2D">
        <w:rPr>
          <w:rFonts w:ascii="Times New Roman" w:hAnsi="Times New Roman" w:cs="Times New Roman"/>
          <w:sz w:val="24"/>
          <w:szCs w:val="24"/>
          <w:lang w:val="en-US"/>
        </w:rPr>
        <w:t>ield).</w:t>
      </w:r>
    </w:p>
    <w:p w14:paraId="0D55C7F0" w14:textId="04CDBB1E"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For the </w:t>
      </w:r>
      <w:r w:rsidR="00A7079F">
        <w:rPr>
          <w:rFonts w:ascii="Times New Roman" w:hAnsi="Times New Roman" w:cs="Times New Roman"/>
          <w:sz w:val="24"/>
          <w:szCs w:val="24"/>
          <w:lang w:val="en-US"/>
        </w:rPr>
        <w:t>v</w:t>
      </w:r>
      <w:r w:rsidRPr="00486F2D">
        <w:rPr>
          <w:rFonts w:ascii="Times New Roman" w:hAnsi="Times New Roman" w:cs="Times New Roman"/>
          <w:sz w:val="24"/>
          <w:szCs w:val="24"/>
          <w:lang w:val="en-US"/>
        </w:rPr>
        <w:t xml:space="preserve">alue factor, the results in Panel C show that for </w:t>
      </w:r>
      <w:r w:rsidR="00BC2072">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BC2072">
        <w:rPr>
          <w:rFonts w:ascii="Times New Roman" w:hAnsi="Times New Roman" w:cs="Times New Roman"/>
          <w:sz w:val="24"/>
          <w:szCs w:val="24"/>
          <w:lang w:val="en-US"/>
        </w:rPr>
        <w:t>g</w:t>
      </w:r>
      <w:r w:rsidRPr="00486F2D">
        <w:rPr>
          <w:rFonts w:ascii="Times New Roman" w:hAnsi="Times New Roman" w:cs="Times New Roman"/>
          <w:sz w:val="24"/>
          <w:szCs w:val="24"/>
          <w:lang w:val="en-US"/>
        </w:rPr>
        <w:t>rade, both alphas (1.21% and 1.64%) pass the significance tests whe</w:t>
      </w:r>
      <w:r w:rsidR="00BC2072">
        <w:rPr>
          <w:rFonts w:ascii="Times New Roman" w:hAnsi="Times New Roman" w:cs="Times New Roman"/>
          <w:sz w:val="24"/>
          <w:szCs w:val="24"/>
          <w:lang w:val="en-US"/>
        </w:rPr>
        <w:t>reas</w:t>
      </w:r>
      <w:r w:rsidRPr="00486F2D">
        <w:rPr>
          <w:rFonts w:ascii="Times New Roman" w:hAnsi="Times New Roman" w:cs="Times New Roman"/>
          <w:sz w:val="24"/>
          <w:szCs w:val="24"/>
          <w:lang w:val="en-US"/>
        </w:rPr>
        <w:t xml:space="preserve"> for </w:t>
      </w:r>
      <w:r w:rsidR="00BC2072">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BC2072">
        <w:rPr>
          <w:rFonts w:ascii="Times New Roman" w:hAnsi="Times New Roman" w:cs="Times New Roman"/>
          <w:sz w:val="24"/>
          <w:szCs w:val="24"/>
          <w:lang w:val="en-US"/>
        </w:rPr>
        <w:t>y</w:t>
      </w:r>
      <w:r w:rsidRPr="00486F2D">
        <w:rPr>
          <w:rFonts w:ascii="Times New Roman" w:hAnsi="Times New Roman" w:cs="Times New Roman"/>
          <w:sz w:val="24"/>
          <w:szCs w:val="24"/>
          <w:lang w:val="en-US"/>
        </w:rPr>
        <w:t>ield</w:t>
      </w:r>
      <w:r w:rsidR="00BC207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one alpha (3.70%) is significant and the other alpha (1.53%) is positive but insignificant.</w:t>
      </w:r>
    </w:p>
    <w:p w14:paraId="2EE40D1E" w14:textId="5EBB6441"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Finally, in Panel D, we </w:t>
      </w:r>
      <w:r w:rsidR="00BC2072">
        <w:rPr>
          <w:rFonts w:ascii="Times New Roman" w:hAnsi="Times New Roman" w:cs="Times New Roman"/>
          <w:sz w:val="24"/>
          <w:szCs w:val="24"/>
          <w:lang w:val="en-US"/>
        </w:rPr>
        <w:t>see</w:t>
      </w:r>
      <w:r w:rsidRPr="00486F2D">
        <w:rPr>
          <w:rFonts w:ascii="Times New Roman" w:hAnsi="Times New Roman" w:cs="Times New Roman"/>
          <w:sz w:val="24"/>
          <w:szCs w:val="24"/>
          <w:lang w:val="en-US"/>
        </w:rPr>
        <w:t xml:space="preserve"> that for both </w:t>
      </w:r>
      <w:r w:rsidR="00753797">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753797">
        <w:rPr>
          <w:rFonts w:ascii="Times New Roman" w:hAnsi="Times New Roman" w:cs="Times New Roman"/>
          <w:sz w:val="24"/>
          <w:szCs w:val="24"/>
          <w:lang w:val="en-US"/>
        </w:rPr>
        <w:t>g</w:t>
      </w:r>
      <w:r w:rsidRPr="00486F2D">
        <w:rPr>
          <w:rFonts w:ascii="Times New Roman" w:hAnsi="Times New Roman" w:cs="Times New Roman"/>
          <w:sz w:val="24"/>
          <w:szCs w:val="24"/>
          <w:lang w:val="en-US"/>
        </w:rPr>
        <w:t xml:space="preserve">rade and </w:t>
      </w:r>
      <w:r w:rsidR="00753797">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753797">
        <w:rPr>
          <w:rFonts w:ascii="Times New Roman" w:hAnsi="Times New Roman" w:cs="Times New Roman"/>
          <w:sz w:val="24"/>
          <w:szCs w:val="24"/>
          <w:lang w:val="en-US"/>
        </w:rPr>
        <w:t>y</w:t>
      </w:r>
      <w:r w:rsidRPr="00486F2D">
        <w:rPr>
          <w:rFonts w:ascii="Times New Roman" w:hAnsi="Times New Roman" w:cs="Times New Roman"/>
          <w:sz w:val="24"/>
          <w:szCs w:val="24"/>
          <w:lang w:val="en-US"/>
        </w:rPr>
        <w:t>ield</w:t>
      </w:r>
      <w:r w:rsidR="00753797">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the shorter formation period of </w:t>
      </w:r>
      <w:r w:rsidR="00753797">
        <w:rPr>
          <w:rFonts w:ascii="Times New Roman" w:hAnsi="Times New Roman" w:cs="Times New Roman"/>
          <w:sz w:val="24"/>
          <w:szCs w:val="24"/>
          <w:lang w:val="en-US"/>
        </w:rPr>
        <w:t>three</w:t>
      </w:r>
      <w:r w:rsidRPr="00486F2D">
        <w:rPr>
          <w:rFonts w:ascii="Times New Roman" w:hAnsi="Times New Roman" w:cs="Times New Roman"/>
          <w:sz w:val="24"/>
          <w:szCs w:val="24"/>
          <w:lang w:val="en-US"/>
        </w:rPr>
        <w:t xml:space="preserve"> months generates significantly positive alphas of 0.50% and 2.35%, respectively. </w:t>
      </w:r>
      <w:r w:rsidR="00767554">
        <w:rPr>
          <w:rFonts w:ascii="Times New Roman" w:hAnsi="Times New Roman" w:cs="Times New Roman"/>
          <w:sz w:val="24"/>
          <w:szCs w:val="24"/>
          <w:lang w:val="en-US"/>
        </w:rPr>
        <w:t>The a</w:t>
      </w:r>
      <w:r w:rsidRPr="00486F2D">
        <w:rPr>
          <w:rFonts w:ascii="Times New Roman" w:hAnsi="Times New Roman" w:cs="Times New Roman"/>
          <w:sz w:val="24"/>
          <w:szCs w:val="24"/>
          <w:lang w:val="en-US"/>
        </w:rPr>
        <w:t xml:space="preserve">lphas decrease as the formation period increases. For </w:t>
      </w:r>
      <w:r w:rsidR="001C6D22">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1C6D22">
        <w:rPr>
          <w:rFonts w:ascii="Times New Roman" w:hAnsi="Times New Roman" w:cs="Times New Roman"/>
          <w:sz w:val="24"/>
          <w:szCs w:val="24"/>
          <w:lang w:val="en-US"/>
        </w:rPr>
        <w:t>y</w:t>
      </w:r>
      <w:r w:rsidRPr="00486F2D">
        <w:rPr>
          <w:rFonts w:ascii="Times New Roman" w:hAnsi="Times New Roman" w:cs="Times New Roman"/>
          <w:sz w:val="24"/>
          <w:szCs w:val="24"/>
          <w:lang w:val="en-US"/>
        </w:rPr>
        <w:t>ield</w:t>
      </w:r>
      <w:r w:rsidR="001C6D2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9-</w:t>
      </w:r>
      <w:r w:rsidR="001C6D22" w:rsidRPr="00486F2D">
        <w:rPr>
          <w:rFonts w:ascii="Times New Roman" w:hAnsi="Times New Roman" w:cs="Times New Roman"/>
          <w:sz w:val="24"/>
          <w:szCs w:val="24"/>
          <w:lang w:val="en-US"/>
        </w:rPr>
        <w:t xml:space="preserve">month </w:t>
      </w:r>
      <w:r w:rsidR="001C6D22">
        <w:rPr>
          <w:rFonts w:ascii="Times New Roman" w:hAnsi="Times New Roman" w:cs="Times New Roman"/>
          <w:sz w:val="24"/>
          <w:szCs w:val="24"/>
          <w:lang w:val="en-US"/>
        </w:rPr>
        <w:t>m</w:t>
      </w:r>
      <w:r w:rsidR="001C6D22" w:rsidRPr="00486F2D">
        <w:rPr>
          <w:rFonts w:ascii="Times New Roman" w:hAnsi="Times New Roman" w:cs="Times New Roman"/>
          <w:sz w:val="24"/>
          <w:szCs w:val="24"/>
          <w:lang w:val="en-US"/>
        </w:rPr>
        <w:t>omentum</w:t>
      </w:r>
      <w:r w:rsidRPr="00486F2D">
        <w:rPr>
          <w:rFonts w:ascii="Times New Roman" w:hAnsi="Times New Roman" w:cs="Times New Roman"/>
          <w:sz w:val="24"/>
          <w:szCs w:val="24"/>
          <w:lang w:val="en-US"/>
        </w:rPr>
        <w:t xml:space="preserve"> and 12-month </w:t>
      </w:r>
      <w:r w:rsidR="001C6D22">
        <w:rPr>
          <w:rFonts w:ascii="Times New Roman" w:hAnsi="Times New Roman" w:cs="Times New Roman"/>
          <w:sz w:val="24"/>
          <w:szCs w:val="24"/>
          <w:lang w:val="en-US"/>
        </w:rPr>
        <w:t>m</w:t>
      </w:r>
      <w:r w:rsidRPr="00486F2D">
        <w:rPr>
          <w:rFonts w:ascii="Times New Roman" w:hAnsi="Times New Roman" w:cs="Times New Roman"/>
          <w:sz w:val="24"/>
          <w:szCs w:val="24"/>
          <w:lang w:val="en-US"/>
        </w:rPr>
        <w:t>omentum still deliver positive alphas of 1.52% and 0.78%</w:t>
      </w:r>
      <w:r w:rsidR="001C6D2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for </w:t>
      </w:r>
      <w:r w:rsidR="001C6D22">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1C6D22">
        <w:rPr>
          <w:rFonts w:ascii="Times New Roman" w:hAnsi="Times New Roman" w:cs="Times New Roman"/>
          <w:sz w:val="24"/>
          <w:szCs w:val="24"/>
          <w:lang w:val="en-US"/>
        </w:rPr>
        <w:t>g</w:t>
      </w:r>
      <w:r w:rsidRPr="00486F2D">
        <w:rPr>
          <w:rFonts w:ascii="Times New Roman" w:hAnsi="Times New Roman" w:cs="Times New Roman"/>
          <w:sz w:val="24"/>
          <w:szCs w:val="24"/>
          <w:lang w:val="en-US"/>
        </w:rPr>
        <w:t>rade</w:t>
      </w:r>
      <w:r w:rsidR="001C6D2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both alphas are around 0. As noted </w:t>
      </w:r>
      <w:r w:rsidR="001C6D22">
        <w:rPr>
          <w:rFonts w:ascii="Times New Roman" w:hAnsi="Times New Roman" w:cs="Times New Roman"/>
          <w:sz w:val="24"/>
          <w:szCs w:val="24"/>
          <w:lang w:val="en-US"/>
        </w:rPr>
        <w:t>earlier</w:t>
      </w:r>
      <w:r w:rsidRPr="00486F2D">
        <w:rPr>
          <w:rFonts w:ascii="Times New Roman" w:hAnsi="Times New Roman" w:cs="Times New Roman"/>
          <w:sz w:val="24"/>
          <w:szCs w:val="24"/>
          <w:lang w:val="en-US"/>
        </w:rPr>
        <w:t xml:space="preserve">, the absence of a </w:t>
      </w:r>
      <w:r w:rsidR="001C6D22">
        <w:rPr>
          <w:rFonts w:ascii="Times New Roman" w:hAnsi="Times New Roman" w:cs="Times New Roman"/>
          <w:sz w:val="24"/>
          <w:szCs w:val="24"/>
          <w:lang w:val="en-US"/>
        </w:rPr>
        <w:t>m</w:t>
      </w:r>
      <w:r w:rsidRPr="00486F2D">
        <w:rPr>
          <w:rFonts w:ascii="Times New Roman" w:hAnsi="Times New Roman" w:cs="Times New Roman"/>
          <w:sz w:val="24"/>
          <w:szCs w:val="24"/>
          <w:lang w:val="en-US"/>
        </w:rPr>
        <w:t xml:space="preserve">omentum effect in </w:t>
      </w:r>
      <w:r w:rsidR="001C6D22">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1C6D22">
        <w:rPr>
          <w:rFonts w:ascii="Times New Roman" w:hAnsi="Times New Roman" w:cs="Times New Roman"/>
          <w:sz w:val="24"/>
          <w:szCs w:val="24"/>
          <w:lang w:val="en-US"/>
        </w:rPr>
        <w:t>g</w:t>
      </w:r>
      <w:r w:rsidRPr="00486F2D">
        <w:rPr>
          <w:rFonts w:ascii="Times New Roman" w:hAnsi="Times New Roman" w:cs="Times New Roman"/>
          <w:sz w:val="24"/>
          <w:szCs w:val="24"/>
          <w:lang w:val="en-US"/>
        </w:rPr>
        <w:t>rade is a common finding in the literature.</w:t>
      </w:r>
    </w:p>
    <w:p w14:paraId="7DD803F2" w14:textId="5ED2E8C9"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lastRenderedPageBreak/>
        <w:t xml:space="preserve">It is evident from </w:t>
      </w:r>
      <w:r w:rsidR="00DE4C5F" w:rsidRPr="00EF2DC8">
        <w:rPr>
          <w:rFonts w:ascii="Times New Roman" w:hAnsi="Times New Roman" w:cs="Times New Roman"/>
          <w:sz w:val="24"/>
          <w:szCs w:val="24"/>
          <w:lang w:val="en-US"/>
        </w:rPr>
        <w:t>Table A1</w:t>
      </w:r>
      <w:r w:rsidR="00DE4C5F">
        <w:rPr>
          <w:rFonts w:ascii="Times New Roman" w:hAnsi="Times New Roman" w:cs="Times New Roman"/>
          <w:sz w:val="24"/>
          <w:szCs w:val="24"/>
          <w:lang w:val="en-US"/>
        </w:rPr>
        <w:t xml:space="preserve"> </w:t>
      </w:r>
      <w:r w:rsidRPr="00486F2D">
        <w:rPr>
          <w:rFonts w:ascii="Times New Roman" w:hAnsi="Times New Roman" w:cs="Times New Roman"/>
          <w:sz w:val="24"/>
          <w:szCs w:val="24"/>
          <w:lang w:val="en-US"/>
        </w:rPr>
        <w:t>that the results are robust to alternative definitions of the factors.</w:t>
      </w:r>
    </w:p>
    <w:p w14:paraId="166EE5DF" w14:textId="77777777" w:rsidR="00F949B9" w:rsidRPr="00486F2D" w:rsidRDefault="00F949B9" w:rsidP="00F949B9">
      <w:pPr>
        <w:spacing w:after="0" w:line="240" w:lineRule="auto"/>
        <w:rPr>
          <w:rFonts w:ascii="Times New Roman" w:hAnsi="Times New Roman" w:cs="Times New Roman"/>
          <w:b/>
          <w:sz w:val="20"/>
          <w:lang w:val="en-US"/>
        </w:rPr>
      </w:pPr>
      <w:bookmarkStart w:id="1" w:name="_Ref451084914"/>
      <w:bookmarkStart w:id="2" w:name="_Ref436247918"/>
      <w:r w:rsidRPr="00486F2D">
        <w:rPr>
          <w:rFonts w:ascii="Times New Roman" w:hAnsi="Times New Roman" w:cs="Times New Roman"/>
          <w:b/>
          <w:sz w:val="20"/>
          <w:lang w:val="en-US"/>
        </w:rPr>
        <w:t xml:space="preserve">Table </w:t>
      </w:r>
      <w:bookmarkEnd w:id="1"/>
      <w:r w:rsidRPr="00DE4C5F">
        <w:rPr>
          <w:rFonts w:ascii="Times New Roman" w:hAnsi="Times New Roman" w:cs="Times New Roman"/>
          <w:b/>
          <w:sz w:val="20"/>
          <w:lang w:val="en-US"/>
        </w:rPr>
        <w:t>A1</w:t>
      </w:r>
      <w:r>
        <w:rPr>
          <w:rFonts w:ascii="Times New Roman" w:hAnsi="Times New Roman" w:cs="Times New Roman"/>
          <w:b/>
          <w:sz w:val="20"/>
          <w:lang w:val="en-US"/>
        </w:rPr>
        <w:t>.</w:t>
      </w:r>
      <w:r w:rsidRPr="00486F2D">
        <w:rPr>
          <w:rFonts w:ascii="Times New Roman" w:hAnsi="Times New Roman" w:cs="Times New Roman"/>
          <w:b/>
          <w:sz w:val="20"/>
          <w:lang w:val="en-US"/>
        </w:rPr>
        <w:t xml:space="preserve"> Performance </w:t>
      </w:r>
      <w:r>
        <w:rPr>
          <w:rFonts w:ascii="Times New Roman" w:hAnsi="Times New Roman" w:cs="Times New Roman"/>
          <w:b/>
          <w:sz w:val="20"/>
          <w:lang w:val="en-US"/>
        </w:rPr>
        <w:t>S</w:t>
      </w:r>
      <w:r w:rsidRPr="00486F2D">
        <w:rPr>
          <w:rFonts w:ascii="Times New Roman" w:hAnsi="Times New Roman" w:cs="Times New Roman"/>
          <w:b/>
          <w:sz w:val="20"/>
          <w:lang w:val="en-US"/>
        </w:rPr>
        <w:t xml:space="preserve">tatistics of </w:t>
      </w:r>
      <w:r>
        <w:rPr>
          <w:rFonts w:ascii="Times New Roman" w:hAnsi="Times New Roman" w:cs="Times New Roman"/>
          <w:b/>
          <w:sz w:val="20"/>
          <w:lang w:val="en-US"/>
        </w:rPr>
        <w:t>L</w:t>
      </w:r>
      <w:r w:rsidRPr="00486F2D">
        <w:rPr>
          <w:rFonts w:ascii="Times New Roman" w:hAnsi="Times New Roman" w:cs="Times New Roman"/>
          <w:b/>
          <w:sz w:val="20"/>
          <w:lang w:val="en-US"/>
        </w:rPr>
        <w:t>ong-</w:t>
      </w:r>
      <w:r>
        <w:rPr>
          <w:rFonts w:ascii="Times New Roman" w:hAnsi="Times New Roman" w:cs="Times New Roman"/>
          <w:b/>
          <w:sz w:val="20"/>
          <w:lang w:val="en-US"/>
        </w:rPr>
        <w:t>O</w:t>
      </w:r>
      <w:r w:rsidRPr="00486F2D">
        <w:rPr>
          <w:rFonts w:ascii="Times New Roman" w:hAnsi="Times New Roman" w:cs="Times New Roman"/>
          <w:b/>
          <w:sz w:val="20"/>
          <w:lang w:val="en-US"/>
        </w:rPr>
        <w:t xml:space="preserve">nly </w:t>
      </w:r>
      <w:r>
        <w:rPr>
          <w:rFonts w:ascii="Times New Roman" w:hAnsi="Times New Roman" w:cs="Times New Roman"/>
          <w:b/>
          <w:sz w:val="20"/>
          <w:lang w:val="en-US"/>
        </w:rPr>
        <w:t>F</w:t>
      </w:r>
      <w:r w:rsidRPr="00486F2D">
        <w:rPr>
          <w:rFonts w:ascii="Times New Roman" w:hAnsi="Times New Roman" w:cs="Times New Roman"/>
          <w:b/>
          <w:sz w:val="20"/>
          <w:lang w:val="en-US"/>
        </w:rPr>
        <w:t xml:space="preserve">actor </w:t>
      </w:r>
      <w:r>
        <w:rPr>
          <w:rFonts w:ascii="Times New Roman" w:hAnsi="Times New Roman" w:cs="Times New Roman"/>
          <w:b/>
          <w:sz w:val="20"/>
          <w:lang w:val="en-US"/>
        </w:rPr>
        <w:t>P</w:t>
      </w:r>
      <w:r w:rsidRPr="00486F2D">
        <w:rPr>
          <w:rFonts w:ascii="Times New Roman" w:hAnsi="Times New Roman" w:cs="Times New Roman"/>
          <w:b/>
          <w:sz w:val="20"/>
          <w:lang w:val="en-US"/>
        </w:rPr>
        <w:t xml:space="preserve">ortfolios for </w:t>
      </w:r>
      <w:r>
        <w:rPr>
          <w:rFonts w:ascii="Times New Roman" w:hAnsi="Times New Roman" w:cs="Times New Roman"/>
          <w:b/>
          <w:sz w:val="20"/>
          <w:lang w:val="en-US"/>
        </w:rPr>
        <w:t>V</w:t>
      </w:r>
      <w:r w:rsidRPr="00486F2D">
        <w:rPr>
          <w:rFonts w:ascii="Times New Roman" w:hAnsi="Times New Roman" w:cs="Times New Roman"/>
          <w:b/>
          <w:sz w:val="20"/>
          <w:lang w:val="en-US"/>
        </w:rPr>
        <w:t xml:space="preserve">arious </w:t>
      </w:r>
      <w:r>
        <w:rPr>
          <w:rFonts w:ascii="Times New Roman" w:hAnsi="Times New Roman" w:cs="Times New Roman"/>
          <w:b/>
          <w:sz w:val="20"/>
          <w:lang w:val="en-US"/>
        </w:rPr>
        <w:t>F</w:t>
      </w:r>
      <w:r w:rsidRPr="00486F2D">
        <w:rPr>
          <w:rFonts w:ascii="Times New Roman" w:hAnsi="Times New Roman" w:cs="Times New Roman"/>
          <w:b/>
          <w:sz w:val="20"/>
          <w:lang w:val="en-US"/>
        </w:rPr>
        <w:t xml:space="preserve">actor </w:t>
      </w:r>
      <w:r>
        <w:rPr>
          <w:rFonts w:ascii="Times New Roman" w:hAnsi="Times New Roman" w:cs="Times New Roman"/>
          <w:b/>
          <w:sz w:val="20"/>
          <w:lang w:val="en-US"/>
        </w:rPr>
        <w:t>D</w:t>
      </w:r>
      <w:r w:rsidRPr="00486F2D">
        <w:rPr>
          <w:rFonts w:ascii="Times New Roman" w:hAnsi="Times New Roman" w:cs="Times New Roman"/>
          <w:b/>
          <w:sz w:val="20"/>
          <w:lang w:val="en-US"/>
        </w:rPr>
        <w:t>efinitions</w:t>
      </w:r>
      <w:r>
        <w:rPr>
          <w:rFonts w:ascii="Times New Roman" w:hAnsi="Times New Roman" w:cs="Times New Roman"/>
          <w:b/>
          <w:sz w:val="20"/>
          <w:lang w:val="en-US"/>
        </w:rPr>
        <w:t xml:space="preserve">, </w:t>
      </w:r>
      <w:r w:rsidRPr="003C56A5">
        <w:rPr>
          <w:rFonts w:ascii="Times New Roman" w:hAnsi="Times New Roman" w:cs="Times New Roman"/>
          <w:b/>
          <w:sz w:val="20"/>
          <w:szCs w:val="20"/>
          <w:lang w:val="en-US"/>
        </w:rPr>
        <w:t>January 1994–June 2015</w:t>
      </w:r>
    </w:p>
    <w:tbl>
      <w:tblPr>
        <w:tblW w:w="4837" w:type="pct"/>
        <w:tblLook w:val="04A0" w:firstRow="1" w:lastRow="0" w:firstColumn="1" w:lastColumn="0" w:noHBand="0" w:noVBand="1"/>
      </w:tblPr>
      <w:tblGrid>
        <w:gridCol w:w="3923"/>
        <w:gridCol w:w="1067"/>
        <w:gridCol w:w="1067"/>
        <w:gridCol w:w="1067"/>
        <w:gridCol w:w="1137"/>
        <w:gridCol w:w="235"/>
        <w:gridCol w:w="1188"/>
        <w:gridCol w:w="1272"/>
        <w:gridCol w:w="1272"/>
        <w:gridCol w:w="1275"/>
      </w:tblGrid>
      <w:tr w:rsidR="00F949B9" w:rsidRPr="00486F2D" w14:paraId="039141F6" w14:textId="77777777" w:rsidTr="006019F0">
        <w:trPr>
          <w:trHeight w:val="227"/>
        </w:trPr>
        <w:tc>
          <w:tcPr>
            <w:tcW w:w="1453" w:type="pct"/>
            <w:vMerge w:val="restart"/>
            <w:tcBorders>
              <w:top w:val="single" w:sz="4" w:space="0" w:color="000000"/>
            </w:tcBorders>
            <w:shd w:val="clear" w:color="auto" w:fill="auto"/>
            <w:noWrap/>
            <w:vAlign w:val="center"/>
          </w:tcPr>
          <w:p w14:paraId="3775684A" w14:textId="77777777" w:rsidR="00F949B9" w:rsidRPr="00486F2D" w:rsidRDefault="00F949B9" w:rsidP="006019F0">
            <w:pPr>
              <w:spacing w:after="0" w:line="240" w:lineRule="auto"/>
              <w:rPr>
                <w:rFonts w:ascii="Times New Roman" w:hAnsi="Times New Roman" w:cs="Times New Roman"/>
                <w:color w:val="000000"/>
                <w:sz w:val="16"/>
                <w:szCs w:val="16"/>
                <w:lang w:val="en-US"/>
              </w:rPr>
            </w:pPr>
          </w:p>
        </w:tc>
        <w:tc>
          <w:tcPr>
            <w:tcW w:w="1606" w:type="pct"/>
            <w:gridSpan w:val="4"/>
            <w:tcBorders>
              <w:top w:val="single" w:sz="4" w:space="0" w:color="000000"/>
              <w:bottom w:val="single" w:sz="4" w:space="0" w:color="000000"/>
            </w:tcBorders>
            <w:shd w:val="clear" w:color="auto" w:fill="auto"/>
            <w:noWrap/>
            <w:vAlign w:val="center"/>
          </w:tcPr>
          <w:p w14:paraId="2E2EC0C7" w14:textId="77777777" w:rsidR="00F949B9" w:rsidRPr="0004551C" w:rsidRDefault="00F949B9" w:rsidP="006019F0">
            <w:pPr>
              <w:pStyle w:val="RobecoStandardTableContent"/>
              <w:spacing w:after="0" w:line="240" w:lineRule="auto"/>
              <w:jc w:val="center"/>
              <w:rPr>
                <w:rFonts w:ascii="Times New Roman" w:hAnsi="Times New Roman"/>
                <w:sz w:val="16"/>
                <w:szCs w:val="16"/>
              </w:rPr>
            </w:pPr>
            <w:r w:rsidRPr="0004551C">
              <w:rPr>
                <w:rFonts w:ascii="Times New Roman" w:hAnsi="Times New Roman"/>
                <w:sz w:val="16"/>
                <w:szCs w:val="16"/>
              </w:rPr>
              <w:t>Investment Grade</w:t>
            </w:r>
          </w:p>
        </w:tc>
        <w:tc>
          <w:tcPr>
            <w:tcW w:w="87" w:type="pct"/>
            <w:tcBorders>
              <w:top w:val="single" w:sz="4" w:space="0" w:color="000000"/>
            </w:tcBorders>
            <w:shd w:val="clear" w:color="auto" w:fill="auto"/>
            <w:vAlign w:val="center"/>
          </w:tcPr>
          <w:p w14:paraId="52A66503" w14:textId="77777777" w:rsidR="00F949B9" w:rsidRPr="00486F2D" w:rsidRDefault="00F949B9" w:rsidP="006019F0">
            <w:pPr>
              <w:pStyle w:val="RobecoStandardTableContent"/>
              <w:spacing w:after="0" w:line="240" w:lineRule="auto"/>
              <w:rPr>
                <w:rFonts w:ascii="Times New Roman" w:hAnsi="Times New Roman"/>
                <w:i/>
                <w:sz w:val="16"/>
                <w:szCs w:val="16"/>
              </w:rPr>
            </w:pPr>
          </w:p>
        </w:tc>
        <w:tc>
          <w:tcPr>
            <w:tcW w:w="1854" w:type="pct"/>
            <w:gridSpan w:val="4"/>
            <w:tcBorders>
              <w:top w:val="single" w:sz="4" w:space="0" w:color="000000"/>
              <w:bottom w:val="single" w:sz="4" w:space="0" w:color="000000"/>
            </w:tcBorders>
            <w:shd w:val="clear" w:color="auto" w:fill="auto"/>
            <w:vAlign w:val="center"/>
          </w:tcPr>
          <w:p w14:paraId="547E124F" w14:textId="77777777" w:rsidR="00F949B9" w:rsidRPr="0004551C" w:rsidRDefault="00F949B9" w:rsidP="006019F0">
            <w:pPr>
              <w:pStyle w:val="RobecoStandardTableContent"/>
              <w:spacing w:after="0" w:line="240" w:lineRule="auto"/>
              <w:jc w:val="center"/>
              <w:rPr>
                <w:rFonts w:ascii="Times New Roman" w:hAnsi="Times New Roman"/>
                <w:sz w:val="16"/>
                <w:szCs w:val="16"/>
              </w:rPr>
            </w:pPr>
            <w:r w:rsidRPr="0004551C">
              <w:rPr>
                <w:rFonts w:ascii="Times New Roman" w:hAnsi="Times New Roman"/>
                <w:sz w:val="16"/>
                <w:szCs w:val="16"/>
              </w:rPr>
              <w:t>High Yield</w:t>
            </w:r>
          </w:p>
        </w:tc>
      </w:tr>
      <w:tr w:rsidR="00F949B9" w:rsidRPr="00486F2D" w14:paraId="541769E8" w14:textId="77777777" w:rsidTr="006019F0">
        <w:trPr>
          <w:trHeight w:val="227"/>
        </w:trPr>
        <w:tc>
          <w:tcPr>
            <w:tcW w:w="1453" w:type="pct"/>
            <w:vMerge/>
            <w:tcBorders>
              <w:bottom w:val="single" w:sz="4" w:space="0" w:color="000000"/>
            </w:tcBorders>
            <w:shd w:val="clear" w:color="auto" w:fill="auto"/>
            <w:noWrap/>
            <w:vAlign w:val="center"/>
          </w:tcPr>
          <w:p w14:paraId="769C250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tcBorders>
              <w:top w:val="single" w:sz="4" w:space="0" w:color="000000"/>
              <w:bottom w:val="single" w:sz="4" w:space="0" w:color="000000"/>
            </w:tcBorders>
            <w:shd w:val="clear" w:color="auto" w:fill="auto"/>
            <w:noWrap/>
            <w:vAlign w:val="center"/>
          </w:tcPr>
          <w:p w14:paraId="5F44586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Mean</w:t>
            </w:r>
          </w:p>
        </w:tc>
        <w:tc>
          <w:tcPr>
            <w:tcW w:w="395" w:type="pct"/>
            <w:tcBorders>
              <w:top w:val="single" w:sz="4" w:space="0" w:color="000000"/>
              <w:bottom w:val="single" w:sz="4" w:space="0" w:color="000000"/>
            </w:tcBorders>
            <w:shd w:val="clear" w:color="auto" w:fill="auto"/>
            <w:noWrap/>
            <w:vAlign w:val="center"/>
          </w:tcPr>
          <w:p w14:paraId="5C00345E"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Volatility</w:t>
            </w:r>
          </w:p>
        </w:tc>
        <w:tc>
          <w:tcPr>
            <w:tcW w:w="395" w:type="pct"/>
            <w:tcBorders>
              <w:top w:val="single" w:sz="4" w:space="0" w:color="000000"/>
              <w:bottom w:val="single" w:sz="4" w:space="0" w:color="000000"/>
            </w:tcBorders>
            <w:shd w:val="clear" w:color="auto" w:fill="auto"/>
            <w:noWrap/>
            <w:vAlign w:val="center"/>
          </w:tcPr>
          <w:p w14:paraId="0EE5E8E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 xml:space="preserve">Sharpe </w:t>
            </w:r>
            <w:r>
              <w:rPr>
                <w:rFonts w:ascii="Times New Roman" w:hAnsi="Times New Roman" w:cs="Times New Roman"/>
                <w:sz w:val="16"/>
                <w:szCs w:val="16"/>
                <w:lang w:eastAsia="nl-NL"/>
              </w:rPr>
              <w:t>R</w:t>
            </w:r>
            <w:r w:rsidRPr="00486F2D">
              <w:rPr>
                <w:rFonts w:ascii="Times New Roman" w:hAnsi="Times New Roman" w:cs="Times New Roman"/>
                <w:sz w:val="16"/>
                <w:szCs w:val="16"/>
                <w:lang w:eastAsia="nl-NL"/>
              </w:rPr>
              <w:t>atio</w:t>
            </w:r>
          </w:p>
        </w:tc>
        <w:tc>
          <w:tcPr>
            <w:tcW w:w="421" w:type="pct"/>
            <w:tcBorders>
              <w:top w:val="single" w:sz="4" w:space="0" w:color="000000"/>
              <w:bottom w:val="single" w:sz="4" w:space="0" w:color="000000"/>
            </w:tcBorders>
            <w:shd w:val="clear" w:color="auto" w:fill="auto"/>
            <w:noWrap/>
            <w:vAlign w:val="center"/>
          </w:tcPr>
          <w:p w14:paraId="25245E8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CAPM</w:t>
            </w:r>
            <w:r>
              <w:rPr>
                <w:rFonts w:ascii="Times New Roman" w:hAnsi="Times New Roman" w:cs="Times New Roman"/>
                <w:sz w:val="16"/>
                <w:szCs w:val="16"/>
                <w:lang w:eastAsia="nl-NL"/>
              </w:rPr>
              <w:t xml:space="preserve"> A</w:t>
            </w:r>
            <w:r w:rsidRPr="00486F2D">
              <w:rPr>
                <w:rFonts w:ascii="Times New Roman" w:hAnsi="Times New Roman" w:cs="Times New Roman"/>
                <w:sz w:val="16"/>
                <w:szCs w:val="16"/>
                <w:lang w:eastAsia="nl-NL"/>
              </w:rPr>
              <w:t>lpha</w:t>
            </w:r>
          </w:p>
        </w:tc>
        <w:tc>
          <w:tcPr>
            <w:tcW w:w="87" w:type="pct"/>
            <w:tcBorders>
              <w:bottom w:val="single" w:sz="4" w:space="0" w:color="000000"/>
            </w:tcBorders>
            <w:shd w:val="clear" w:color="auto" w:fill="auto"/>
            <w:vAlign w:val="center"/>
          </w:tcPr>
          <w:p w14:paraId="7F4A2F03"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tcBorders>
              <w:top w:val="single" w:sz="4" w:space="0" w:color="000000"/>
              <w:bottom w:val="single" w:sz="4" w:space="0" w:color="000000"/>
            </w:tcBorders>
            <w:shd w:val="clear" w:color="auto" w:fill="auto"/>
            <w:vAlign w:val="center"/>
          </w:tcPr>
          <w:p w14:paraId="5BFA701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Mean</w:t>
            </w:r>
          </w:p>
        </w:tc>
        <w:tc>
          <w:tcPr>
            <w:tcW w:w="471" w:type="pct"/>
            <w:tcBorders>
              <w:top w:val="single" w:sz="4" w:space="0" w:color="000000"/>
              <w:bottom w:val="single" w:sz="4" w:space="0" w:color="000000"/>
            </w:tcBorders>
            <w:shd w:val="clear" w:color="auto" w:fill="auto"/>
            <w:vAlign w:val="center"/>
          </w:tcPr>
          <w:p w14:paraId="31ABE34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Volatility</w:t>
            </w:r>
          </w:p>
        </w:tc>
        <w:tc>
          <w:tcPr>
            <w:tcW w:w="471" w:type="pct"/>
            <w:tcBorders>
              <w:top w:val="single" w:sz="4" w:space="0" w:color="000000"/>
              <w:bottom w:val="single" w:sz="4" w:space="0" w:color="000000"/>
            </w:tcBorders>
            <w:shd w:val="clear" w:color="auto" w:fill="auto"/>
            <w:vAlign w:val="center"/>
          </w:tcPr>
          <w:p w14:paraId="2A3ACCF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 xml:space="preserve">Sharpe </w:t>
            </w:r>
            <w:r>
              <w:rPr>
                <w:rFonts w:ascii="Times New Roman" w:hAnsi="Times New Roman" w:cs="Times New Roman"/>
                <w:sz w:val="16"/>
                <w:szCs w:val="16"/>
                <w:lang w:eastAsia="nl-NL"/>
              </w:rPr>
              <w:t>R</w:t>
            </w:r>
            <w:r w:rsidRPr="00486F2D">
              <w:rPr>
                <w:rFonts w:ascii="Times New Roman" w:hAnsi="Times New Roman" w:cs="Times New Roman"/>
                <w:sz w:val="16"/>
                <w:szCs w:val="16"/>
                <w:lang w:eastAsia="nl-NL"/>
              </w:rPr>
              <w:t>atio</w:t>
            </w:r>
          </w:p>
        </w:tc>
        <w:tc>
          <w:tcPr>
            <w:tcW w:w="472" w:type="pct"/>
            <w:tcBorders>
              <w:top w:val="single" w:sz="4" w:space="0" w:color="000000"/>
              <w:bottom w:val="single" w:sz="4" w:space="0" w:color="000000"/>
            </w:tcBorders>
            <w:shd w:val="clear" w:color="auto" w:fill="auto"/>
            <w:vAlign w:val="center"/>
          </w:tcPr>
          <w:p w14:paraId="2CD720F0" w14:textId="77777777" w:rsidR="00F949B9" w:rsidRPr="00486F2D" w:rsidRDefault="00F949B9" w:rsidP="006019F0">
            <w:pPr>
              <w:spacing w:after="0" w:line="240" w:lineRule="auto"/>
              <w:rPr>
                <w:rFonts w:ascii="Times New Roman" w:hAnsi="Times New Roman" w:cs="Times New Roman"/>
                <w:sz w:val="16"/>
                <w:szCs w:val="16"/>
                <w:lang w:eastAsia="nl-NL"/>
              </w:rPr>
            </w:pPr>
            <w:r>
              <w:rPr>
                <w:rFonts w:ascii="Times New Roman" w:hAnsi="Times New Roman" w:cs="Times New Roman"/>
                <w:sz w:val="16"/>
                <w:szCs w:val="16"/>
                <w:lang w:eastAsia="nl-NL"/>
              </w:rPr>
              <w:t>CAPM A</w:t>
            </w:r>
            <w:r w:rsidRPr="00486F2D">
              <w:rPr>
                <w:rFonts w:ascii="Times New Roman" w:hAnsi="Times New Roman" w:cs="Times New Roman"/>
                <w:sz w:val="16"/>
                <w:szCs w:val="16"/>
                <w:lang w:eastAsia="nl-NL"/>
              </w:rPr>
              <w:t>lpha</w:t>
            </w:r>
          </w:p>
        </w:tc>
      </w:tr>
      <w:tr w:rsidR="00F949B9" w:rsidRPr="00486F2D" w14:paraId="57D65139" w14:textId="77777777" w:rsidTr="006019F0">
        <w:trPr>
          <w:trHeight w:val="227"/>
        </w:trPr>
        <w:tc>
          <w:tcPr>
            <w:tcW w:w="1453" w:type="pct"/>
            <w:tcBorders>
              <w:top w:val="single" w:sz="4" w:space="0" w:color="000000"/>
            </w:tcBorders>
            <w:shd w:val="clear" w:color="auto" w:fill="auto"/>
            <w:noWrap/>
            <w:vAlign w:val="center"/>
          </w:tcPr>
          <w:p w14:paraId="2146D781" w14:textId="77777777" w:rsidR="00F949B9" w:rsidRPr="00051CAE" w:rsidRDefault="00F949B9" w:rsidP="006019F0">
            <w:pPr>
              <w:spacing w:after="0" w:line="240" w:lineRule="auto"/>
              <w:rPr>
                <w:rFonts w:ascii="Times New Roman" w:hAnsi="Times New Roman" w:cs="Times New Roman"/>
                <w:i/>
                <w:sz w:val="16"/>
                <w:szCs w:val="16"/>
                <w:lang w:eastAsia="nl-NL"/>
              </w:rPr>
            </w:pPr>
            <w:r w:rsidRPr="00051CAE">
              <w:rPr>
                <w:rFonts w:ascii="Times New Roman" w:hAnsi="Times New Roman" w:cs="Times New Roman"/>
                <w:i/>
                <w:sz w:val="16"/>
                <w:szCs w:val="16"/>
                <w:lang w:eastAsia="nl-NL"/>
              </w:rPr>
              <w:t>A. Size</w:t>
            </w:r>
          </w:p>
        </w:tc>
        <w:tc>
          <w:tcPr>
            <w:tcW w:w="395" w:type="pct"/>
            <w:tcBorders>
              <w:top w:val="single" w:sz="4" w:space="0" w:color="000000"/>
            </w:tcBorders>
            <w:shd w:val="clear" w:color="auto" w:fill="auto"/>
            <w:noWrap/>
            <w:vAlign w:val="center"/>
          </w:tcPr>
          <w:p w14:paraId="35C62AC2"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tcBorders>
              <w:top w:val="single" w:sz="4" w:space="0" w:color="000000"/>
            </w:tcBorders>
            <w:shd w:val="clear" w:color="auto" w:fill="auto"/>
            <w:noWrap/>
            <w:vAlign w:val="center"/>
          </w:tcPr>
          <w:p w14:paraId="0E63257A"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tcBorders>
              <w:top w:val="single" w:sz="4" w:space="0" w:color="000000"/>
            </w:tcBorders>
            <w:shd w:val="clear" w:color="auto" w:fill="auto"/>
            <w:noWrap/>
            <w:vAlign w:val="center"/>
          </w:tcPr>
          <w:p w14:paraId="0CA17A5D"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tcBorders>
              <w:top w:val="single" w:sz="4" w:space="0" w:color="000000"/>
            </w:tcBorders>
            <w:shd w:val="clear" w:color="auto" w:fill="auto"/>
            <w:noWrap/>
            <w:vAlign w:val="center"/>
          </w:tcPr>
          <w:p w14:paraId="29DFE86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tcBorders>
              <w:top w:val="single" w:sz="4" w:space="0" w:color="000000"/>
            </w:tcBorders>
            <w:shd w:val="clear" w:color="auto" w:fill="auto"/>
            <w:vAlign w:val="center"/>
          </w:tcPr>
          <w:p w14:paraId="0DE27342"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tcBorders>
              <w:top w:val="single" w:sz="4" w:space="0" w:color="000000"/>
            </w:tcBorders>
            <w:shd w:val="clear" w:color="auto" w:fill="auto"/>
            <w:vAlign w:val="center"/>
          </w:tcPr>
          <w:p w14:paraId="436C7049"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tcBorders>
              <w:top w:val="single" w:sz="4" w:space="0" w:color="000000"/>
            </w:tcBorders>
            <w:shd w:val="clear" w:color="auto" w:fill="auto"/>
            <w:vAlign w:val="center"/>
          </w:tcPr>
          <w:p w14:paraId="321C7B09"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tcBorders>
              <w:top w:val="single" w:sz="4" w:space="0" w:color="000000"/>
            </w:tcBorders>
            <w:shd w:val="clear" w:color="auto" w:fill="auto"/>
            <w:vAlign w:val="center"/>
          </w:tcPr>
          <w:p w14:paraId="09A8CBE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tcBorders>
              <w:top w:val="single" w:sz="4" w:space="0" w:color="000000"/>
            </w:tcBorders>
            <w:shd w:val="clear" w:color="auto" w:fill="auto"/>
            <w:vAlign w:val="center"/>
          </w:tcPr>
          <w:p w14:paraId="2BA44420"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608FE3E6" w14:textId="77777777" w:rsidTr="006019F0">
        <w:trPr>
          <w:trHeight w:val="227"/>
        </w:trPr>
        <w:tc>
          <w:tcPr>
            <w:tcW w:w="1453" w:type="pct"/>
            <w:shd w:val="clear" w:color="auto" w:fill="auto"/>
            <w:noWrap/>
            <w:vAlign w:val="center"/>
          </w:tcPr>
          <w:p w14:paraId="53F6CA2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S0: Company size</w:t>
            </w:r>
          </w:p>
        </w:tc>
        <w:tc>
          <w:tcPr>
            <w:tcW w:w="395" w:type="pct"/>
            <w:shd w:val="clear" w:color="auto" w:fill="auto"/>
            <w:noWrap/>
            <w:vAlign w:val="center"/>
          </w:tcPr>
          <w:p w14:paraId="3DB5265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1.61%</w:t>
            </w:r>
          </w:p>
        </w:tc>
        <w:tc>
          <w:tcPr>
            <w:tcW w:w="395" w:type="pct"/>
            <w:shd w:val="clear" w:color="auto" w:fill="auto"/>
            <w:noWrap/>
            <w:vAlign w:val="center"/>
          </w:tcPr>
          <w:p w14:paraId="698C7C9E"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3.82%</w:t>
            </w:r>
          </w:p>
        </w:tc>
        <w:tc>
          <w:tcPr>
            <w:tcW w:w="395" w:type="pct"/>
            <w:shd w:val="clear" w:color="auto" w:fill="auto"/>
            <w:noWrap/>
            <w:vAlign w:val="center"/>
          </w:tcPr>
          <w:p w14:paraId="4D95AF4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0.42*</w:t>
            </w:r>
          </w:p>
        </w:tc>
        <w:tc>
          <w:tcPr>
            <w:tcW w:w="421" w:type="pct"/>
            <w:shd w:val="clear" w:color="auto" w:fill="auto"/>
            <w:noWrap/>
            <w:vAlign w:val="center"/>
          </w:tcPr>
          <w:p w14:paraId="02716C7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1.12%*</w:t>
            </w:r>
          </w:p>
        </w:tc>
        <w:tc>
          <w:tcPr>
            <w:tcW w:w="87" w:type="pct"/>
            <w:shd w:val="clear" w:color="auto" w:fill="auto"/>
            <w:vAlign w:val="center"/>
          </w:tcPr>
          <w:p w14:paraId="545AE3E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3DE4EFA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7.83%</w:t>
            </w:r>
          </w:p>
        </w:tc>
        <w:tc>
          <w:tcPr>
            <w:tcW w:w="471" w:type="pct"/>
            <w:shd w:val="clear" w:color="auto" w:fill="auto"/>
            <w:vAlign w:val="center"/>
          </w:tcPr>
          <w:p w14:paraId="12C9C982"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12.20%</w:t>
            </w:r>
          </w:p>
        </w:tc>
        <w:tc>
          <w:tcPr>
            <w:tcW w:w="471" w:type="pct"/>
            <w:shd w:val="clear" w:color="auto" w:fill="auto"/>
            <w:vAlign w:val="center"/>
          </w:tcPr>
          <w:p w14:paraId="624447C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0.64**</w:t>
            </w:r>
          </w:p>
        </w:tc>
        <w:tc>
          <w:tcPr>
            <w:tcW w:w="472" w:type="pct"/>
            <w:shd w:val="clear" w:color="auto" w:fill="auto"/>
            <w:vAlign w:val="center"/>
          </w:tcPr>
          <w:p w14:paraId="7082AF6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5.68%*</w:t>
            </w:r>
          </w:p>
        </w:tc>
      </w:tr>
      <w:tr w:rsidR="00F949B9" w:rsidRPr="00486F2D" w14:paraId="035E1B57" w14:textId="77777777" w:rsidTr="006019F0">
        <w:trPr>
          <w:trHeight w:val="227"/>
        </w:trPr>
        <w:tc>
          <w:tcPr>
            <w:tcW w:w="1453" w:type="pct"/>
            <w:shd w:val="clear" w:color="auto" w:fill="auto"/>
            <w:noWrap/>
            <w:vAlign w:val="center"/>
          </w:tcPr>
          <w:p w14:paraId="0B26D48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S1: Bond size</w:t>
            </w:r>
          </w:p>
        </w:tc>
        <w:tc>
          <w:tcPr>
            <w:tcW w:w="395" w:type="pct"/>
            <w:shd w:val="clear" w:color="auto" w:fill="auto"/>
            <w:noWrap/>
            <w:vAlign w:val="center"/>
          </w:tcPr>
          <w:p w14:paraId="6BB4476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1.17</w:t>
            </w:r>
          </w:p>
        </w:tc>
        <w:tc>
          <w:tcPr>
            <w:tcW w:w="395" w:type="pct"/>
            <w:shd w:val="clear" w:color="auto" w:fill="auto"/>
            <w:noWrap/>
            <w:vAlign w:val="center"/>
          </w:tcPr>
          <w:p w14:paraId="7E24777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5.43</w:t>
            </w:r>
          </w:p>
        </w:tc>
        <w:tc>
          <w:tcPr>
            <w:tcW w:w="395" w:type="pct"/>
            <w:shd w:val="clear" w:color="auto" w:fill="auto"/>
            <w:noWrap/>
            <w:vAlign w:val="center"/>
          </w:tcPr>
          <w:p w14:paraId="5807CE7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0.22</w:t>
            </w:r>
          </w:p>
        </w:tc>
        <w:tc>
          <w:tcPr>
            <w:tcW w:w="421" w:type="pct"/>
            <w:shd w:val="clear" w:color="auto" w:fill="auto"/>
            <w:noWrap/>
            <w:vAlign w:val="center"/>
          </w:tcPr>
          <w:p w14:paraId="3E89B5E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0.65</w:t>
            </w:r>
          </w:p>
        </w:tc>
        <w:tc>
          <w:tcPr>
            <w:tcW w:w="87" w:type="pct"/>
            <w:shd w:val="clear" w:color="auto" w:fill="auto"/>
            <w:vAlign w:val="center"/>
          </w:tcPr>
          <w:p w14:paraId="4413471D"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329BFD3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8.31</w:t>
            </w:r>
          </w:p>
        </w:tc>
        <w:tc>
          <w:tcPr>
            <w:tcW w:w="471" w:type="pct"/>
            <w:shd w:val="clear" w:color="auto" w:fill="auto"/>
            <w:vAlign w:val="center"/>
          </w:tcPr>
          <w:p w14:paraId="254E5DC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15.47</w:t>
            </w:r>
          </w:p>
        </w:tc>
        <w:tc>
          <w:tcPr>
            <w:tcW w:w="471" w:type="pct"/>
            <w:shd w:val="clear" w:color="auto" w:fill="auto"/>
            <w:vAlign w:val="center"/>
          </w:tcPr>
          <w:p w14:paraId="4A71897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0.54*</w:t>
            </w:r>
          </w:p>
        </w:tc>
        <w:tc>
          <w:tcPr>
            <w:tcW w:w="472" w:type="pct"/>
            <w:shd w:val="clear" w:color="auto" w:fill="auto"/>
            <w:vAlign w:val="center"/>
          </w:tcPr>
          <w:p w14:paraId="00B38E1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5.34*</w:t>
            </w:r>
          </w:p>
        </w:tc>
      </w:tr>
      <w:tr w:rsidR="00F949B9" w:rsidRPr="00486F2D" w14:paraId="7FAB55BC" w14:textId="77777777" w:rsidTr="006019F0">
        <w:trPr>
          <w:trHeight w:val="227"/>
        </w:trPr>
        <w:tc>
          <w:tcPr>
            <w:tcW w:w="1453" w:type="pct"/>
            <w:shd w:val="clear" w:color="auto" w:fill="auto"/>
            <w:noWrap/>
            <w:vAlign w:val="center"/>
          </w:tcPr>
          <w:p w14:paraId="4C4B811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07A351D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1F864A9E"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7DE94FC2"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7AA5C6CD"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44C89418"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5DE62CAA"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624C6EB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293F5C96"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7ECFA9A0"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6F86F5EB" w14:textId="77777777" w:rsidTr="006019F0">
        <w:trPr>
          <w:trHeight w:val="227"/>
        </w:trPr>
        <w:tc>
          <w:tcPr>
            <w:tcW w:w="1453" w:type="pct"/>
            <w:shd w:val="clear" w:color="auto" w:fill="auto"/>
            <w:noWrap/>
            <w:vAlign w:val="center"/>
          </w:tcPr>
          <w:p w14:paraId="6B04FBD0" w14:textId="77777777" w:rsidR="00F949B9" w:rsidRPr="00051CAE" w:rsidRDefault="00F949B9" w:rsidP="006019F0">
            <w:pPr>
              <w:spacing w:after="0" w:line="240" w:lineRule="auto"/>
              <w:rPr>
                <w:rFonts w:ascii="Times New Roman" w:hAnsi="Times New Roman" w:cs="Times New Roman"/>
                <w:i/>
                <w:sz w:val="16"/>
                <w:szCs w:val="16"/>
                <w:lang w:eastAsia="nl-NL"/>
              </w:rPr>
            </w:pPr>
            <w:r w:rsidRPr="00051CAE">
              <w:rPr>
                <w:rFonts w:ascii="Times New Roman" w:hAnsi="Times New Roman" w:cs="Times New Roman"/>
                <w:i/>
                <w:sz w:val="16"/>
                <w:szCs w:val="16"/>
                <w:lang w:eastAsia="nl-NL"/>
              </w:rPr>
              <w:t xml:space="preserve">B. Low </w:t>
            </w:r>
            <w:r>
              <w:rPr>
                <w:rFonts w:ascii="Times New Roman" w:hAnsi="Times New Roman" w:cs="Times New Roman"/>
                <w:i/>
                <w:sz w:val="16"/>
                <w:szCs w:val="16"/>
                <w:lang w:eastAsia="nl-NL"/>
              </w:rPr>
              <w:t>r</w:t>
            </w:r>
            <w:r w:rsidRPr="00051CAE">
              <w:rPr>
                <w:rFonts w:ascii="Times New Roman" w:hAnsi="Times New Roman" w:cs="Times New Roman"/>
                <w:i/>
                <w:sz w:val="16"/>
                <w:szCs w:val="16"/>
                <w:lang w:eastAsia="nl-NL"/>
              </w:rPr>
              <w:t>isk</w:t>
            </w:r>
          </w:p>
        </w:tc>
        <w:tc>
          <w:tcPr>
            <w:tcW w:w="395" w:type="pct"/>
            <w:shd w:val="clear" w:color="auto" w:fill="auto"/>
            <w:noWrap/>
            <w:vAlign w:val="center"/>
          </w:tcPr>
          <w:p w14:paraId="393D57C5"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015CE82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6441D902"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4D2F0335"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1F9AF99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17671BC9"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69A1AB62"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7A38C5BC"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6F06B627"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78CB49A8" w14:textId="77777777" w:rsidTr="006019F0">
        <w:trPr>
          <w:trHeight w:val="227"/>
        </w:trPr>
        <w:tc>
          <w:tcPr>
            <w:tcW w:w="1453" w:type="pct"/>
            <w:shd w:val="clear" w:color="auto" w:fill="auto"/>
            <w:noWrap/>
            <w:vAlign w:val="center"/>
          </w:tcPr>
          <w:p w14:paraId="27952D09" w14:textId="77777777" w:rsidR="00F949B9" w:rsidRPr="00486F2D" w:rsidRDefault="00F949B9" w:rsidP="006019F0">
            <w:pPr>
              <w:spacing w:after="0" w:line="240" w:lineRule="auto"/>
              <w:rPr>
                <w:rFonts w:ascii="Times New Roman" w:hAnsi="Times New Roman" w:cs="Times New Roman"/>
                <w:sz w:val="16"/>
                <w:szCs w:val="16"/>
                <w:lang w:val="en-US" w:eastAsia="nl-NL"/>
              </w:rPr>
            </w:pPr>
            <w:r w:rsidRPr="00486F2D">
              <w:rPr>
                <w:rFonts w:ascii="Times New Roman" w:hAnsi="Times New Roman" w:cs="Times New Roman"/>
                <w:sz w:val="16"/>
                <w:szCs w:val="16"/>
                <w:lang w:val="en-US" w:eastAsia="nl-NL"/>
              </w:rPr>
              <w:t>LR0: AAA/AA/A, BB/B; short maturity</w:t>
            </w:r>
          </w:p>
        </w:tc>
        <w:tc>
          <w:tcPr>
            <w:tcW w:w="395" w:type="pct"/>
            <w:shd w:val="clear" w:color="auto" w:fill="auto"/>
            <w:noWrap/>
            <w:vAlign w:val="center"/>
          </w:tcPr>
          <w:p w14:paraId="20ED851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0.91%</w:t>
            </w:r>
          </w:p>
        </w:tc>
        <w:tc>
          <w:tcPr>
            <w:tcW w:w="395" w:type="pct"/>
            <w:shd w:val="clear" w:color="auto" w:fill="auto"/>
            <w:noWrap/>
            <w:vAlign w:val="center"/>
          </w:tcPr>
          <w:p w14:paraId="5316AC0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2.24%</w:t>
            </w:r>
          </w:p>
        </w:tc>
        <w:tc>
          <w:tcPr>
            <w:tcW w:w="395" w:type="pct"/>
            <w:shd w:val="clear" w:color="auto" w:fill="auto"/>
            <w:noWrap/>
            <w:vAlign w:val="center"/>
          </w:tcPr>
          <w:p w14:paraId="27D1592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0.41*</w:t>
            </w:r>
          </w:p>
        </w:tc>
        <w:tc>
          <w:tcPr>
            <w:tcW w:w="421" w:type="pct"/>
            <w:shd w:val="clear" w:color="auto" w:fill="auto"/>
            <w:noWrap/>
            <w:vAlign w:val="center"/>
          </w:tcPr>
          <w:p w14:paraId="2555651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0.70%**</w:t>
            </w:r>
          </w:p>
        </w:tc>
        <w:tc>
          <w:tcPr>
            <w:tcW w:w="87" w:type="pct"/>
            <w:shd w:val="clear" w:color="auto" w:fill="auto"/>
            <w:vAlign w:val="center"/>
          </w:tcPr>
          <w:p w14:paraId="5813E0D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0DA6A9B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3.78%</w:t>
            </w:r>
          </w:p>
        </w:tc>
        <w:tc>
          <w:tcPr>
            <w:tcW w:w="471" w:type="pct"/>
            <w:shd w:val="clear" w:color="auto" w:fill="auto"/>
            <w:vAlign w:val="center"/>
          </w:tcPr>
          <w:p w14:paraId="4DC9E87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6.69%</w:t>
            </w:r>
          </w:p>
        </w:tc>
        <w:tc>
          <w:tcPr>
            <w:tcW w:w="471" w:type="pct"/>
            <w:shd w:val="clear" w:color="auto" w:fill="auto"/>
            <w:vAlign w:val="center"/>
          </w:tcPr>
          <w:p w14:paraId="55E7D0EE"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0.56**</w:t>
            </w:r>
          </w:p>
        </w:tc>
        <w:tc>
          <w:tcPr>
            <w:tcW w:w="472" w:type="pct"/>
            <w:shd w:val="clear" w:color="auto" w:fill="auto"/>
            <w:vAlign w:val="center"/>
          </w:tcPr>
          <w:p w14:paraId="3947210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2.39%**</w:t>
            </w:r>
          </w:p>
        </w:tc>
      </w:tr>
      <w:tr w:rsidR="00F949B9" w:rsidRPr="00486F2D" w14:paraId="48DF7910" w14:textId="77777777" w:rsidTr="006019F0">
        <w:trPr>
          <w:trHeight w:val="227"/>
        </w:trPr>
        <w:tc>
          <w:tcPr>
            <w:tcW w:w="1453" w:type="pct"/>
            <w:shd w:val="clear" w:color="auto" w:fill="auto"/>
            <w:noWrap/>
            <w:vAlign w:val="center"/>
          </w:tcPr>
          <w:p w14:paraId="29D5A7BF" w14:textId="77777777" w:rsidR="00F949B9" w:rsidRPr="00486F2D" w:rsidRDefault="00F949B9" w:rsidP="006019F0">
            <w:pPr>
              <w:spacing w:after="0" w:line="240" w:lineRule="auto"/>
              <w:rPr>
                <w:rFonts w:ascii="Times New Roman" w:hAnsi="Times New Roman" w:cs="Times New Roman"/>
                <w:sz w:val="16"/>
                <w:szCs w:val="16"/>
                <w:lang w:val="en-US" w:eastAsia="nl-NL"/>
              </w:rPr>
            </w:pPr>
            <w:r w:rsidRPr="00486F2D">
              <w:rPr>
                <w:rFonts w:ascii="Times New Roman" w:hAnsi="Times New Roman" w:cs="Times New Roman"/>
                <w:sz w:val="16"/>
                <w:szCs w:val="16"/>
                <w:lang w:val="en-US" w:eastAsia="nl-NL"/>
              </w:rPr>
              <w:t>LR1: AAA/AA, BB; short maturity</w:t>
            </w:r>
          </w:p>
        </w:tc>
        <w:tc>
          <w:tcPr>
            <w:tcW w:w="395" w:type="pct"/>
            <w:shd w:val="clear" w:color="auto" w:fill="auto"/>
            <w:noWrap/>
            <w:vAlign w:val="center"/>
          </w:tcPr>
          <w:p w14:paraId="04910BA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0.71</w:t>
            </w:r>
          </w:p>
        </w:tc>
        <w:tc>
          <w:tcPr>
            <w:tcW w:w="395" w:type="pct"/>
            <w:shd w:val="clear" w:color="auto" w:fill="auto"/>
            <w:noWrap/>
            <w:vAlign w:val="center"/>
          </w:tcPr>
          <w:p w14:paraId="4B78C12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2.71</w:t>
            </w:r>
          </w:p>
        </w:tc>
        <w:tc>
          <w:tcPr>
            <w:tcW w:w="395" w:type="pct"/>
            <w:shd w:val="clear" w:color="auto" w:fill="auto"/>
            <w:noWrap/>
            <w:vAlign w:val="center"/>
          </w:tcPr>
          <w:p w14:paraId="7297244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0.26</w:t>
            </w:r>
          </w:p>
        </w:tc>
        <w:tc>
          <w:tcPr>
            <w:tcW w:w="421" w:type="pct"/>
            <w:shd w:val="clear" w:color="auto" w:fill="auto"/>
            <w:noWrap/>
            <w:vAlign w:val="center"/>
          </w:tcPr>
          <w:p w14:paraId="2B577E3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0.42*</w:t>
            </w:r>
          </w:p>
        </w:tc>
        <w:tc>
          <w:tcPr>
            <w:tcW w:w="87" w:type="pct"/>
            <w:shd w:val="clear" w:color="auto" w:fill="auto"/>
            <w:vAlign w:val="center"/>
          </w:tcPr>
          <w:p w14:paraId="56924705"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44BB5D6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3.52</w:t>
            </w:r>
          </w:p>
        </w:tc>
        <w:tc>
          <w:tcPr>
            <w:tcW w:w="471" w:type="pct"/>
            <w:shd w:val="clear" w:color="auto" w:fill="auto"/>
            <w:vAlign w:val="center"/>
          </w:tcPr>
          <w:p w14:paraId="62FA7F3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6.11</w:t>
            </w:r>
          </w:p>
        </w:tc>
        <w:tc>
          <w:tcPr>
            <w:tcW w:w="471" w:type="pct"/>
            <w:shd w:val="clear" w:color="auto" w:fill="auto"/>
            <w:vAlign w:val="center"/>
          </w:tcPr>
          <w:p w14:paraId="3EF07D6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0.58**</w:t>
            </w:r>
          </w:p>
        </w:tc>
        <w:tc>
          <w:tcPr>
            <w:tcW w:w="472" w:type="pct"/>
            <w:shd w:val="clear" w:color="auto" w:fill="auto"/>
            <w:vAlign w:val="center"/>
          </w:tcPr>
          <w:p w14:paraId="2B070F3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2.20**</w:t>
            </w:r>
          </w:p>
        </w:tc>
      </w:tr>
      <w:tr w:rsidR="00F949B9" w:rsidRPr="00486F2D" w14:paraId="629B38B7" w14:textId="77777777" w:rsidTr="006019F0">
        <w:trPr>
          <w:trHeight w:val="227"/>
        </w:trPr>
        <w:tc>
          <w:tcPr>
            <w:tcW w:w="1453" w:type="pct"/>
            <w:shd w:val="clear" w:color="auto" w:fill="auto"/>
            <w:noWrap/>
            <w:vAlign w:val="center"/>
          </w:tcPr>
          <w:p w14:paraId="40342A9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 xml:space="preserve">LR2: Spread </w:t>
            </w:r>
            <w:r>
              <w:rPr>
                <w:rFonts w:ascii="Times New Roman" w:hAnsi="Times New Roman" w:cs="Times New Roman"/>
                <w:sz w:val="16"/>
                <w:szCs w:val="16"/>
                <w:lang w:eastAsia="nl-NL"/>
              </w:rPr>
              <w:t>×</w:t>
            </w:r>
            <w:r w:rsidRPr="00486F2D">
              <w:rPr>
                <w:rFonts w:ascii="Times New Roman" w:hAnsi="Times New Roman" w:cs="Times New Roman"/>
                <w:sz w:val="16"/>
                <w:szCs w:val="16"/>
                <w:lang w:eastAsia="nl-NL"/>
              </w:rPr>
              <w:t xml:space="preserve"> Maturity</w:t>
            </w:r>
          </w:p>
        </w:tc>
        <w:tc>
          <w:tcPr>
            <w:tcW w:w="395" w:type="pct"/>
            <w:shd w:val="clear" w:color="auto" w:fill="auto"/>
            <w:noWrap/>
            <w:vAlign w:val="center"/>
          </w:tcPr>
          <w:p w14:paraId="2C538DA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0.96</w:t>
            </w:r>
          </w:p>
        </w:tc>
        <w:tc>
          <w:tcPr>
            <w:tcW w:w="395" w:type="pct"/>
            <w:shd w:val="clear" w:color="auto" w:fill="auto"/>
            <w:noWrap/>
            <w:vAlign w:val="center"/>
          </w:tcPr>
          <w:p w14:paraId="1C6EC1A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2.76</w:t>
            </w:r>
          </w:p>
        </w:tc>
        <w:tc>
          <w:tcPr>
            <w:tcW w:w="395" w:type="pct"/>
            <w:shd w:val="clear" w:color="auto" w:fill="auto"/>
            <w:noWrap/>
            <w:vAlign w:val="center"/>
          </w:tcPr>
          <w:p w14:paraId="6007BFB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0.35**</w:t>
            </w:r>
          </w:p>
        </w:tc>
        <w:tc>
          <w:tcPr>
            <w:tcW w:w="421" w:type="pct"/>
            <w:shd w:val="clear" w:color="auto" w:fill="auto"/>
            <w:noWrap/>
            <w:vAlign w:val="center"/>
          </w:tcPr>
          <w:p w14:paraId="2451C09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0.65**</w:t>
            </w:r>
          </w:p>
        </w:tc>
        <w:tc>
          <w:tcPr>
            <w:tcW w:w="87" w:type="pct"/>
            <w:shd w:val="clear" w:color="auto" w:fill="auto"/>
            <w:vAlign w:val="center"/>
          </w:tcPr>
          <w:p w14:paraId="6F565225"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5D9A47DB"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3.60</w:t>
            </w:r>
          </w:p>
        </w:tc>
        <w:tc>
          <w:tcPr>
            <w:tcW w:w="471" w:type="pct"/>
            <w:shd w:val="clear" w:color="auto" w:fill="auto"/>
            <w:vAlign w:val="center"/>
          </w:tcPr>
          <w:p w14:paraId="02C3847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8.09</w:t>
            </w:r>
          </w:p>
        </w:tc>
        <w:tc>
          <w:tcPr>
            <w:tcW w:w="471" w:type="pct"/>
            <w:shd w:val="clear" w:color="auto" w:fill="auto"/>
            <w:vAlign w:val="center"/>
          </w:tcPr>
          <w:p w14:paraId="21BE606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0.45**</w:t>
            </w:r>
          </w:p>
        </w:tc>
        <w:tc>
          <w:tcPr>
            <w:tcW w:w="472" w:type="pct"/>
            <w:shd w:val="clear" w:color="auto" w:fill="auto"/>
            <w:vAlign w:val="center"/>
          </w:tcPr>
          <w:p w14:paraId="1F85946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1.81**</w:t>
            </w:r>
          </w:p>
        </w:tc>
      </w:tr>
      <w:tr w:rsidR="00F949B9" w:rsidRPr="00486F2D" w14:paraId="096A5D2A" w14:textId="77777777" w:rsidTr="006019F0">
        <w:trPr>
          <w:trHeight w:val="227"/>
        </w:trPr>
        <w:tc>
          <w:tcPr>
            <w:tcW w:w="1453" w:type="pct"/>
            <w:shd w:val="clear" w:color="auto" w:fill="auto"/>
            <w:noWrap/>
            <w:vAlign w:val="center"/>
          </w:tcPr>
          <w:p w14:paraId="77DBA3A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LR3: DTS</w:t>
            </w:r>
          </w:p>
        </w:tc>
        <w:tc>
          <w:tcPr>
            <w:tcW w:w="395" w:type="pct"/>
            <w:shd w:val="clear" w:color="auto" w:fill="auto"/>
            <w:noWrap/>
            <w:vAlign w:val="center"/>
          </w:tcPr>
          <w:p w14:paraId="4021984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0.71</w:t>
            </w:r>
          </w:p>
        </w:tc>
        <w:tc>
          <w:tcPr>
            <w:tcW w:w="395" w:type="pct"/>
            <w:shd w:val="clear" w:color="auto" w:fill="auto"/>
            <w:noWrap/>
            <w:vAlign w:val="center"/>
          </w:tcPr>
          <w:p w14:paraId="63DBC39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1.04</w:t>
            </w:r>
          </w:p>
        </w:tc>
        <w:tc>
          <w:tcPr>
            <w:tcW w:w="395" w:type="pct"/>
            <w:shd w:val="clear" w:color="auto" w:fill="auto"/>
            <w:noWrap/>
            <w:vAlign w:val="center"/>
          </w:tcPr>
          <w:p w14:paraId="00EA817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0.68**</w:t>
            </w:r>
          </w:p>
        </w:tc>
        <w:tc>
          <w:tcPr>
            <w:tcW w:w="421" w:type="pct"/>
            <w:shd w:val="clear" w:color="auto" w:fill="auto"/>
            <w:noWrap/>
            <w:vAlign w:val="center"/>
          </w:tcPr>
          <w:p w14:paraId="3F75B2B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0.60**</w:t>
            </w:r>
          </w:p>
        </w:tc>
        <w:tc>
          <w:tcPr>
            <w:tcW w:w="87" w:type="pct"/>
            <w:shd w:val="clear" w:color="auto" w:fill="auto"/>
            <w:vAlign w:val="center"/>
          </w:tcPr>
          <w:p w14:paraId="21569D7B"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12E44C0E"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2.59</w:t>
            </w:r>
          </w:p>
        </w:tc>
        <w:tc>
          <w:tcPr>
            <w:tcW w:w="471" w:type="pct"/>
            <w:shd w:val="clear" w:color="auto" w:fill="auto"/>
            <w:vAlign w:val="center"/>
          </w:tcPr>
          <w:p w14:paraId="5B467CC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3.89</w:t>
            </w:r>
          </w:p>
        </w:tc>
        <w:tc>
          <w:tcPr>
            <w:tcW w:w="471" w:type="pct"/>
            <w:shd w:val="clear" w:color="auto" w:fill="auto"/>
            <w:vAlign w:val="center"/>
          </w:tcPr>
          <w:p w14:paraId="3A2E4B1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0.67**</w:t>
            </w:r>
          </w:p>
        </w:tc>
        <w:tc>
          <w:tcPr>
            <w:tcW w:w="472" w:type="pct"/>
            <w:shd w:val="clear" w:color="auto" w:fill="auto"/>
            <w:vAlign w:val="center"/>
          </w:tcPr>
          <w:p w14:paraId="1D02A46B"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1.80**</w:t>
            </w:r>
          </w:p>
        </w:tc>
      </w:tr>
      <w:tr w:rsidR="00F949B9" w:rsidRPr="00486F2D" w14:paraId="5338603F" w14:textId="77777777" w:rsidTr="006019F0">
        <w:trPr>
          <w:trHeight w:val="227"/>
        </w:trPr>
        <w:tc>
          <w:tcPr>
            <w:tcW w:w="1453" w:type="pct"/>
            <w:shd w:val="clear" w:color="auto" w:fill="auto"/>
            <w:noWrap/>
            <w:vAlign w:val="center"/>
          </w:tcPr>
          <w:p w14:paraId="5084C1E3"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100F130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2D5AE803"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13839276"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39966467"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59968B59"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7F6CBD8E"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09B0E3D4"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6220FD93"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26ACEE22"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227793A4" w14:textId="77777777" w:rsidTr="006019F0">
        <w:trPr>
          <w:trHeight w:val="227"/>
        </w:trPr>
        <w:tc>
          <w:tcPr>
            <w:tcW w:w="1453" w:type="pct"/>
            <w:shd w:val="clear" w:color="auto" w:fill="auto"/>
            <w:noWrap/>
            <w:vAlign w:val="center"/>
          </w:tcPr>
          <w:p w14:paraId="34D13F2F" w14:textId="77777777" w:rsidR="00F949B9" w:rsidRPr="00051CAE" w:rsidRDefault="00F949B9" w:rsidP="006019F0">
            <w:pPr>
              <w:spacing w:after="0" w:line="240" w:lineRule="auto"/>
              <w:rPr>
                <w:rFonts w:ascii="Times New Roman" w:hAnsi="Times New Roman" w:cs="Times New Roman"/>
                <w:i/>
                <w:sz w:val="16"/>
                <w:szCs w:val="16"/>
                <w:lang w:eastAsia="nl-NL"/>
              </w:rPr>
            </w:pPr>
            <w:r w:rsidRPr="00051CAE">
              <w:rPr>
                <w:rFonts w:ascii="Times New Roman" w:hAnsi="Times New Roman" w:cs="Times New Roman"/>
                <w:i/>
                <w:sz w:val="16"/>
                <w:szCs w:val="16"/>
                <w:lang w:eastAsia="nl-NL"/>
              </w:rPr>
              <w:t>C. Value</w:t>
            </w:r>
          </w:p>
        </w:tc>
        <w:tc>
          <w:tcPr>
            <w:tcW w:w="395" w:type="pct"/>
            <w:shd w:val="clear" w:color="auto" w:fill="auto"/>
            <w:noWrap/>
            <w:vAlign w:val="center"/>
          </w:tcPr>
          <w:p w14:paraId="5A71AFE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5677571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3B53E897"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1D0EB24A"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57DA74A8"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72BA3E93"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6DFF7CAB"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7D5EA248"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32848F3B"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763A5F08" w14:textId="77777777" w:rsidTr="006019F0">
        <w:trPr>
          <w:trHeight w:val="227"/>
        </w:trPr>
        <w:tc>
          <w:tcPr>
            <w:tcW w:w="1453" w:type="pct"/>
            <w:shd w:val="clear" w:color="auto" w:fill="auto"/>
            <w:noWrap/>
            <w:vAlign w:val="center"/>
          </w:tcPr>
          <w:p w14:paraId="6067BFCF" w14:textId="77777777" w:rsidR="00F949B9" w:rsidRPr="00486F2D" w:rsidRDefault="00F949B9" w:rsidP="006019F0">
            <w:pPr>
              <w:spacing w:after="0" w:line="240" w:lineRule="auto"/>
              <w:rPr>
                <w:rFonts w:ascii="Times New Roman" w:hAnsi="Times New Roman" w:cs="Times New Roman"/>
                <w:sz w:val="16"/>
                <w:szCs w:val="16"/>
                <w:lang w:val="en-US" w:eastAsia="nl-NL"/>
              </w:rPr>
            </w:pPr>
            <w:r w:rsidRPr="00486F2D">
              <w:rPr>
                <w:rFonts w:ascii="Times New Roman" w:hAnsi="Times New Roman" w:cs="Times New Roman"/>
                <w:sz w:val="16"/>
                <w:szCs w:val="16"/>
                <w:lang w:val="en-US" w:eastAsia="nl-NL"/>
              </w:rPr>
              <w:t xml:space="preserve">V0: Spread regression maturity + </w:t>
            </w:r>
            <w:r>
              <w:rPr>
                <w:rFonts w:ascii="Times New Roman" w:hAnsi="Times New Roman" w:cs="Times New Roman"/>
                <w:sz w:val="16"/>
                <w:szCs w:val="16"/>
                <w:lang w:val="en-US" w:eastAsia="nl-NL"/>
              </w:rPr>
              <w:t>R</w:t>
            </w:r>
            <w:r w:rsidRPr="00486F2D">
              <w:rPr>
                <w:rFonts w:ascii="Times New Roman" w:hAnsi="Times New Roman" w:cs="Times New Roman"/>
                <w:sz w:val="16"/>
                <w:szCs w:val="16"/>
                <w:lang w:val="en-US" w:eastAsia="nl-NL"/>
              </w:rPr>
              <w:t xml:space="preserve">ating + </w:t>
            </w:r>
            <w:r>
              <w:rPr>
                <w:rFonts w:ascii="Times New Roman" w:hAnsi="Times New Roman" w:cs="Times New Roman"/>
                <w:sz w:val="16"/>
                <w:szCs w:val="16"/>
                <w:lang w:val="en-US" w:eastAsia="nl-NL"/>
              </w:rPr>
              <w:t>D</w:t>
            </w:r>
            <w:r w:rsidRPr="00486F2D">
              <w:rPr>
                <w:rFonts w:ascii="Times New Roman" w:hAnsi="Times New Roman" w:cs="Times New Roman"/>
                <w:sz w:val="16"/>
                <w:szCs w:val="16"/>
                <w:lang w:val="en-US" w:eastAsia="nl-NL"/>
              </w:rPr>
              <w:t>elta spread</w:t>
            </w:r>
          </w:p>
        </w:tc>
        <w:tc>
          <w:tcPr>
            <w:tcW w:w="395" w:type="pct"/>
            <w:shd w:val="clear" w:color="auto" w:fill="auto"/>
            <w:noWrap/>
            <w:vAlign w:val="center"/>
          </w:tcPr>
          <w:p w14:paraId="0736621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1.79%</w:t>
            </w:r>
          </w:p>
        </w:tc>
        <w:tc>
          <w:tcPr>
            <w:tcW w:w="395" w:type="pct"/>
            <w:shd w:val="clear" w:color="auto" w:fill="auto"/>
            <w:noWrap/>
            <w:vAlign w:val="center"/>
          </w:tcPr>
          <w:p w14:paraId="4C5E93F4"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6.76%</w:t>
            </w:r>
          </w:p>
        </w:tc>
        <w:tc>
          <w:tcPr>
            <w:tcW w:w="395" w:type="pct"/>
            <w:shd w:val="clear" w:color="auto" w:fill="auto"/>
            <w:noWrap/>
            <w:vAlign w:val="center"/>
          </w:tcPr>
          <w:p w14:paraId="635ED1E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0.27*</w:t>
            </w:r>
          </w:p>
        </w:tc>
        <w:tc>
          <w:tcPr>
            <w:tcW w:w="421" w:type="pct"/>
            <w:shd w:val="clear" w:color="auto" w:fill="auto"/>
            <w:noWrap/>
            <w:vAlign w:val="center"/>
          </w:tcPr>
          <w:p w14:paraId="47A86C94"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1.06%</w:t>
            </w:r>
          </w:p>
        </w:tc>
        <w:tc>
          <w:tcPr>
            <w:tcW w:w="87" w:type="pct"/>
            <w:shd w:val="clear" w:color="auto" w:fill="auto"/>
            <w:vAlign w:val="center"/>
          </w:tcPr>
          <w:p w14:paraId="235A50CB"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5ADA4C3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6.58%</w:t>
            </w:r>
          </w:p>
        </w:tc>
        <w:tc>
          <w:tcPr>
            <w:tcW w:w="471" w:type="pct"/>
            <w:shd w:val="clear" w:color="auto" w:fill="auto"/>
            <w:vAlign w:val="center"/>
          </w:tcPr>
          <w:p w14:paraId="03AADD5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13.37%</w:t>
            </w:r>
          </w:p>
        </w:tc>
        <w:tc>
          <w:tcPr>
            <w:tcW w:w="471" w:type="pct"/>
            <w:shd w:val="clear" w:color="auto" w:fill="auto"/>
            <w:vAlign w:val="center"/>
          </w:tcPr>
          <w:p w14:paraId="4CF9C95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0.49**</w:t>
            </w:r>
          </w:p>
        </w:tc>
        <w:tc>
          <w:tcPr>
            <w:tcW w:w="472" w:type="pct"/>
            <w:shd w:val="clear" w:color="auto" w:fill="auto"/>
            <w:vAlign w:val="center"/>
          </w:tcPr>
          <w:p w14:paraId="25ACEE3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3.72%*</w:t>
            </w:r>
          </w:p>
        </w:tc>
      </w:tr>
      <w:tr w:rsidR="00F949B9" w:rsidRPr="00486F2D" w14:paraId="55C59177" w14:textId="77777777" w:rsidTr="006019F0">
        <w:trPr>
          <w:trHeight w:val="227"/>
        </w:trPr>
        <w:tc>
          <w:tcPr>
            <w:tcW w:w="1453" w:type="pct"/>
            <w:shd w:val="clear" w:color="auto" w:fill="auto"/>
            <w:noWrap/>
            <w:vAlign w:val="center"/>
          </w:tcPr>
          <w:p w14:paraId="385CAD91" w14:textId="77777777" w:rsidR="00F949B9" w:rsidRPr="00486F2D" w:rsidRDefault="00F949B9" w:rsidP="006019F0">
            <w:pPr>
              <w:spacing w:after="0" w:line="240" w:lineRule="auto"/>
              <w:rPr>
                <w:rFonts w:ascii="Times New Roman" w:hAnsi="Times New Roman" w:cs="Times New Roman"/>
                <w:sz w:val="16"/>
                <w:szCs w:val="16"/>
                <w:lang w:val="en-US" w:eastAsia="nl-NL"/>
              </w:rPr>
            </w:pPr>
            <w:r w:rsidRPr="00486F2D">
              <w:rPr>
                <w:rFonts w:ascii="Times New Roman" w:hAnsi="Times New Roman" w:cs="Times New Roman"/>
                <w:sz w:val="16"/>
                <w:szCs w:val="16"/>
                <w:lang w:val="en-US" w:eastAsia="nl-NL"/>
              </w:rPr>
              <w:t xml:space="preserve">V1: Rating </w:t>
            </w:r>
            <w:r>
              <w:rPr>
                <w:rFonts w:ascii="Times New Roman" w:hAnsi="Times New Roman" w:cs="Times New Roman"/>
                <w:sz w:val="16"/>
                <w:szCs w:val="16"/>
                <w:lang w:val="en-US" w:eastAsia="nl-NL"/>
              </w:rPr>
              <w:t>×</w:t>
            </w:r>
            <w:r w:rsidRPr="00486F2D">
              <w:rPr>
                <w:rFonts w:ascii="Times New Roman" w:hAnsi="Times New Roman" w:cs="Times New Roman"/>
                <w:sz w:val="16"/>
                <w:szCs w:val="16"/>
                <w:lang w:val="en-US" w:eastAsia="nl-NL"/>
              </w:rPr>
              <w:t xml:space="preserve"> </w:t>
            </w:r>
            <w:r>
              <w:rPr>
                <w:rFonts w:ascii="Times New Roman" w:hAnsi="Times New Roman" w:cs="Times New Roman"/>
                <w:sz w:val="16"/>
                <w:szCs w:val="16"/>
                <w:lang w:val="en-US" w:eastAsia="nl-NL"/>
              </w:rPr>
              <w:t>M</w:t>
            </w:r>
            <w:r w:rsidRPr="00486F2D">
              <w:rPr>
                <w:rFonts w:ascii="Times New Roman" w:hAnsi="Times New Roman" w:cs="Times New Roman"/>
                <w:sz w:val="16"/>
                <w:szCs w:val="16"/>
                <w:lang w:val="en-US" w:eastAsia="nl-NL"/>
              </w:rPr>
              <w:t xml:space="preserve">aturity </w:t>
            </w:r>
            <w:r>
              <w:rPr>
                <w:rFonts w:ascii="Times New Roman" w:hAnsi="Times New Roman" w:cs="Times New Roman"/>
                <w:sz w:val="16"/>
                <w:szCs w:val="16"/>
                <w:lang w:val="en-US" w:eastAsia="nl-NL"/>
              </w:rPr>
              <w:t>×</w:t>
            </w:r>
            <w:r w:rsidRPr="00486F2D">
              <w:rPr>
                <w:rFonts w:ascii="Times New Roman" w:hAnsi="Times New Roman" w:cs="Times New Roman"/>
                <w:sz w:val="16"/>
                <w:szCs w:val="16"/>
                <w:lang w:val="en-US" w:eastAsia="nl-NL"/>
              </w:rPr>
              <w:t xml:space="preserve"> </w:t>
            </w:r>
            <w:r>
              <w:rPr>
                <w:rFonts w:ascii="Times New Roman" w:hAnsi="Times New Roman" w:cs="Times New Roman"/>
                <w:sz w:val="16"/>
                <w:szCs w:val="16"/>
                <w:lang w:val="en-US" w:eastAsia="nl-NL"/>
              </w:rPr>
              <w:t>S</w:t>
            </w:r>
            <w:r w:rsidRPr="00486F2D">
              <w:rPr>
                <w:rFonts w:ascii="Times New Roman" w:hAnsi="Times New Roman" w:cs="Times New Roman"/>
                <w:sz w:val="16"/>
                <w:szCs w:val="16"/>
                <w:lang w:val="en-US" w:eastAsia="nl-NL"/>
              </w:rPr>
              <w:t>pread</w:t>
            </w:r>
          </w:p>
        </w:tc>
        <w:tc>
          <w:tcPr>
            <w:tcW w:w="395" w:type="pct"/>
            <w:shd w:val="clear" w:color="auto" w:fill="auto"/>
            <w:noWrap/>
            <w:vAlign w:val="center"/>
          </w:tcPr>
          <w:p w14:paraId="567B70A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2.49</w:t>
            </w:r>
          </w:p>
        </w:tc>
        <w:tc>
          <w:tcPr>
            <w:tcW w:w="395" w:type="pct"/>
            <w:shd w:val="clear" w:color="auto" w:fill="auto"/>
            <w:noWrap/>
            <w:vAlign w:val="center"/>
          </w:tcPr>
          <w:p w14:paraId="589DED3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7.88</w:t>
            </w:r>
          </w:p>
        </w:tc>
        <w:tc>
          <w:tcPr>
            <w:tcW w:w="395" w:type="pct"/>
            <w:shd w:val="clear" w:color="auto" w:fill="auto"/>
            <w:noWrap/>
            <w:vAlign w:val="center"/>
          </w:tcPr>
          <w:p w14:paraId="3DA15CE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0.32*</w:t>
            </w:r>
          </w:p>
        </w:tc>
        <w:tc>
          <w:tcPr>
            <w:tcW w:w="421" w:type="pct"/>
            <w:shd w:val="clear" w:color="auto" w:fill="auto"/>
            <w:noWrap/>
            <w:vAlign w:val="center"/>
          </w:tcPr>
          <w:p w14:paraId="7276A7B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1.64**</w:t>
            </w:r>
          </w:p>
        </w:tc>
        <w:tc>
          <w:tcPr>
            <w:tcW w:w="87" w:type="pct"/>
            <w:shd w:val="clear" w:color="auto" w:fill="auto"/>
            <w:vAlign w:val="center"/>
          </w:tcPr>
          <w:p w14:paraId="4D0C28F6"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668C425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5.13</w:t>
            </w:r>
          </w:p>
        </w:tc>
        <w:tc>
          <w:tcPr>
            <w:tcW w:w="471" w:type="pct"/>
            <w:shd w:val="clear" w:color="auto" w:fill="auto"/>
            <w:vAlign w:val="center"/>
          </w:tcPr>
          <w:p w14:paraId="2DDA607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17.01</w:t>
            </w:r>
          </w:p>
        </w:tc>
        <w:tc>
          <w:tcPr>
            <w:tcW w:w="471" w:type="pct"/>
            <w:shd w:val="clear" w:color="auto" w:fill="auto"/>
            <w:vAlign w:val="center"/>
          </w:tcPr>
          <w:p w14:paraId="2DB4ADE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0.30</w:t>
            </w:r>
          </w:p>
        </w:tc>
        <w:tc>
          <w:tcPr>
            <w:tcW w:w="472" w:type="pct"/>
            <w:shd w:val="clear" w:color="auto" w:fill="auto"/>
            <w:vAlign w:val="center"/>
          </w:tcPr>
          <w:p w14:paraId="0780082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1.53</w:t>
            </w:r>
          </w:p>
        </w:tc>
      </w:tr>
      <w:tr w:rsidR="00F949B9" w:rsidRPr="00486F2D" w14:paraId="37A625A0" w14:textId="77777777" w:rsidTr="006019F0">
        <w:trPr>
          <w:trHeight w:val="227"/>
        </w:trPr>
        <w:tc>
          <w:tcPr>
            <w:tcW w:w="1453" w:type="pct"/>
            <w:shd w:val="clear" w:color="auto" w:fill="auto"/>
            <w:noWrap/>
            <w:vAlign w:val="center"/>
          </w:tcPr>
          <w:p w14:paraId="176A5F25" w14:textId="77777777" w:rsidR="00F949B9" w:rsidRPr="00486F2D" w:rsidRDefault="00F949B9" w:rsidP="006019F0">
            <w:pPr>
              <w:spacing w:after="0" w:line="240" w:lineRule="auto"/>
              <w:rPr>
                <w:rFonts w:ascii="Times New Roman" w:hAnsi="Times New Roman" w:cs="Times New Roman"/>
                <w:sz w:val="16"/>
                <w:szCs w:val="16"/>
                <w:lang w:val="en-US" w:eastAsia="nl-NL"/>
              </w:rPr>
            </w:pPr>
            <w:r w:rsidRPr="00486F2D">
              <w:rPr>
                <w:rFonts w:ascii="Times New Roman" w:hAnsi="Times New Roman" w:cs="Times New Roman"/>
                <w:sz w:val="16"/>
                <w:szCs w:val="16"/>
                <w:lang w:val="en-US" w:eastAsia="nl-NL"/>
              </w:rPr>
              <w:t>V2: Bond book-to-market</w:t>
            </w:r>
          </w:p>
        </w:tc>
        <w:tc>
          <w:tcPr>
            <w:tcW w:w="395" w:type="pct"/>
            <w:shd w:val="clear" w:color="auto" w:fill="auto"/>
            <w:noWrap/>
            <w:vAlign w:val="center"/>
          </w:tcPr>
          <w:p w14:paraId="66D0CAE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2.09</w:t>
            </w:r>
          </w:p>
        </w:tc>
        <w:tc>
          <w:tcPr>
            <w:tcW w:w="395" w:type="pct"/>
            <w:shd w:val="clear" w:color="auto" w:fill="auto"/>
            <w:noWrap/>
            <w:vAlign w:val="center"/>
          </w:tcPr>
          <w:p w14:paraId="7305168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8.13</w:t>
            </w:r>
          </w:p>
        </w:tc>
        <w:tc>
          <w:tcPr>
            <w:tcW w:w="395" w:type="pct"/>
            <w:shd w:val="clear" w:color="auto" w:fill="auto"/>
            <w:noWrap/>
            <w:vAlign w:val="center"/>
          </w:tcPr>
          <w:p w14:paraId="253DF044"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0.26</w:t>
            </w:r>
          </w:p>
        </w:tc>
        <w:tc>
          <w:tcPr>
            <w:tcW w:w="421" w:type="pct"/>
            <w:shd w:val="clear" w:color="auto" w:fill="auto"/>
            <w:noWrap/>
            <w:vAlign w:val="center"/>
          </w:tcPr>
          <w:p w14:paraId="5437359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1.21*</w:t>
            </w:r>
          </w:p>
        </w:tc>
        <w:tc>
          <w:tcPr>
            <w:tcW w:w="87" w:type="pct"/>
            <w:shd w:val="clear" w:color="auto" w:fill="auto"/>
            <w:vAlign w:val="center"/>
          </w:tcPr>
          <w:p w14:paraId="651000B4"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31F7D63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7.99</w:t>
            </w:r>
          </w:p>
        </w:tc>
        <w:tc>
          <w:tcPr>
            <w:tcW w:w="471" w:type="pct"/>
            <w:shd w:val="clear" w:color="auto" w:fill="auto"/>
            <w:vAlign w:val="center"/>
          </w:tcPr>
          <w:p w14:paraId="0BE24AF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21.45</w:t>
            </w:r>
          </w:p>
        </w:tc>
        <w:tc>
          <w:tcPr>
            <w:tcW w:w="471" w:type="pct"/>
            <w:shd w:val="clear" w:color="auto" w:fill="auto"/>
            <w:vAlign w:val="center"/>
          </w:tcPr>
          <w:p w14:paraId="036180D4"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0.37</w:t>
            </w:r>
          </w:p>
        </w:tc>
        <w:tc>
          <w:tcPr>
            <w:tcW w:w="472" w:type="pct"/>
            <w:shd w:val="clear" w:color="auto" w:fill="auto"/>
            <w:vAlign w:val="center"/>
          </w:tcPr>
          <w:p w14:paraId="4E97FBD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3.70*</w:t>
            </w:r>
          </w:p>
        </w:tc>
      </w:tr>
      <w:tr w:rsidR="00F949B9" w:rsidRPr="00486F2D" w14:paraId="4844464C" w14:textId="77777777" w:rsidTr="006019F0">
        <w:trPr>
          <w:trHeight w:val="227"/>
        </w:trPr>
        <w:tc>
          <w:tcPr>
            <w:tcW w:w="1453" w:type="pct"/>
            <w:shd w:val="clear" w:color="auto" w:fill="auto"/>
            <w:noWrap/>
            <w:vAlign w:val="center"/>
          </w:tcPr>
          <w:p w14:paraId="7BFE4AE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658B9F2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3866BB3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582A2C5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64F2DD64"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5424277C"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0A0B97F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79D0AE7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55C335F2"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3CF96FD6"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42F782A4" w14:textId="77777777" w:rsidTr="006019F0">
        <w:trPr>
          <w:trHeight w:val="227"/>
        </w:trPr>
        <w:tc>
          <w:tcPr>
            <w:tcW w:w="1453" w:type="pct"/>
            <w:shd w:val="clear" w:color="auto" w:fill="auto"/>
            <w:noWrap/>
            <w:vAlign w:val="center"/>
          </w:tcPr>
          <w:p w14:paraId="7E49BE7A" w14:textId="77777777" w:rsidR="00F949B9" w:rsidRPr="00051CAE" w:rsidRDefault="00F949B9" w:rsidP="006019F0">
            <w:pPr>
              <w:spacing w:after="0" w:line="240" w:lineRule="auto"/>
              <w:rPr>
                <w:rFonts w:ascii="Times New Roman" w:hAnsi="Times New Roman" w:cs="Times New Roman"/>
                <w:i/>
                <w:sz w:val="16"/>
                <w:szCs w:val="16"/>
                <w:lang w:eastAsia="nl-NL"/>
              </w:rPr>
            </w:pPr>
            <w:r w:rsidRPr="00051CAE">
              <w:rPr>
                <w:rFonts w:ascii="Times New Roman" w:hAnsi="Times New Roman" w:cs="Times New Roman"/>
                <w:i/>
                <w:sz w:val="16"/>
                <w:szCs w:val="16"/>
                <w:lang w:eastAsia="nl-NL"/>
              </w:rPr>
              <w:t>D. Momentum</w:t>
            </w:r>
          </w:p>
        </w:tc>
        <w:tc>
          <w:tcPr>
            <w:tcW w:w="395" w:type="pct"/>
            <w:shd w:val="clear" w:color="auto" w:fill="auto"/>
            <w:noWrap/>
            <w:vAlign w:val="center"/>
          </w:tcPr>
          <w:p w14:paraId="6E1D4B99"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74EA2164"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5510006C"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61ED1C4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6061CE77"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233A97CE"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19DE74E2"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0636BAAD"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7CA437A4"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65DEEE52" w14:textId="77777777" w:rsidTr="006019F0">
        <w:trPr>
          <w:trHeight w:val="227"/>
        </w:trPr>
        <w:tc>
          <w:tcPr>
            <w:tcW w:w="1453" w:type="pct"/>
            <w:shd w:val="clear" w:color="auto" w:fill="auto"/>
            <w:noWrap/>
            <w:vAlign w:val="center"/>
          </w:tcPr>
          <w:p w14:paraId="2C5BB55B"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M0: 6</w:t>
            </w:r>
            <w:r>
              <w:rPr>
                <w:rFonts w:ascii="Times New Roman" w:hAnsi="Times New Roman" w:cs="Times New Roman"/>
                <w:sz w:val="16"/>
                <w:szCs w:val="16"/>
                <w:lang w:eastAsia="nl-NL"/>
              </w:rPr>
              <w:t xml:space="preserve"> M</w:t>
            </w:r>
            <w:r w:rsidRPr="00486F2D">
              <w:rPr>
                <w:rFonts w:ascii="Times New Roman" w:hAnsi="Times New Roman" w:cs="Times New Roman"/>
                <w:sz w:val="16"/>
                <w:szCs w:val="16"/>
                <w:lang w:eastAsia="nl-NL"/>
              </w:rPr>
              <w:t>onth</w:t>
            </w:r>
            <w:r>
              <w:rPr>
                <w:rFonts w:ascii="Times New Roman" w:hAnsi="Times New Roman" w:cs="Times New Roman"/>
                <w:sz w:val="16"/>
                <w:szCs w:val="16"/>
                <w:lang w:eastAsia="nl-NL"/>
              </w:rPr>
              <w:t>s</w:t>
            </w:r>
          </w:p>
        </w:tc>
        <w:tc>
          <w:tcPr>
            <w:tcW w:w="395" w:type="pct"/>
            <w:shd w:val="clear" w:color="auto" w:fill="auto"/>
            <w:noWrap/>
            <w:vAlign w:val="center"/>
          </w:tcPr>
          <w:p w14:paraId="55492D7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0.80%</w:t>
            </w:r>
          </w:p>
        </w:tc>
        <w:tc>
          <w:tcPr>
            <w:tcW w:w="395" w:type="pct"/>
            <w:shd w:val="clear" w:color="auto" w:fill="auto"/>
            <w:noWrap/>
            <w:vAlign w:val="center"/>
          </w:tcPr>
          <w:p w14:paraId="7362EE8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4.32%</w:t>
            </w:r>
          </w:p>
        </w:tc>
        <w:tc>
          <w:tcPr>
            <w:tcW w:w="395" w:type="pct"/>
            <w:shd w:val="clear" w:color="auto" w:fill="auto"/>
            <w:noWrap/>
            <w:vAlign w:val="center"/>
          </w:tcPr>
          <w:p w14:paraId="35665E6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0.19</w:t>
            </w:r>
          </w:p>
        </w:tc>
        <w:tc>
          <w:tcPr>
            <w:tcW w:w="421" w:type="pct"/>
            <w:shd w:val="clear" w:color="auto" w:fill="auto"/>
            <w:noWrap/>
            <w:vAlign w:val="center"/>
          </w:tcPr>
          <w:p w14:paraId="334084D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0.35%</w:t>
            </w:r>
          </w:p>
        </w:tc>
        <w:tc>
          <w:tcPr>
            <w:tcW w:w="87" w:type="pct"/>
            <w:shd w:val="clear" w:color="auto" w:fill="auto"/>
            <w:vAlign w:val="center"/>
          </w:tcPr>
          <w:p w14:paraId="4D34E367"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0104C23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4.37%</w:t>
            </w:r>
          </w:p>
        </w:tc>
        <w:tc>
          <w:tcPr>
            <w:tcW w:w="471" w:type="pct"/>
            <w:shd w:val="clear" w:color="auto" w:fill="auto"/>
            <w:vAlign w:val="center"/>
          </w:tcPr>
          <w:p w14:paraId="2E9B324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10.29%</w:t>
            </w:r>
          </w:p>
        </w:tc>
        <w:tc>
          <w:tcPr>
            <w:tcW w:w="471" w:type="pct"/>
            <w:shd w:val="clear" w:color="auto" w:fill="auto"/>
            <w:vAlign w:val="center"/>
          </w:tcPr>
          <w:p w14:paraId="12E4FBDB"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0.42*</w:t>
            </w:r>
          </w:p>
        </w:tc>
        <w:tc>
          <w:tcPr>
            <w:tcW w:w="472" w:type="pct"/>
            <w:shd w:val="clear" w:color="auto" w:fill="auto"/>
            <w:vAlign w:val="center"/>
          </w:tcPr>
          <w:p w14:paraId="759EBDA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2.15%*</w:t>
            </w:r>
          </w:p>
        </w:tc>
      </w:tr>
      <w:tr w:rsidR="00F949B9" w:rsidRPr="00486F2D" w14:paraId="4DF98308" w14:textId="77777777" w:rsidTr="006019F0">
        <w:trPr>
          <w:trHeight w:val="227"/>
        </w:trPr>
        <w:tc>
          <w:tcPr>
            <w:tcW w:w="1453" w:type="pct"/>
            <w:shd w:val="clear" w:color="auto" w:fill="auto"/>
            <w:noWrap/>
            <w:vAlign w:val="center"/>
          </w:tcPr>
          <w:p w14:paraId="3469B40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M1: 3</w:t>
            </w:r>
            <w:r>
              <w:rPr>
                <w:rFonts w:ascii="Times New Roman" w:hAnsi="Times New Roman" w:cs="Times New Roman"/>
                <w:sz w:val="16"/>
                <w:szCs w:val="16"/>
                <w:lang w:eastAsia="nl-NL"/>
              </w:rPr>
              <w:t xml:space="preserve"> M</w:t>
            </w:r>
            <w:r w:rsidRPr="00486F2D">
              <w:rPr>
                <w:rFonts w:ascii="Times New Roman" w:hAnsi="Times New Roman" w:cs="Times New Roman"/>
                <w:sz w:val="16"/>
                <w:szCs w:val="16"/>
                <w:lang w:eastAsia="nl-NL"/>
              </w:rPr>
              <w:t>onth</w:t>
            </w:r>
            <w:r>
              <w:rPr>
                <w:rFonts w:ascii="Times New Roman" w:hAnsi="Times New Roman" w:cs="Times New Roman"/>
                <w:sz w:val="16"/>
                <w:szCs w:val="16"/>
                <w:lang w:eastAsia="nl-NL"/>
              </w:rPr>
              <w:t>s</w:t>
            </w:r>
          </w:p>
        </w:tc>
        <w:tc>
          <w:tcPr>
            <w:tcW w:w="395" w:type="pct"/>
            <w:shd w:val="clear" w:color="auto" w:fill="auto"/>
            <w:noWrap/>
            <w:vAlign w:val="center"/>
          </w:tcPr>
          <w:p w14:paraId="562B59A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1.04</w:t>
            </w:r>
          </w:p>
        </w:tc>
        <w:tc>
          <w:tcPr>
            <w:tcW w:w="395" w:type="pct"/>
            <w:shd w:val="clear" w:color="auto" w:fill="auto"/>
            <w:noWrap/>
            <w:vAlign w:val="center"/>
          </w:tcPr>
          <w:p w14:paraId="581AA2C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4.99</w:t>
            </w:r>
          </w:p>
        </w:tc>
        <w:tc>
          <w:tcPr>
            <w:tcW w:w="395" w:type="pct"/>
            <w:shd w:val="clear" w:color="auto" w:fill="auto"/>
            <w:noWrap/>
            <w:vAlign w:val="center"/>
          </w:tcPr>
          <w:p w14:paraId="10E44B1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0.21</w:t>
            </w:r>
          </w:p>
        </w:tc>
        <w:tc>
          <w:tcPr>
            <w:tcW w:w="421" w:type="pct"/>
            <w:shd w:val="clear" w:color="auto" w:fill="auto"/>
            <w:noWrap/>
            <w:vAlign w:val="center"/>
          </w:tcPr>
          <w:p w14:paraId="2122A40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0.50*</w:t>
            </w:r>
          </w:p>
        </w:tc>
        <w:tc>
          <w:tcPr>
            <w:tcW w:w="87" w:type="pct"/>
            <w:shd w:val="clear" w:color="auto" w:fill="auto"/>
            <w:vAlign w:val="center"/>
          </w:tcPr>
          <w:p w14:paraId="48FB6A1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70230F5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4.78</w:t>
            </w:r>
          </w:p>
        </w:tc>
        <w:tc>
          <w:tcPr>
            <w:tcW w:w="471" w:type="pct"/>
            <w:shd w:val="clear" w:color="auto" w:fill="auto"/>
            <w:vAlign w:val="center"/>
          </w:tcPr>
          <w:p w14:paraId="0C103B8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11.16</w:t>
            </w:r>
          </w:p>
        </w:tc>
        <w:tc>
          <w:tcPr>
            <w:tcW w:w="471" w:type="pct"/>
            <w:shd w:val="clear" w:color="auto" w:fill="auto"/>
            <w:vAlign w:val="center"/>
          </w:tcPr>
          <w:p w14:paraId="65C9338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0.43**</w:t>
            </w:r>
          </w:p>
        </w:tc>
        <w:tc>
          <w:tcPr>
            <w:tcW w:w="472" w:type="pct"/>
            <w:shd w:val="clear" w:color="auto" w:fill="auto"/>
            <w:vAlign w:val="center"/>
          </w:tcPr>
          <w:p w14:paraId="72CA17A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2.35*</w:t>
            </w:r>
          </w:p>
        </w:tc>
      </w:tr>
      <w:tr w:rsidR="00F949B9" w:rsidRPr="00486F2D" w14:paraId="6C13C107" w14:textId="77777777" w:rsidTr="006019F0">
        <w:trPr>
          <w:trHeight w:val="227"/>
        </w:trPr>
        <w:tc>
          <w:tcPr>
            <w:tcW w:w="1453" w:type="pct"/>
            <w:shd w:val="clear" w:color="auto" w:fill="auto"/>
            <w:noWrap/>
            <w:vAlign w:val="center"/>
          </w:tcPr>
          <w:p w14:paraId="7824BA5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M2: 9</w:t>
            </w:r>
            <w:r>
              <w:rPr>
                <w:rFonts w:ascii="Times New Roman" w:hAnsi="Times New Roman" w:cs="Times New Roman"/>
                <w:sz w:val="16"/>
                <w:szCs w:val="16"/>
                <w:lang w:eastAsia="nl-NL"/>
              </w:rPr>
              <w:t xml:space="preserve"> M</w:t>
            </w:r>
            <w:r w:rsidRPr="00486F2D">
              <w:rPr>
                <w:rFonts w:ascii="Times New Roman" w:hAnsi="Times New Roman" w:cs="Times New Roman"/>
                <w:sz w:val="16"/>
                <w:szCs w:val="16"/>
                <w:lang w:eastAsia="nl-NL"/>
              </w:rPr>
              <w:t>onth</w:t>
            </w:r>
            <w:r>
              <w:rPr>
                <w:rFonts w:ascii="Times New Roman" w:hAnsi="Times New Roman" w:cs="Times New Roman"/>
                <w:sz w:val="16"/>
                <w:szCs w:val="16"/>
                <w:lang w:eastAsia="nl-NL"/>
              </w:rPr>
              <w:t>s</w:t>
            </w:r>
          </w:p>
        </w:tc>
        <w:tc>
          <w:tcPr>
            <w:tcW w:w="395" w:type="pct"/>
            <w:shd w:val="clear" w:color="auto" w:fill="auto"/>
            <w:noWrap/>
            <w:vAlign w:val="center"/>
          </w:tcPr>
          <w:p w14:paraId="340EC10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0.53</w:t>
            </w:r>
          </w:p>
        </w:tc>
        <w:tc>
          <w:tcPr>
            <w:tcW w:w="395" w:type="pct"/>
            <w:shd w:val="clear" w:color="auto" w:fill="auto"/>
            <w:noWrap/>
            <w:vAlign w:val="center"/>
          </w:tcPr>
          <w:p w14:paraId="350F0BD2"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3.92</w:t>
            </w:r>
          </w:p>
        </w:tc>
        <w:tc>
          <w:tcPr>
            <w:tcW w:w="395" w:type="pct"/>
            <w:shd w:val="clear" w:color="auto" w:fill="auto"/>
            <w:noWrap/>
            <w:vAlign w:val="center"/>
          </w:tcPr>
          <w:p w14:paraId="1D454392"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0.13</w:t>
            </w:r>
          </w:p>
        </w:tc>
        <w:tc>
          <w:tcPr>
            <w:tcW w:w="421" w:type="pct"/>
            <w:shd w:val="clear" w:color="auto" w:fill="auto"/>
            <w:noWrap/>
            <w:vAlign w:val="center"/>
          </w:tcPr>
          <w:p w14:paraId="053DE812"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0.14</w:t>
            </w:r>
          </w:p>
        </w:tc>
        <w:tc>
          <w:tcPr>
            <w:tcW w:w="87" w:type="pct"/>
            <w:shd w:val="clear" w:color="auto" w:fill="auto"/>
            <w:vAlign w:val="center"/>
          </w:tcPr>
          <w:p w14:paraId="32FCBE93"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2527E48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3.54</w:t>
            </w:r>
          </w:p>
        </w:tc>
        <w:tc>
          <w:tcPr>
            <w:tcW w:w="471" w:type="pct"/>
            <w:shd w:val="clear" w:color="auto" w:fill="auto"/>
            <w:vAlign w:val="center"/>
          </w:tcPr>
          <w:p w14:paraId="06778BDB"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9.60</w:t>
            </w:r>
          </w:p>
        </w:tc>
        <w:tc>
          <w:tcPr>
            <w:tcW w:w="471" w:type="pct"/>
            <w:shd w:val="clear" w:color="auto" w:fill="auto"/>
            <w:vAlign w:val="center"/>
          </w:tcPr>
          <w:p w14:paraId="333CFE7E"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0.37</w:t>
            </w:r>
          </w:p>
        </w:tc>
        <w:tc>
          <w:tcPr>
            <w:tcW w:w="472" w:type="pct"/>
            <w:shd w:val="clear" w:color="auto" w:fill="auto"/>
            <w:vAlign w:val="center"/>
          </w:tcPr>
          <w:p w14:paraId="45FBE88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1.52</w:t>
            </w:r>
          </w:p>
        </w:tc>
      </w:tr>
      <w:tr w:rsidR="00F949B9" w:rsidRPr="00486F2D" w14:paraId="524124E5" w14:textId="77777777" w:rsidTr="006019F0">
        <w:trPr>
          <w:trHeight w:val="227"/>
        </w:trPr>
        <w:tc>
          <w:tcPr>
            <w:tcW w:w="1453" w:type="pct"/>
            <w:shd w:val="clear" w:color="auto" w:fill="auto"/>
            <w:noWrap/>
            <w:vAlign w:val="center"/>
          </w:tcPr>
          <w:p w14:paraId="4CE128C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M3: 12</w:t>
            </w:r>
            <w:r>
              <w:rPr>
                <w:rFonts w:ascii="Times New Roman" w:hAnsi="Times New Roman" w:cs="Times New Roman"/>
                <w:sz w:val="16"/>
                <w:szCs w:val="16"/>
                <w:lang w:eastAsia="nl-NL"/>
              </w:rPr>
              <w:t xml:space="preserve"> M</w:t>
            </w:r>
            <w:r w:rsidRPr="00486F2D">
              <w:rPr>
                <w:rFonts w:ascii="Times New Roman" w:hAnsi="Times New Roman" w:cs="Times New Roman"/>
                <w:sz w:val="16"/>
                <w:szCs w:val="16"/>
                <w:lang w:eastAsia="nl-NL"/>
              </w:rPr>
              <w:t>onth</w:t>
            </w:r>
            <w:r>
              <w:rPr>
                <w:rFonts w:ascii="Times New Roman" w:hAnsi="Times New Roman" w:cs="Times New Roman"/>
                <w:sz w:val="16"/>
                <w:szCs w:val="16"/>
                <w:lang w:eastAsia="nl-NL"/>
              </w:rPr>
              <w:t>s</w:t>
            </w:r>
          </w:p>
        </w:tc>
        <w:tc>
          <w:tcPr>
            <w:tcW w:w="395" w:type="pct"/>
            <w:shd w:val="clear" w:color="auto" w:fill="auto"/>
            <w:noWrap/>
            <w:vAlign w:val="center"/>
          </w:tcPr>
          <w:p w14:paraId="74E5F7E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0.34</w:t>
            </w:r>
          </w:p>
        </w:tc>
        <w:tc>
          <w:tcPr>
            <w:tcW w:w="395" w:type="pct"/>
            <w:shd w:val="clear" w:color="auto" w:fill="auto"/>
            <w:noWrap/>
            <w:vAlign w:val="center"/>
          </w:tcPr>
          <w:p w14:paraId="3563B60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3.84</w:t>
            </w:r>
          </w:p>
        </w:tc>
        <w:tc>
          <w:tcPr>
            <w:tcW w:w="395" w:type="pct"/>
            <w:shd w:val="clear" w:color="auto" w:fill="auto"/>
            <w:noWrap/>
            <w:vAlign w:val="center"/>
          </w:tcPr>
          <w:p w14:paraId="4D4A05A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0.09</w:t>
            </w:r>
          </w:p>
        </w:tc>
        <w:tc>
          <w:tcPr>
            <w:tcW w:w="421" w:type="pct"/>
            <w:shd w:val="clear" w:color="auto" w:fill="auto"/>
            <w:noWrap/>
            <w:vAlign w:val="center"/>
          </w:tcPr>
          <w:p w14:paraId="2BC6ACFC" w14:textId="77777777" w:rsidR="00F949B9" w:rsidRPr="00486F2D" w:rsidRDefault="00F949B9" w:rsidP="006019F0">
            <w:pPr>
              <w:spacing w:after="0" w:line="240" w:lineRule="auto"/>
              <w:rPr>
                <w:rFonts w:ascii="Times New Roman" w:hAnsi="Times New Roman" w:cs="Times New Roman"/>
                <w:sz w:val="16"/>
                <w:szCs w:val="16"/>
                <w:lang w:eastAsia="nl-NL"/>
              </w:rPr>
            </w:pPr>
            <w:r>
              <w:rPr>
                <w:rFonts w:ascii="Times New Roman" w:hAnsi="Times New Roman" w:cs="Times New Roman"/>
                <w:sz w:val="16"/>
                <w:szCs w:val="16"/>
                <w:lang w:eastAsia="nl-NL"/>
              </w:rPr>
              <w:t>–</w:t>
            </w:r>
            <w:r w:rsidRPr="00486F2D">
              <w:rPr>
                <w:rFonts w:ascii="Times New Roman" w:hAnsi="Times New Roman" w:cs="Times New Roman"/>
                <w:sz w:val="16"/>
                <w:szCs w:val="16"/>
                <w:lang w:eastAsia="nl-NL"/>
              </w:rPr>
              <w:t>0.04</w:t>
            </w:r>
          </w:p>
        </w:tc>
        <w:tc>
          <w:tcPr>
            <w:tcW w:w="87" w:type="pct"/>
            <w:shd w:val="clear" w:color="auto" w:fill="auto"/>
            <w:vAlign w:val="center"/>
          </w:tcPr>
          <w:p w14:paraId="7FE6FB9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5B4DB01B"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2.75</w:t>
            </w:r>
          </w:p>
        </w:tc>
        <w:tc>
          <w:tcPr>
            <w:tcW w:w="471" w:type="pct"/>
            <w:shd w:val="clear" w:color="auto" w:fill="auto"/>
            <w:vAlign w:val="center"/>
          </w:tcPr>
          <w:p w14:paraId="4E69F21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9.40</w:t>
            </w:r>
          </w:p>
        </w:tc>
        <w:tc>
          <w:tcPr>
            <w:tcW w:w="471" w:type="pct"/>
            <w:shd w:val="clear" w:color="auto" w:fill="auto"/>
            <w:vAlign w:val="center"/>
          </w:tcPr>
          <w:p w14:paraId="517A61D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0.29</w:t>
            </w:r>
          </w:p>
        </w:tc>
        <w:tc>
          <w:tcPr>
            <w:tcW w:w="472" w:type="pct"/>
            <w:shd w:val="clear" w:color="auto" w:fill="auto"/>
            <w:vAlign w:val="center"/>
          </w:tcPr>
          <w:p w14:paraId="5F0808A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0.78</w:t>
            </w:r>
          </w:p>
        </w:tc>
      </w:tr>
      <w:tr w:rsidR="00F949B9" w:rsidRPr="00486F2D" w14:paraId="2AE715A4" w14:textId="77777777" w:rsidTr="006019F0">
        <w:trPr>
          <w:trHeight w:val="227"/>
        </w:trPr>
        <w:tc>
          <w:tcPr>
            <w:tcW w:w="1453" w:type="pct"/>
            <w:shd w:val="clear" w:color="auto" w:fill="auto"/>
            <w:noWrap/>
            <w:vAlign w:val="center"/>
          </w:tcPr>
          <w:p w14:paraId="2831357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02DBF823"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4BCB0026"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45D19CCE"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15796401"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6CFE33AE"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6F1198B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111B8928"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686988B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33ADBAE1"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18733744" w14:textId="77777777" w:rsidTr="006019F0">
        <w:trPr>
          <w:trHeight w:val="227"/>
        </w:trPr>
        <w:tc>
          <w:tcPr>
            <w:tcW w:w="1453" w:type="pct"/>
            <w:shd w:val="clear" w:color="auto" w:fill="auto"/>
            <w:noWrap/>
            <w:vAlign w:val="center"/>
          </w:tcPr>
          <w:p w14:paraId="7E360E7D" w14:textId="77777777" w:rsidR="00F949B9" w:rsidRPr="00051CAE" w:rsidRDefault="00F949B9" w:rsidP="006019F0">
            <w:pPr>
              <w:spacing w:after="0" w:line="240" w:lineRule="auto"/>
              <w:rPr>
                <w:rFonts w:ascii="Times New Roman" w:hAnsi="Times New Roman" w:cs="Times New Roman"/>
                <w:i/>
                <w:sz w:val="16"/>
                <w:szCs w:val="16"/>
                <w:lang w:eastAsia="nl-NL"/>
              </w:rPr>
            </w:pPr>
            <w:r w:rsidRPr="00051CAE">
              <w:rPr>
                <w:rFonts w:ascii="Times New Roman" w:hAnsi="Times New Roman" w:cs="Times New Roman"/>
                <w:i/>
                <w:sz w:val="16"/>
                <w:szCs w:val="16"/>
                <w:lang w:eastAsia="nl-NL"/>
              </w:rPr>
              <w:t>E. Equity definitions</w:t>
            </w:r>
          </w:p>
        </w:tc>
        <w:tc>
          <w:tcPr>
            <w:tcW w:w="395" w:type="pct"/>
            <w:shd w:val="clear" w:color="auto" w:fill="auto"/>
            <w:noWrap/>
            <w:vAlign w:val="center"/>
          </w:tcPr>
          <w:p w14:paraId="7AD6D069"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1E0647DB"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395" w:type="pct"/>
            <w:shd w:val="clear" w:color="auto" w:fill="auto"/>
            <w:noWrap/>
            <w:vAlign w:val="center"/>
          </w:tcPr>
          <w:p w14:paraId="71FF4BD6"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21" w:type="pct"/>
            <w:shd w:val="clear" w:color="auto" w:fill="auto"/>
            <w:noWrap/>
            <w:vAlign w:val="center"/>
          </w:tcPr>
          <w:p w14:paraId="6A0D422E"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87" w:type="pct"/>
            <w:shd w:val="clear" w:color="auto" w:fill="auto"/>
            <w:vAlign w:val="center"/>
          </w:tcPr>
          <w:p w14:paraId="19B0DF37"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3170082A"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31F5FC2A"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1" w:type="pct"/>
            <w:shd w:val="clear" w:color="auto" w:fill="auto"/>
            <w:vAlign w:val="center"/>
          </w:tcPr>
          <w:p w14:paraId="44D7A6FB"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72" w:type="pct"/>
            <w:shd w:val="clear" w:color="auto" w:fill="auto"/>
            <w:vAlign w:val="center"/>
          </w:tcPr>
          <w:p w14:paraId="202DCF37" w14:textId="77777777" w:rsidR="00F949B9" w:rsidRPr="00486F2D" w:rsidRDefault="00F949B9" w:rsidP="006019F0">
            <w:pPr>
              <w:spacing w:after="0" w:line="240" w:lineRule="auto"/>
              <w:rPr>
                <w:rFonts w:ascii="Times New Roman" w:hAnsi="Times New Roman" w:cs="Times New Roman"/>
                <w:sz w:val="16"/>
                <w:szCs w:val="16"/>
                <w:lang w:eastAsia="nl-NL"/>
              </w:rPr>
            </w:pPr>
          </w:p>
        </w:tc>
      </w:tr>
      <w:tr w:rsidR="00F949B9" w:rsidRPr="00486F2D" w14:paraId="57B6ABFD" w14:textId="77777777" w:rsidTr="006019F0">
        <w:trPr>
          <w:trHeight w:val="227"/>
        </w:trPr>
        <w:tc>
          <w:tcPr>
            <w:tcW w:w="1453" w:type="pct"/>
            <w:shd w:val="clear" w:color="auto" w:fill="auto"/>
            <w:noWrap/>
            <w:vAlign w:val="center"/>
          </w:tcPr>
          <w:p w14:paraId="171BEDB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 xml:space="preserve">Size: </w:t>
            </w:r>
            <w:r>
              <w:rPr>
                <w:rFonts w:ascii="Times New Roman" w:hAnsi="Times New Roman" w:cs="Times New Roman"/>
                <w:sz w:val="16"/>
                <w:szCs w:val="16"/>
                <w:lang w:eastAsia="nl-NL"/>
              </w:rPr>
              <w:t>E</w:t>
            </w:r>
            <w:r w:rsidRPr="00486F2D">
              <w:rPr>
                <w:rFonts w:ascii="Times New Roman" w:hAnsi="Times New Roman" w:cs="Times New Roman"/>
                <w:sz w:val="16"/>
                <w:szCs w:val="16"/>
                <w:lang w:eastAsia="nl-NL"/>
              </w:rPr>
              <w:t xml:space="preserve">quity market cap </w:t>
            </w:r>
          </w:p>
        </w:tc>
        <w:tc>
          <w:tcPr>
            <w:tcW w:w="395" w:type="pct"/>
            <w:shd w:val="clear" w:color="auto" w:fill="auto"/>
            <w:noWrap/>
            <w:vAlign w:val="center"/>
          </w:tcPr>
          <w:p w14:paraId="257B604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1.33%</w:t>
            </w:r>
          </w:p>
        </w:tc>
        <w:tc>
          <w:tcPr>
            <w:tcW w:w="395" w:type="pct"/>
            <w:shd w:val="clear" w:color="auto" w:fill="auto"/>
            <w:noWrap/>
            <w:vAlign w:val="center"/>
          </w:tcPr>
          <w:p w14:paraId="0929FCC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4.73%</w:t>
            </w:r>
          </w:p>
        </w:tc>
        <w:tc>
          <w:tcPr>
            <w:tcW w:w="395" w:type="pct"/>
            <w:shd w:val="clear" w:color="auto" w:fill="auto"/>
            <w:noWrap/>
            <w:vAlign w:val="center"/>
          </w:tcPr>
          <w:p w14:paraId="2AD34ED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0.28</w:t>
            </w:r>
          </w:p>
        </w:tc>
        <w:tc>
          <w:tcPr>
            <w:tcW w:w="421" w:type="pct"/>
            <w:shd w:val="clear" w:color="auto" w:fill="auto"/>
            <w:noWrap/>
            <w:vAlign w:val="center"/>
          </w:tcPr>
          <w:p w14:paraId="07843AD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0.85%</w:t>
            </w:r>
          </w:p>
        </w:tc>
        <w:tc>
          <w:tcPr>
            <w:tcW w:w="87" w:type="pct"/>
            <w:shd w:val="clear" w:color="auto" w:fill="auto"/>
            <w:vAlign w:val="center"/>
          </w:tcPr>
          <w:p w14:paraId="76D20E7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7380D1B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5.11%</w:t>
            </w:r>
          </w:p>
        </w:tc>
        <w:tc>
          <w:tcPr>
            <w:tcW w:w="471" w:type="pct"/>
            <w:shd w:val="clear" w:color="auto" w:fill="auto"/>
            <w:vAlign w:val="center"/>
          </w:tcPr>
          <w:p w14:paraId="2FF9B956"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14.24%</w:t>
            </w:r>
          </w:p>
        </w:tc>
        <w:tc>
          <w:tcPr>
            <w:tcW w:w="471" w:type="pct"/>
            <w:shd w:val="clear" w:color="auto" w:fill="auto"/>
            <w:vAlign w:val="center"/>
          </w:tcPr>
          <w:p w14:paraId="1A47F515"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0.36</w:t>
            </w:r>
          </w:p>
        </w:tc>
        <w:tc>
          <w:tcPr>
            <w:tcW w:w="472" w:type="pct"/>
            <w:shd w:val="clear" w:color="auto" w:fill="auto"/>
            <w:vAlign w:val="center"/>
          </w:tcPr>
          <w:p w14:paraId="5591DC2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2.42%</w:t>
            </w:r>
          </w:p>
        </w:tc>
      </w:tr>
      <w:tr w:rsidR="00F949B9" w:rsidRPr="00486F2D" w14:paraId="37F99AC1" w14:textId="77777777" w:rsidTr="006019F0">
        <w:trPr>
          <w:trHeight w:val="227"/>
        </w:trPr>
        <w:tc>
          <w:tcPr>
            <w:tcW w:w="1453" w:type="pct"/>
            <w:shd w:val="clear" w:color="auto" w:fill="auto"/>
            <w:noWrap/>
            <w:vAlign w:val="center"/>
          </w:tcPr>
          <w:p w14:paraId="15F0E62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Low</w:t>
            </w:r>
            <w:r>
              <w:rPr>
                <w:rFonts w:ascii="Times New Roman" w:hAnsi="Times New Roman" w:cs="Times New Roman"/>
                <w:sz w:val="16"/>
                <w:szCs w:val="16"/>
                <w:lang w:eastAsia="nl-NL"/>
              </w:rPr>
              <w:t xml:space="preserve"> r</w:t>
            </w:r>
            <w:r w:rsidRPr="00486F2D">
              <w:rPr>
                <w:rFonts w:ascii="Times New Roman" w:hAnsi="Times New Roman" w:cs="Times New Roman"/>
                <w:sz w:val="16"/>
                <w:szCs w:val="16"/>
                <w:lang w:eastAsia="nl-NL"/>
              </w:rPr>
              <w:t xml:space="preserve">isk: </w:t>
            </w:r>
            <w:r>
              <w:rPr>
                <w:rFonts w:ascii="Times New Roman" w:hAnsi="Times New Roman" w:cs="Times New Roman"/>
                <w:sz w:val="16"/>
                <w:szCs w:val="16"/>
                <w:lang w:eastAsia="nl-NL"/>
              </w:rPr>
              <w:t>E</w:t>
            </w:r>
            <w:r w:rsidRPr="00486F2D">
              <w:rPr>
                <w:rFonts w:ascii="Times New Roman" w:hAnsi="Times New Roman" w:cs="Times New Roman"/>
                <w:sz w:val="16"/>
                <w:szCs w:val="16"/>
                <w:lang w:eastAsia="nl-NL"/>
              </w:rPr>
              <w:t>quity volatility</w:t>
            </w:r>
          </w:p>
        </w:tc>
        <w:tc>
          <w:tcPr>
            <w:tcW w:w="395" w:type="pct"/>
            <w:shd w:val="clear" w:color="auto" w:fill="auto"/>
            <w:noWrap/>
            <w:vAlign w:val="center"/>
          </w:tcPr>
          <w:p w14:paraId="55B90B9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0.66</w:t>
            </w:r>
          </w:p>
        </w:tc>
        <w:tc>
          <w:tcPr>
            <w:tcW w:w="395" w:type="pct"/>
            <w:shd w:val="clear" w:color="auto" w:fill="auto"/>
            <w:noWrap/>
            <w:vAlign w:val="center"/>
          </w:tcPr>
          <w:p w14:paraId="36FEF2B4"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3.64</w:t>
            </w:r>
          </w:p>
        </w:tc>
        <w:tc>
          <w:tcPr>
            <w:tcW w:w="395" w:type="pct"/>
            <w:shd w:val="clear" w:color="auto" w:fill="auto"/>
            <w:noWrap/>
            <w:vAlign w:val="center"/>
          </w:tcPr>
          <w:p w14:paraId="6DB1C27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0.18</w:t>
            </w:r>
          </w:p>
        </w:tc>
        <w:tc>
          <w:tcPr>
            <w:tcW w:w="421" w:type="pct"/>
            <w:shd w:val="clear" w:color="auto" w:fill="auto"/>
            <w:noWrap/>
            <w:vAlign w:val="center"/>
          </w:tcPr>
          <w:p w14:paraId="577E890D"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0.28</w:t>
            </w:r>
          </w:p>
        </w:tc>
        <w:tc>
          <w:tcPr>
            <w:tcW w:w="87" w:type="pct"/>
            <w:shd w:val="clear" w:color="auto" w:fill="auto"/>
            <w:vAlign w:val="center"/>
          </w:tcPr>
          <w:p w14:paraId="2C5CA38C"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78FAF3F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2.79</w:t>
            </w:r>
          </w:p>
        </w:tc>
        <w:tc>
          <w:tcPr>
            <w:tcW w:w="471" w:type="pct"/>
            <w:shd w:val="clear" w:color="auto" w:fill="auto"/>
            <w:vAlign w:val="center"/>
          </w:tcPr>
          <w:p w14:paraId="4E6D6CB2"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7.74</w:t>
            </w:r>
          </w:p>
        </w:tc>
        <w:tc>
          <w:tcPr>
            <w:tcW w:w="471" w:type="pct"/>
            <w:shd w:val="clear" w:color="auto" w:fill="auto"/>
            <w:vAlign w:val="center"/>
          </w:tcPr>
          <w:p w14:paraId="56EFC427"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0.36</w:t>
            </w:r>
          </w:p>
        </w:tc>
        <w:tc>
          <w:tcPr>
            <w:tcW w:w="472" w:type="pct"/>
            <w:shd w:val="clear" w:color="auto" w:fill="auto"/>
            <w:vAlign w:val="center"/>
          </w:tcPr>
          <w:p w14:paraId="4744DDB1"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1.18</w:t>
            </w:r>
          </w:p>
        </w:tc>
      </w:tr>
      <w:tr w:rsidR="00F949B9" w:rsidRPr="00486F2D" w14:paraId="68C67A61" w14:textId="77777777" w:rsidTr="006019F0">
        <w:trPr>
          <w:trHeight w:val="227"/>
        </w:trPr>
        <w:tc>
          <w:tcPr>
            <w:tcW w:w="1453" w:type="pct"/>
            <w:shd w:val="clear" w:color="auto" w:fill="auto"/>
            <w:noWrap/>
            <w:vAlign w:val="center"/>
          </w:tcPr>
          <w:p w14:paraId="7DB2B494" w14:textId="77777777" w:rsidR="00F949B9" w:rsidRPr="00486F2D" w:rsidRDefault="00F949B9" w:rsidP="006019F0">
            <w:pPr>
              <w:spacing w:after="0" w:line="240" w:lineRule="auto"/>
              <w:rPr>
                <w:rFonts w:ascii="Times New Roman" w:hAnsi="Times New Roman" w:cs="Times New Roman"/>
                <w:sz w:val="16"/>
                <w:szCs w:val="16"/>
                <w:lang w:val="en-US" w:eastAsia="nl-NL"/>
              </w:rPr>
            </w:pPr>
            <w:r w:rsidRPr="00486F2D">
              <w:rPr>
                <w:rFonts w:ascii="Times New Roman" w:hAnsi="Times New Roman" w:cs="Times New Roman"/>
                <w:sz w:val="16"/>
                <w:szCs w:val="16"/>
                <w:lang w:val="en-US" w:eastAsia="nl-NL"/>
              </w:rPr>
              <w:t xml:space="preserve">Value: </w:t>
            </w:r>
            <w:r>
              <w:rPr>
                <w:rFonts w:ascii="Times New Roman" w:hAnsi="Times New Roman" w:cs="Times New Roman"/>
                <w:sz w:val="16"/>
                <w:szCs w:val="16"/>
                <w:lang w:val="en-US" w:eastAsia="nl-NL"/>
              </w:rPr>
              <w:t>E</w:t>
            </w:r>
            <w:r w:rsidRPr="00486F2D">
              <w:rPr>
                <w:rFonts w:ascii="Times New Roman" w:hAnsi="Times New Roman" w:cs="Times New Roman"/>
                <w:sz w:val="16"/>
                <w:szCs w:val="16"/>
                <w:lang w:val="en-US" w:eastAsia="nl-NL"/>
              </w:rPr>
              <w:t>quity book-to-market</w:t>
            </w:r>
          </w:p>
        </w:tc>
        <w:tc>
          <w:tcPr>
            <w:tcW w:w="395" w:type="pct"/>
            <w:shd w:val="clear" w:color="auto" w:fill="auto"/>
            <w:noWrap/>
            <w:vAlign w:val="center"/>
          </w:tcPr>
          <w:p w14:paraId="4BC68322"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0.97</w:t>
            </w:r>
          </w:p>
        </w:tc>
        <w:tc>
          <w:tcPr>
            <w:tcW w:w="395" w:type="pct"/>
            <w:shd w:val="clear" w:color="auto" w:fill="auto"/>
            <w:noWrap/>
            <w:vAlign w:val="center"/>
          </w:tcPr>
          <w:p w14:paraId="19A1827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7.18</w:t>
            </w:r>
          </w:p>
        </w:tc>
        <w:tc>
          <w:tcPr>
            <w:tcW w:w="395" w:type="pct"/>
            <w:shd w:val="clear" w:color="auto" w:fill="auto"/>
            <w:noWrap/>
            <w:vAlign w:val="center"/>
          </w:tcPr>
          <w:p w14:paraId="64163A1C"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0.13</w:t>
            </w:r>
          </w:p>
        </w:tc>
        <w:tc>
          <w:tcPr>
            <w:tcW w:w="421" w:type="pct"/>
            <w:shd w:val="clear" w:color="auto" w:fill="auto"/>
            <w:noWrap/>
            <w:vAlign w:val="center"/>
          </w:tcPr>
          <w:p w14:paraId="43C0373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0.22</w:t>
            </w:r>
          </w:p>
        </w:tc>
        <w:tc>
          <w:tcPr>
            <w:tcW w:w="87" w:type="pct"/>
            <w:shd w:val="clear" w:color="auto" w:fill="auto"/>
            <w:vAlign w:val="center"/>
          </w:tcPr>
          <w:p w14:paraId="4011FF4F"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shd w:val="clear" w:color="auto" w:fill="auto"/>
            <w:vAlign w:val="center"/>
          </w:tcPr>
          <w:p w14:paraId="0D7C4F7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3.66</w:t>
            </w:r>
          </w:p>
        </w:tc>
        <w:tc>
          <w:tcPr>
            <w:tcW w:w="471" w:type="pct"/>
            <w:shd w:val="clear" w:color="auto" w:fill="auto"/>
            <w:vAlign w:val="center"/>
          </w:tcPr>
          <w:p w14:paraId="75026DC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15.98</w:t>
            </w:r>
          </w:p>
        </w:tc>
        <w:tc>
          <w:tcPr>
            <w:tcW w:w="471" w:type="pct"/>
            <w:shd w:val="clear" w:color="auto" w:fill="auto"/>
            <w:vAlign w:val="center"/>
          </w:tcPr>
          <w:p w14:paraId="793AB020"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0.23</w:t>
            </w:r>
          </w:p>
        </w:tc>
        <w:tc>
          <w:tcPr>
            <w:tcW w:w="472" w:type="pct"/>
            <w:shd w:val="clear" w:color="auto" w:fill="auto"/>
            <w:vAlign w:val="center"/>
          </w:tcPr>
          <w:p w14:paraId="5B83C26B"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0.58</w:t>
            </w:r>
          </w:p>
        </w:tc>
      </w:tr>
      <w:tr w:rsidR="00F949B9" w:rsidRPr="00486F2D" w14:paraId="1885254C" w14:textId="77777777" w:rsidTr="006019F0">
        <w:trPr>
          <w:trHeight w:val="227"/>
        </w:trPr>
        <w:tc>
          <w:tcPr>
            <w:tcW w:w="1453" w:type="pct"/>
            <w:tcBorders>
              <w:bottom w:val="single" w:sz="4" w:space="0" w:color="auto"/>
            </w:tcBorders>
            <w:shd w:val="clear" w:color="auto" w:fill="auto"/>
            <w:noWrap/>
            <w:vAlign w:val="center"/>
          </w:tcPr>
          <w:p w14:paraId="2151D094"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Momentum: 12-</w:t>
            </w:r>
            <w:r>
              <w:rPr>
                <w:rFonts w:ascii="Times New Roman" w:hAnsi="Times New Roman" w:cs="Times New Roman"/>
                <w:sz w:val="16"/>
                <w:szCs w:val="16"/>
                <w:lang w:eastAsia="nl-NL"/>
              </w:rPr>
              <w:t>M</w:t>
            </w:r>
            <w:r w:rsidRPr="00486F2D">
              <w:rPr>
                <w:rFonts w:ascii="Times New Roman" w:hAnsi="Times New Roman" w:cs="Times New Roman"/>
                <w:sz w:val="16"/>
                <w:szCs w:val="16"/>
                <w:lang w:eastAsia="nl-NL"/>
              </w:rPr>
              <w:t>onth equity return</w:t>
            </w:r>
          </w:p>
        </w:tc>
        <w:tc>
          <w:tcPr>
            <w:tcW w:w="395" w:type="pct"/>
            <w:tcBorders>
              <w:bottom w:val="single" w:sz="4" w:space="0" w:color="auto"/>
            </w:tcBorders>
            <w:shd w:val="clear" w:color="auto" w:fill="auto"/>
            <w:noWrap/>
            <w:vAlign w:val="center"/>
          </w:tcPr>
          <w:p w14:paraId="5ABB8279"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1.03</w:t>
            </w:r>
          </w:p>
        </w:tc>
        <w:tc>
          <w:tcPr>
            <w:tcW w:w="395" w:type="pct"/>
            <w:tcBorders>
              <w:bottom w:val="single" w:sz="4" w:space="0" w:color="auto"/>
            </w:tcBorders>
            <w:shd w:val="clear" w:color="auto" w:fill="auto"/>
            <w:noWrap/>
            <w:vAlign w:val="center"/>
          </w:tcPr>
          <w:p w14:paraId="66894B7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3.94</w:t>
            </w:r>
          </w:p>
        </w:tc>
        <w:tc>
          <w:tcPr>
            <w:tcW w:w="395" w:type="pct"/>
            <w:tcBorders>
              <w:bottom w:val="single" w:sz="4" w:space="0" w:color="auto"/>
            </w:tcBorders>
            <w:shd w:val="clear" w:color="auto" w:fill="auto"/>
            <w:noWrap/>
            <w:vAlign w:val="center"/>
          </w:tcPr>
          <w:p w14:paraId="3C205F68"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0.26</w:t>
            </w:r>
          </w:p>
        </w:tc>
        <w:tc>
          <w:tcPr>
            <w:tcW w:w="421" w:type="pct"/>
            <w:tcBorders>
              <w:bottom w:val="single" w:sz="4" w:space="0" w:color="auto"/>
            </w:tcBorders>
            <w:shd w:val="clear" w:color="auto" w:fill="auto"/>
            <w:noWrap/>
            <w:vAlign w:val="center"/>
          </w:tcPr>
          <w:p w14:paraId="40F8F073"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0.60*</w:t>
            </w:r>
          </w:p>
        </w:tc>
        <w:tc>
          <w:tcPr>
            <w:tcW w:w="87" w:type="pct"/>
            <w:tcBorders>
              <w:bottom w:val="single" w:sz="4" w:space="0" w:color="auto"/>
            </w:tcBorders>
            <w:shd w:val="clear" w:color="auto" w:fill="auto"/>
            <w:vAlign w:val="center"/>
          </w:tcPr>
          <w:p w14:paraId="292D3330" w14:textId="77777777" w:rsidR="00F949B9" w:rsidRPr="00486F2D" w:rsidRDefault="00F949B9" w:rsidP="006019F0">
            <w:pPr>
              <w:spacing w:after="0" w:line="240" w:lineRule="auto"/>
              <w:rPr>
                <w:rFonts w:ascii="Times New Roman" w:hAnsi="Times New Roman" w:cs="Times New Roman"/>
                <w:sz w:val="16"/>
                <w:szCs w:val="16"/>
                <w:lang w:eastAsia="nl-NL"/>
              </w:rPr>
            </w:pPr>
          </w:p>
        </w:tc>
        <w:tc>
          <w:tcPr>
            <w:tcW w:w="440" w:type="pct"/>
            <w:tcBorders>
              <w:bottom w:val="single" w:sz="4" w:space="0" w:color="auto"/>
            </w:tcBorders>
            <w:shd w:val="clear" w:color="auto" w:fill="auto"/>
            <w:vAlign w:val="center"/>
          </w:tcPr>
          <w:p w14:paraId="46116FE2"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2.98</w:t>
            </w:r>
          </w:p>
        </w:tc>
        <w:tc>
          <w:tcPr>
            <w:tcW w:w="471" w:type="pct"/>
            <w:tcBorders>
              <w:bottom w:val="single" w:sz="4" w:space="0" w:color="auto"/>
            </w:tcBorders>
            <w:shd w:val="clear" w:color="auto" w:fill="auto"/>
            <w:vAlign w:val="center"/>
          </w:tcPr>
          <w:p w14:paraId="25FE1AD4"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8.59</w:t>
            </w:r>
          </w:p>
        </w:tc>
        <w:tc>
          <w:tcPr>
            <w:tcW w:w="471" w:type="pct"/>
            <w:tcBorders>
              <w:bottom w:val="single" w:sz="4" w:space="0" w:color="auto"/>
            </w:tcBorders>
            <w:shd w:val="clear" w:color="auto" w:fill="auto"/>
            <w:vAlign w:val="center"/>
          </w:tcPr>
          <w:p w14:paraId="2057F5CF"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0.35</w:t>
            </w:r>
          </w:p>
        </w:tc>
        <w:tc>
          <w:tcPr>
            <w:tcW w:w="472" w:type="pct"/>
            <w:tcBorders>
              <w:bottom w:val="single" w:sz="4" w:space="0" w:color="auto"/>
            </w:tcBorders>
            <w:shd w:val="clear" w:color="auto" w:fill="auto"/>
            <w:vAlign w:val="center"/>
          </w:tcPr>
          <w:p w14:paraId="697DC1EA" w14:textId="77777777" w:rsidR="00F949B9" w:rsidRPr="00486F2D" w:rsidRDefault="00F949B9" w:rsidP="006019F0">
            <w:pPr>
              <w:spacing w:after="0" w:line="240" w:lineRule="auto"/>
              <w:rPr>
                <w:rFonts w:ascii="Times New Roman" w:hAnsi="Times New Roman" w:cs="Times New Roman"/>
                <w:sz w:val="16"/>
                <w:szCs w:val="16"/>
                <w:lang w:eastAsia="nl-NL"/>
              </w:rPr>
            </w:pPr>
            <w:r w:rsidRPr="00486F2D">
              <w:rPr>
                <w:rFonts w:ascii="Times New Roman" w:hAnsi="Times New Roman" w:cs="Times New Roman"/>
                <w:sz w:val="16"/>
                <w:szCs w:val="16"/>
                <w:lang w:eastAsia="nl-NL"/>
              </w:rPr>
              <w:t>1.13</w:t>
            </w:r>
          </w:p>
        </w:tc>
      </w:tr>
    </w:tbl>
    <w:p w14:paraId="46F48EAE" w14:textId="77777777" w:rsidR="00F949B9" w:rsidRPr="00C37629" w:rsidRDefault="00F949B9" w:rsidP="00F949B9">
      <w:pPr>
        <w:rPr>
          <w:rFonts w:ascii="Times New Roman" w:hAnsi="Times New Roman" w:cs="Times New Roman"/>
          <w:sz w:val="20"/>
          <w:szCs w:val="20"/>
          <w:lang w:val="en-US"/>
        </w:rPr>
      </w:pPr>
      <w:r w:rsidRPr="00C37629">
        <w:rPr>
          <w:rFonts w:ascii="Times New Roman" w:hAnsi="Times New Roman" w:cs="Times New Roman"/>
          <w:i/>
          <w:sz w:val="20"/>
          <w:szCs w:val="20"/>
        </w:rPr>
        <w:t>Notes:</w:t>
      </w:r>
      <w:r w:rsidRPr="00C37629">
        <w:rPr>
          <w:rFonts w:ascii="Times New Roman" w:hAnsi="Times New Roman" w:cs="Times New Roman"/>
          <w:sz w:val="20"/>
          <w:szCs w:val="20"/>
        </w:rPr>
        <w:t xml:space="preserve"> </w:t>
      </w:r>
      <w:r w:rsidRPr="00C37629">
        <w:rPr>
          <w:rFonts w:ascii="Times New Roman" w:hAnsi="Times New Roman" w:cs="Times New Roman"/>
          <w:sz w:val="20"/>
          <w:szCs w:val="20"/>
          <w:lang w:val="en-US"/>
        </w:rPr>
        <w:t xml:space="preserve">This table reports performance statistics for the base case and alternative definitions of the size, low-risk, value, and momentum factors for US investment-grade and US high-yield corporate bonds. See Table 3 in the article for details on the construction of the factor portfolios and the text of this appendix for the definitions of the factors. The left-hand side of the table shows the mean, volatility, Sharpe ratio, and CAPM alpha for investment grade; the right-hand side shows the same for high yield. Mean, volatility, and alpha are annualized. Corporate bond returns are measured as excess returns versus duration-matched Treasuries. </w:t>
      </w:r>
      <w:r w:rsidRPr="00C37629">
        <w:rPr>
          <w:rFonts w:ascii="Times New Roman" w:hAnsi="Times New Roman" w:cs="Times New Roman"/>
          <w:sz w:val="20"/>
          <w:szCs w:val="20"/>
        </w:rPr>
        <w:t>Statistical significance is determined through two-sided tests of whether</w:t>
      </w:r>
      <w:r w:rsidRPr="00C37629">
        <w:rPr>
          <w:rFonts w:ascii="Times New Roman" w:hAnsi="Times New Roman" w:cs="Times New Roman"/>
          <w:sz w:val="20"/>
          <w:szCs w:val="20"/>
          <w:lang w:val="en-US"/>
        </w:rPr>
        <w:t xml:space="preserve"> the Sharpe ratio is different from the Sharpe ratio of the corporate bond market (</w:t>
      </w:r>
      <w:r w:rsidRPr="00C37629">
        <w:rPr>
          <w:rFonts w:ascii="Times New Roman" w:hAnsi="Times New Roman" w:cs="Times New Roman"/>
          <w:sz w:val="20"/>
          <w:szCs w:val="20"/>
        </w:rPr>
        <w:t>test in Jobson and Korkie 1981</w:t>
      </w:r>
      <w:r w:rsidRPr="00C37629">
        <w:rPr>
          <w:rFonts w:ascii="Times New Roman" w:hAnsi="Times New Roman" w:cs="Times New Roman"/>
          <w:sz w:val="20"/>
          <w:szCs w:val="20"/>
          <w:lang w:val="en-US"/>
        </w:rPr>
        <w:t>) and whether the CAPM alpha is different from zero (</w:t>
      </w:r>
      <w:r w:rsidRPr="00C37629">
        <w:rPr>
          <w:rFonts w:ascii="Times New Roman" w:hAnsi="Times New Roman" w:cs="Times New Roman"/>
          <w:i/>
          <w:sz w:val="20"/>
          <w:szCs w:val="20"/>
          <w:lang w:val="en-US"/>
        </w:rPr>
        <w:t>t</w:t>
      </w:r>
      <w:r w:rsidRPr="00C37629">
        <w:rPr>
          <w:rFonts w:ascii="Times New Roman" w:hAnsi="Times New Roman" w:cs="Times New Roman"/>
          <w:sz w:val="20"/>
          <w:szCs w:val="20"/>
          <w:lang w:val="en-US"/>
        </w:rPr>
        <w:t>-test with Newey</w:t>
      </w:r>
      <w:r>
        <w:rPr>
          <w:rFonts w:ascii="Times New Roman" w:hAnsi="Times New Roman" w:cs="Times New Roman"/>
          <w:sz w:val="20"/>
          <w:szCs w:val="20"/>
          <w:lang w:val="en-US"/>
        </w:rPr>
        <w:t>–</w:t>
      </w:r>
      <w:r w:rsidRPr="00C37629">
        <w:rPr>
          <w:rFonts w:ascii="Times New Roman" w:hAnsi="Times New Roman" w:cs="Times New Roman"/>
          <w:sz w:val="20"/>
          <w:szCs w:val="20"/>
          <w:lang w:val="en-US"/>
        </w:rPr>
        <w:t>West standard errors).</w:t>
      </w:r>
    </w:p>
    <w:p w14:paraId="2F127A49" w14:textId="77777777" w:rsidR="00F949B9" w:rsidRPr="00EE064A" w:rsidRDefault="00F949B9" w:rsidP="00F949B9">
      <w:pPr>
        <w:pStyle w:val="TableTitle"/>
        <w:autoSpaceDE w:val="0"/>
        <w:autoSpaceDN w:val="0"/>
        <w:adjustRightInd w:val="0"/>
        <w:spacing w:after="0"/>
        <w:rPr>
          <w:rFonts w:ascii="Times New Roman" w:hAnsi="Times New Roman"/>
          <w:b w:val="0"/>
          <w:sz w:val="20"/>
          <w:szCs w:val="20"/>
        </w:rPr>
      </w:pPr>
      <w:r w:rsidRPr="00EE064A">
        <w:rPr>
          <w:rFonts w:ascii="Times New Roman" w:hAnsi="Times New Roman"/>
          <w:b w:val="0"/>
          <w:sz w:val="20"/>
          <w:szCs w:val="20"/>
        </w:rPr>
        <w:lastRenderedPageBreak/>
        <w:t>*Significant at the 5% level.</w:t>
      </w:r>
    </w:p>
    <w:p w14:paraId="72EA0A86" w14:textId="77777777" w:rsidR="00F949B9" w:rsidRPr="007836D3" w:rsidRDefault="00F949B9" w:rsidP="00F949B9">
      <w:pPr>
        <w:rPr>
          <w:rFonts w:ascii="Times New Roman" w:hAnsi="Times New Roman" w:cs="Times New Roman"/>
          <w:sz w:val="20"/>
          <w:szCs w:val="20"/>
        </w:rPr>
      </w:pPr>
      <w:r w:rsidRPr="00EE064A">
        <w:rPr>
          <w:rFonts w:ascii="Times New Roman" w:hAnsi="Times New Roman" w:cs="Times New Roman"/>
          <w:b/>
          <w:sz w:val="20"/>
          <w:szCs w:val="20"/>
        </w:rPr>
        <w:t>**</w:t>
      </w:r>
      <w:r w:rsidRPr="00EE064A">
        <w:rPr>
          <w:rFonts w:ascii="Times New Roman" w:hAnsi="Times New Roman" w:cs="Times New Roman"/>
          <w:sz w:val="20"/>
          <w:szCs w:val="20"/>
        </w:rPr>
        <w:t>Significant at the 1% level.</w:t>
      </w:r>
    </w:p>
    <w:bookmarkEnd w:id="2"/>
    <w:p w14:paraId="353456BA" w14:textId="4B5E3C51" w:rsidR="005269AF" w:rsidRPr="008F7485" w:rsidRDefault="00FE7E67" w:rsidP="00486F2D">
      <w:pPr>
        <w:pStyle w:val="Heading2"/>
        <w:rPr>
          <w:rFonts w:cs="Times New Roman"/>
          <w:i w:val="0"/>
          <w:sz w:val="24"/>
          <w:szCs w:val="24"/>
        </w:rPr>
      </w:pPr>
      <w:r>
        <w:rPr>
          <w:rFonts w:cs="Times New Roman"/>
          <w:i w:val="0"/>
          <w:sz w:val="24"/>
          <w:szCs w:val="24"/>
        </w:rPr>
        <w:t>U</w:t>
      </w:r>
      <w:r w:rsidRPr="008F7485">
        <w:rPr>
          <w:rFonts w:cs="Times New Roman"/>
          <w:i w:val="0"/>
          <w:sz w:val="24"/>
          <w:szCs w:val="24"/>
        </w:rPr>
        <w:t xml:space="preserve">sing </w:t>
      </w:r>
      <w:r>
        <w:rPr>
          <w:rFonts w:cs="Times New Roman"/>
          <w:i w:val="0"/>
          <w:sz w:val="24"/>
          <w:szCs w:val="24"/>
        </w:rPr>
        <w:t>E</w:t>
      </w:r>
      <w:r w:rsidRPr="008F7485">
        <w:rPr>
          <w:rFonts w:cs="Times New Roman"/>
          <w:i w:val="0"/>
          <w:sz w:val="24"/>
          <w:szCs w:val="24"/>
        </w:rPr>
        <w:t xml:space="preserve">quity </w:t>
      </w:r>
      <w:r>
        <w:rPr>
          <w:rFonts w:cs="Times New Roman"/>
          <w:i w:val="0"/>
          <w:sz w:val="24"/>
          <w:szCs w:val="24"/>
        </w:rPr>
        <w:t>D</w:t>
      </w:r>
      <w:r w:rsidRPr="008F7485">
        <w:rPr>
          <w:rFonts w:cs="Times New Roman"/>
          <w:i w:val="0"/>
          <w:sz w:val="24"/>
          <w:szCs w:val="24"/>
        </w:rPr>
        <w:t xml:space="preserve">ata </w:t>
      </w:r>
      <w:r>
        <w:rPr>
          <w:rFonts w:cs="Times New Roman"/>
          <w:i w:val="0"/>
          <w:sz w:val="24"/>
          <w:szCs w:val="24"/>
        </w:rPr>
        <w:t xml:space="preserve">for </w:t>
      </w:r>
      <w:r w:rsidR="005269AF" w:rsidRPr="008F7485">
        <w:rPr>
          <w:rFonts w:cs="Times New Roman"/>
          <w:i w:val="0"/>
          <w:sz w:val="24"/>
          <w:szCs w:val="24"/>
        </w:rPr>
        <w:t xml:space="preserve">Alternative </w:t>
      </w:r>
      <w:r w:rsidR="008F7485">
        <w:rPr>
          <w:rFonts w:cs="Times New Roman"/>
          <w:i w:val="0"/>
          <w:sz w:val="24"/>
          <w:szCs w:val="24"/>
        </w:rPr>
        <w:t>F</w:t>
      </w:r>
      <w:r w:rsidR="005269AF" w:rsidRPr="008F7485">
        <w:rPr>
          <w:rFonts w:cs="Times New Roman"/>
          <w:i w:val="0"/>
          <w:sz w:val="24"/>
          <w:szCs w:val="24"/>
        </w:rPr>
        <w:t xml:space="preserve">actor </w:t>
      </w:r>
      <w:r w:rsidR="008F7485">
        <w:rPr>
          <w:rFonts w:cs="Times New Roman"/>
          <w:i w:val="0"/>
          <w:sz w:val="24"/>
          <w:szCs w:val="24"/>
        </w:rPr>
        <w:t>D</w:t>
      </w:r>
      <w:r>
        <w:rPr>
          <w:rFonts w:cs="Times New Roman"/>
          <w:i w:val="0"/>
          <w:sz w:val="24"/>
          <w:szCs w:val="24"/>
        </w:rPr>
        <w:t>efinitions</w:t>
      </w:r>
    </w:p>
    <w:p w14:paraId="33EFDCE3" w14:textId="29736102" w:rsidR="005269AF" w:rsidRPr="00486F2D" w:rsidRDefault="00A83B5D" w:rsidP="00486F2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previous section, w</w:t>
      </w:r>
      <w:r w:rsidR="005269AF" w:rsidRPr="00486F2D">
        <w:rPr>
          <w:rFonts w:ascii="Times New Roman" w:hAnsi="Times New Roman" w:cs="Times New Roman"/>
          <w:sz w:val="24"/>
          <w:szCs w:val="24"/>
          <w:lang w:val="en-US"/>
        </w:rPr>
        <w:t xml:space="preserve">e analyzed alternative definitions using bond market information. In this </w:t>
      </w:r>
      <w:r w:rsidR="00204ACC" w:rsidRPr="00486F2D">
        <w:rPr>
          <w:rFonts w:ascii="Times New Roman" w:hAnsi="Times New Roman" w:cs="Times New Roman"/>
          <w:sz w:val="24"/>
          <w:szCs w:val="24"/>
          <w:lang w:val="en-US"/>
        </w:rPr>
        <w:t>section,</w:t>
      </w:r>
      <w:r w:rsidR="005269AF" w:rsidRPr="00486F2D">
        <w:rPr>
          <w:rFonts w:ascii="Times New Roman" w:hAnsi="Times New Roman" w:cs="Times New Roman"/>
          <w:sz w:val="24"/>
          <w:szCs w:val="24"/>
          <w:lang w:val="en-US"/>
        </w:rPr>
        <w:t xml:space="preserve"> we test whether equity factor definitions also generate premiums in the corporate bond market. For this </w:t>
      </w:r>
      <w:r w:rsidR="00204ACC" w:rsidRPr="00486F2D">
        <w:rPr>
          <w:rFonts w:ascii="Times New Roman" w:hAnsi="Times New Roman" w:cs="Times New Roman"/>
          <w:sz w:val="24"/>
          <w:szCs w:val="24"/>
          <w:lang w:val="en-US"/>
        </w:rPr>
        <w:t>analysis,</w:t>
      </w:r>
      <w:r w:rsidR="005269AF" w:rsidRPr="00486F2D">
        <w:rPr>
          <w:rFonts w:ascii="Times New Roman" w:hAnsi="Times New Roman" w:cs="Times New Roman"/>
          <w:sz w:val="24"/>
          <w:szCs w:val="24"/>
          <w:lang w:val="en-US"/>
        </w:rPr>
        <w:t xml:space="preserve"> we link all corporate bonds in our sample to the parent company. This reduces the sample size from 1.3 million to 1.1 million bond-month observations, </w:t>
      </w:r>
      <w:r w:rsidR="00701624">
        <w:rPr>
          <w:rFonts w:ascii="Times New Roman" w:hAnsi="Times New Roman" w:cs="Times New Roman"/>
          <w:sz w:val="24"/>
          <w:szCs w:val="24"/>
          <w:lang w:val="en-US"/>
        </w:rPr>
        <w:t>becaus</w:t>
      </w:r>
      <w:r w:rsidR="005269AF" w:rsidRPr="00486F2D">
        <w:rPr>
          <w:rFonts w:ascii="Times New Roman" w:hAnsi="Times New Roman" w:cs="Times New Roman"/>
          <w:sz w:val="24"/>
          <w:szCs w:val="24"/>
          <w:lang w:val="en-US"/>
        </w:rPr>
        <w:t xml:space="preserve">e not all companies have publicly listed </w:t>
      </w:r>
      <w:r w:rsidR="00204ACC" w:rsidRPr="00486F2D">
        <w:rPr>
          <w:rFonts w:ascii="Times New Roman" w:hAnsi="Times New Roman" w:cs="Times New Roman"/>
          <w:sz w:val="24"/>
          <w:szCs w:val="24"/>
          <w:lang w:val="en-US"/>
        </w:rPr>
        <w:t xml:space="preserve">equity. </w:t>
      </w:r>
      <w:r w:rsidR="005269AF" w:rsidRPr="00486F2D">
        <w:rPr>
          <w:rFonts w:ascii="Times New Roman" w:hAnsi="Times New Roman" w:cs="Times New Roman"/>
          <w:sz w:val="24"/>
          <w:szCs w:val="24"/>
          <w:lang w:val="en-US"/>
        </w:rPr>
        <w:t xml:space="preserve">For </w:t>
      </w:r>
      <w:r w:rsidR="00701624">
        <w:rPr>
          <w:rFonts w:ascii="Times New Roman" w:hAnsi="Times New Roman" w:cs="Times New Roman"/>
          <w:sz w:val="24"/>
          <w:szCs w:val="24"/>
          <w:lang w:val="en-US"/>
        </w:rPr>
        <w:t>s</w:t>
      </w:r>
      <w:r w:rsidR="005269AF" w:rsidRPr="00486F2D">
        <w:rPr>
          <w:rFonts w:ascii="Times New Roman" w:hAnsi="Times New Roman" w:cs="Times New Roman"/>
          <w:sz w:val="24"/>
          <w:szCs w:val="24"/>
          <w:lang w:val="en-US"/>
        </w:rPr>
        <w:t xml:space="preserve">ize, we construct decile portfolios of corporate bonds by ranking on the company’s equity market capitalization; for </w:t>
      </w:r>
      <w:r w:rsidR="00C51BD1">
        <w:rPr>
          <w:rFonts w:ascii="Times New Roman" w:hAnsi="Times New Roman" w:cs="Times New Roman"/>
          <w:sz w:val="24"/>
          <w:szCs w:val="24"/>
          <w:lang w:val="en-US"/>
        </w:rPr>
        <w:t>l</w:t>
      </w:r>
      <w:r w:rsidR="00204ACC" w:rsidRPr="00486F2D">
        <w:rPr>
          <w:rFonts w:ascii="Times New Roman" w:hAnsi="Times New Roman" w:cs="Times New Roman"/>
          <w:sz w:val="24"/>
          <w:szCs w:val="24"/>
          <w:lang w:val="en-US"/>
        </w:rPr>
        <w:t>ow</w:t>
      </w:r>
      <w:r w:rsidR="00C51BD1">
        <w:rPr>
          <w:rFonts w:ascii="Times New Roman" w:hAnsi="Times New Roman" w:cs="Times New Roman"/>
          <w:sz w:val="24"/>
          <w:szCs w:val="24"/>
          <w:lang w:val="en-US"/>
        </w:rPr>
        <w:t xml:space="preserve"> r</w:t>
      </w:r>
      <w:r w:rsidR="00204ACC" w:rsidRPr="00486F2D">
        <w:rPr>
          <w:rFonts w:ascii="Times New Roman" w:hAnsi="Times New Roman" w:cs="Times New Roman"/>
          <w:sz w:val="24"/>
          <w:szCs w:val="24"/>
          <w:lang w:val="en-US"/>
        </w:rPr>
        <w:t>isk,</w:t>
      </w:r>
      <w:r w:rsidR="005269AF" w:rsidRPr="00486F2D">
        <w:rPr>
          <w:rFonts w:ascii="Times New Roman" w:hAnsi="Times New Roman" w:cs="Times New Roman"/>
          <w:sz w:val="24"/>
          <w:szCs w:val="24"/>
          <w:lang w:val="en-US"/>
        </w:rPr>
        <w:t xml:space="preserve"> we use the </w:t>
      </w:r>
      <w:r w:rsidR="00C51BD1">
        <w:rPr>
          <w:rFonts w:ascii="Times New Roman" w:hAnsi="Times New Roman" w:cs="Times New Roman"/>
          <w:sz w:val="24"/>
          <w:szCs w:val="24"/>
          <w:lang w:val="en-US"/>
        </w:rPr>
        <w:t>one</w:t>
      </w:r>
      <w:r w:rsidR="005269AF" w:rsidRPr="00486F2D">
        <w:rPr>
          <w:rFonts w:ascii="Times New Roman" w:hAnsi="Times New Roman" w:cs="Times New Roman"/>
          <w:sz w:val="24"/>
          <w:szCs w:val="24"/>
          <w:lang w:val="en-US"/>
        </w:rPr>
        <w:t xml:space="preserve">-year volatility of daily equity returns; for </w:t>
      </w:r>
      <w:r w:rsidR="00C51BD1">
        <w:rPr>
          <w:rFonts w:ascii="Times New Roman" w:hAnsi="Times New Roman" w:cs="Times New Roman"/>
          <w:sz w:val="24"/>
          <w:szCs w:val="24"/>
          <w:lang w:val="en-US"/>
        </w:rPr>
        <w:t>v</w:t>
      </w:r>
      <w:r w:rsidR="00204ACC" w:rsidRPr="00486F2D">
        <w:rPr>
          <w:rFonts w:ascii="Times New Roman" w:hAnsi="Times New Roman" w:cs="Times New Roman"/>
          <w:sz w:val="24"/>
          <w:szCs w:val="24"/>
          <w:lang w:val="en-US"/>
        </w:rPr>
        <w:t>alue,</w:t>
      </w:r>
      <w:r w:rsidR="005269AF" w:rsidRPr="00486F2D">
        <w:rPr>
          <w:rFonts w:ascii="Times New Roman" w:hAnsi="Times New Roman" w:cs="Times New Roman"/>
          <w:sz w:val="24"/>
          <w:szCs w:val="24"/>
          <w:lang w:val="en-US"/>
        </w:rPr>
        <w:t xml:space="preserve"> we use the book-to-market ratio; for </w:t>
      </w:r>
      <w:r w:rsidR="00C51BD1">
        <w:rPr>
          <w:rFonts w:ascii="Times New Roman" w:hAnsi="Times New Roman" w:cs="Times New Roman"/>
          <w:sz w:val="24"/>
          <w:szCs w:val="24"/>
          <w:lang w:val="en-US"/>
        </w:rPr>
        <w:t>m</w:t>
      </w:r>
      <w:r w:rsidR="00204ACC" w:rsidRPr="00486F2D">
        <w:rPr>
          <w:rFonts w:ascii="Times New Roman" w:hAnsi="Times New Roman" w:cs="Times New Roman"/>
          <w:sz w:val="24"/>
          <w:szCs w:val="24"/>
          <w:lang w:val="en-US"/>
        </w:rPr>
        <w:t>omentum,</w:t>
      </w:r>
      <w:r w:rsidR="005269AF" w:rsidRPr="00486F2D">
        <w:rPr>
          <w:rFonts w:ascii="Times New Roman" w:hAnsi="Times New Roman" w:cs="Times New Roman"/>
          <w:sz w:val="24"/>
          <w:szCs w:val="24"/>
          <w:lang w:val="en-US"/>
        </w:rPr>
        <w:t xml:space="preserve"> we use 12</w:t>
      </w:r>
      <w:r w:rsidR="00C51BD1">
        <w:rPr>
          <w:rFonts w:ascii="Times New Roman" w:hAnsi="Times New Roman" w:cs="Times New Roman"/>
          <w:sz w:val="24"/>
          <w:szCs w:val="24"/>
          <w:lang w:val="en-US"/>
        </w:rPr>
        <w:t xml:space="preserve"> – </w:t>
      </w:r>
      <w:r w:rsidR="005269AF" w:rsidRPr="00486F2D">
        <w:rPr>
          <w:rFonts w:ascii="Times New Roman" w:hAnsi="Times New Roman" w:cs="Times New Roman"/>
          <w:sz w:val="24"/>
          <w:szCs w:val="24"/>
          <w:lang w:val="en-US"/>
        </w:rPr>
        <w:t xml:space="preserve">1 month equity returns. We might call these definitions </w:t>
      </w:r>
      <w:r w:rsidR="00C51BD1">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stock-bond factor spillovers,</w:t>
      </w:r>
      <w:r w:rsidR="00C51BD1">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in the spirit of </w:t>
      </w:r>
      <w:r w:rsidR="00C51BD1">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stock-bond momentum spillover</w:t>
      </w:r>
      <w:r w:rsidR="00C51BD1">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w:t>
      </w:r>
      <w:r w:rsidR="00C51BD1">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see </w:t>
      </w:r>
      <w:proofErr w:type="spellStart"/>
      <w:r w:rsidR="005269AF" w:rsidRPr="00486F2D">
        <w:rPr>
          <w:rFonts w:ascii="Times New Roman" w:hAnsi="Times New Roman" w:cs="Times New Roman"/>
          <w:sz w:val="24"/>
          <w:szCs w:val="24"/>
          <w:lang w:val="en-US"/>
        </w:rPr>
        <w:t>Gebhardt</w:t>
      </w:r>
      <w:proofErr w:type="spellEnd"/>
      <w:r w:rsidR="007F196A">
        <w:rPr>
          <w:rFonts w:ascii="Times New Roman" w:hAnsi="Times New Roman" w:cs="Times New Roman"/>
          <w:sz w:val="24"/>
          <w:szCs w:val="24"/>
          <w:lang w:val="en-US"/>
        </w:rPr>
        <w:t xml:space="preserve">, </w:t>
      </w:r>
      <w:proofErr w:type="spellStart"/>
      <w:r w:rsidR="007F196A" w:rsidRPr="00D12EFC">
        <w:rPr>
          <w:rFonts w:ascii="Times New Roman" w:eastAsia="Times New Roman" w:hAnsi="Times New Roman" w:cs="Times New Roman"/>
          <w:sz w:val="24"/>
          <w:szCs w:val="20"/>
          <w:lang w:val="en-US"/>
        </w:rPr>
        <w:t>Hvidkjaer</w:t>
      </w:r>
      <w:proofErr w:type="spellEnd"/>
      <w:r w:rsidR="007F196A" w:rsidRPr="00D12EFC">
        <w:rPr>
          <w:rFonts w:ascii="Times New Roman" w:eastAsia="Times New Roman" w:hAnsi="Times New Roman" w:cs="Times New Roman"/>
          <w:sz w:val="24"/>
          <w:szCs w:val="20"/>
          <w:lang w:val="en-US"/>
        </w:rPr>
        <w:t xml:space="preserve">, and </w:t>
      </w:r>
      <w:proofErr w:type="spellStart"/>
      <w:r w:rsidR="007F196A" w:rsidRPr="00D12EFC">
        <w:rPr>
          <w:rFonts w:ascii="Times New Roman" w:eastAsia="Times New Roman" w:hAnsi="Times New Roman" w:cs="Times New Roman"/>
          <w:sz w:val="24"/>
          <w:szCs w:val="20"/>
          <w:lang w:val="en-US"/>
        </w:rPr>
        <w:t>Swaminathan</w:t>
      </w:r>
      <w:proofErr w:type="spellEnd"/>
      <w:r w:rsidR="005269AF" w:rsidRPr="00486F2D">
        <w:rPr>
          <w:rFonts w:ascii="Times New Roman" w:hAnsi="Times New Roman" w:cs="Times New Roman"/>
          <w:sz w:val="24"/>
          <w:szCs w:val="24"/>
          <w:lang w:val="en-US"/>
        </w:rPr>
        <w:t> 2005</w:t>
      </w:r>
      <w:r w:rsidR="00C51BD1">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Bektic</w:t>
      </w:r>
      <w:r w:rsidR="00DE6CDB">
        <w:rPr>
          <w:rFonts w:ascii="Times New Roman" w:hAnsi="Times New Roman" w:cs="Times New Roman"/>
          <w:sz w:val="24"/>
          <w:szCs w:val="24"/>
          <w:lang w:val="en-US"/>
        </w:rPr>
        <w:t xml:space="preserve">, </w:t>
      </w:r>
      <w:proofErr w:type="spellStart"/>
      <w:r w:rsidR="00DE6CDB" w:rsidRPr="00D12EFC">
        <w:rPr>
          <w:rFonts w:ascii="Times New Roman" w:eastAsia="Times New Roman" w:hAnsi="Times New Roman" w:cs="Times New Roman"/>
          <w:sz w:val="24"/>
          <w:szCs w:val="20"/>
          <w:lang w:val="en-US"/>
        </w:rPr>
        <w:t>Wenzler</w:t>
      </w:r>
      <w:proofErr w:type="spellEnd"/>
      <w:r w:rsidR="00DE6CDB" w:rsidRPr="00D12EFC">
        <w:rPr>
          <w:rFonts w:ascii="Times New Roman" w:eastAsia="Times New Roman" w:hAnsi="Times New Roman" w:cs="Times New Roman"/>
          <w:sz w:val="24"/>
          <w:szCs w:val="20"/>
          <w:lang w:val="en-US"/>
        </w:rPr>
        <w:t xml:space="preserve">, Wegener, </w:t>
      </w:r>
      <w:proofErr w:type="spellStart"/>
      <w:r w:rsidR="00DE6CDB" w:rsidRPr="00D12EFC">
        <w:rPr>
          <w:rFonts w:ascii="Times New Roman" w:eastAsia="Times New Roman" w:hAnsi="Times New Roman" w:cs="Times New Roman"/>
          <w:sz w:val="24"/>
          <w:szCs w:val="20"/>
          <w:lang w:val="en-US"/>
        </w:rPr>
        <w:t>Schiereck</w:t>
      </w:r>
      <w:proofErr w:type="spellEnd"/>
      <w:r w:rsidR="00DE6CDB" w:rsidRPr="00D12EFC">
        <w:rPr>
          <w:rFonts w:ascii="Times New Roman" w:eastAsia="Times New Roman" w:hAnsi="Times New Roman" w:cs="Times New Roman"/>
          <w:sz w:val="24"/>
          <w:szCs w:val="20"/>
          <w:lang w:val="en-US"/>
        </w:rPr>
        <w:t xml:space="preserve">, and </w:t>
      </w:r>
      <w:proofErr w:type="spellStart"/>
      <w:r w:rsidR="00DE6CDB" w:rsidRPr="00D12EFC">
        <w:rPr>
          <w:rFonts w:ascii="Times New Roman" w:eastAsia="Times New Roman" w:hAnsi="Times New Roman" w:cs="Times New Roman"/>
          <w:sz w:val="24"/>
          <w:szCs w:val="20"/>
          <w:lang w:val="en-US"/>
        </w:rPr>
        <w:t>Spielmann</w:t>
      </w:r>
      <w:proofErr w:type="spellEnd"/>
      <w:r w:rsidR="005269AF" w:rsidRPr="00486F2D">
        <w:rPr>
          <w:rFonts w:ascii="Times New Roman" w:hAnsi="Times New Roman" w:cs="Times New Roman"/>
          <w:sz w:val="24"/>
          <w:szCs w:val="24"/>
          <w:lang w:val="en-US"/>
        </w:rPr>
        <w:t> 2016).</w:t>
      </w:r>
    </w:p>
    <w:p w14:paraId="13F9B69A" w14:textId="74F0EE37"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Panel E </w:t>
      </w:r>
      <w:r w:rsidR="007C1C77">
        <w:rPr>
          <w:rFonts w:ascii="Times New Roman" w:hAnsi="Times New Roman" w:cs="Times New Roman"/>
          <w:sz w:val="24"/>
          <w:szCs w:val="24"/>
          <w:lang w:val="en-US"/>
        </w:rPr>
        <w:t>of</w:t>
      </w:r>
      <w:r w:rsidRPr="00486F2D">
        <w:rPr>
          <w:rFonts w:ascii="Times New Roman" w:hAnsi="Times New Roman" w:cs="Times New Roman"/>
          <w:sz w:val="24"/>
          <w:szCs w:val="24"/>
          <w:lang w:val="en-US"/>
        </w:rPr>
        <w:t xml:space="preserve"> </w:t>
      </w:r>
      <w:r w:rsidR="00DE4C5F" w:rsidRPr="00DE4C5F">
        <w:rPr>
          <w:rFonts w:ascii="Times New Roman" w:hAnsi="Times New Roman" w:cs="Times New Roman"/>
          <w:sz w:val="24"/>
          <w:szCs w:val="24"/>
          <w:lang w:val="en-US"/>
        </w:rPr>
        <w:t>Table A1</w:t>
      </w:r>
      <w:r w:rsidRPr="00486F2D">
        <w:rPr>
          <w:rFonts w:ascii="Times New Roman" w:hAnsi="Times New Roman" w:cs="Times New Roman"/>
          <w:sz w:val="24"/>
          <w:szCs w:val="24"/>
          <w:lang w:val="en-US"/>
        </w:rPr>
        <w:t xml:space="preserve"> shows the results. All equity spillover definitions generate positive alphas </w:t>
      </w:r>
      <w:r w:rsidR="00FA0342">
        <w:rPr>
          <w:rFonts w:ascii="Times New Roman" w:hAnsi="Times New Roman" w:cs="Times New Roman"/>
          <w:sz w:val="24"/>
          <w:szCs w:val="24"/>
          <w:lang w:val="en-US"/>
        </w:rPr>
        <w:t>as well as</w:t>
      </w:r>
      <w:r w:rsidRPr="00486F2D">
        <w:rPr>
          <w:rFonts w:ascii="Times New Roman" w:hAnsi="Times New Roman" w:cs="Times New Roman"/>
          <w:sz w:val="24"/>
          <w:szCs w:val="24"/>
          <w:lang w:val="en-US"/>
        </w:rPr>
        <w:t xml:space="preserve"> Sharpe ratios that are higher than the Sharpe ratio of the corporate bond market. However, only for </w:t>
      </w:r>
      <w:r w:rsidR="0040384E">
        <w:rPr>
          <w:rFonts w:ascii="Times New Roman" w:hAnsi="Times New Roman" w:cs="Times New Roman"/>
          <w:sz w:val="24"/>
          <w:szCs w:val="24"/>
          <w:lang w:val="en-US"/>
        </w:rPr>
        <w:t>m</w:t>
      </w:r>
      <w:r w:rsidRPr="00486F2D">
        <w:rPr>
          <w:rFonts w:ascii="Times New Roman" w:hAnsi="Times New Roman" w:cs="Times New Roman"/>
          <w:sz w:val="24"/>
          <w:szCs w:val="24"/>
          <w:lang w:val="en-US"/>
        </w:rPr>
        <w:t xml:space="preserve">omentum spillover in </w:t>
      </w:r>
      <w:r w:rsidR="0040384E">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40384E">
        <w:rPr>
          <w:rFonts w:ascii="Times New Roman" w:hAnsi="Times New Roman" w:cs="Times New Roman"/>
          <w:sz w:val="24"/>
          <w:szCs w:val="24"/>
          <w:lang w:val="en-US"/>
        </w:rPr>
        <w:t>g</w:t>
      </w:r>
      <w:r w:rsidRPr="00486F2D">
        <w:rPr>
          <w:rFonts w:ascii="Times New Roman" w:hAnsi="Times New Roman" w:cs="Times New Roman"/>
          <w:sz w:val="24"/>
          <w:szCs w:val="24"/>
          <w:lang w:val="en-US"/>
        </w:rPr>
        <w:t xml:space="preserve">rade </w:t>
      </w:r>
      <w:r w:rsidR="0040384E">
        <w:rPr>
          <w:rFonts w:ascii="Times New Roman" w:hAnsi="Times New Roman" w:cs="Times New Roman"/>
          <w:sz w:val="24"/>
          <w:szCs w:val="24"/>
          <w:lang w:val="en-US"/>
        </w:rPr>
        <w:t xml:space="preserve">is </w:t>
      </w:r>
      <w:r w:rsidRPr="00486F2D">
        <w:rPr>
          <w:rFonts w:ascii="Times New Roman" w:hAnsi="Times New Roman" w:cs="Times New Roman"/>
          <w:sz w:val="24"/>
          <w:szCs w:val="24"/>
          <w:lang w:val="en-US"/>
        </w:rPr>
        <w:t>the alpha statistically significant</w:t>
      </w:r>
      <w:r w:rsidR="00FD6587">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r w:rsidR="00FD6587">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 fact, the alpha is even higher than </w:t>
      </w:r>
      <w:r w:rsidR="002F7E8C">
        <w:rPr>
          <w:rFonts w:ascii="Times New Roman" w:hAnsi="Times New Roman" w:cs="Times New Roman"/>
          <w:sz w:val="24"/>
          <w:szCs w:val="24"/>
          <w:lang w:val="en-US"/>
        </w:rPr>
        <w:t>that of</w:t>
      </w:r>
      <w:r w:rsidRPr="00486F2D">
        <w:rPr>
          <w:rFonts w:ascii="Times New Roman" w:hAnsi="Times New Roman" w:cs="Times New Roman"/>
          <w:sz w:val="24"/>
          <w:szCs w:val="24"/>
          <w:lang w:val="en-US"/>
        </w:rPr>
        <w:t xml:space="preserve"> corporate bond </w:t>
      </w:r>
      <w:r w:rsidR="002F7E8C">
        <w:rPr>
          <w:rFonts w:ascii="Times New Roman" w:hAnsi="Times New Roman" w:cs="Times New Roman"/>
          <w:sz w:val="24"/>
          <w:szCs w:val="24"/>
          <w:lang w:val="en-US"/>
        </w:rPr>
        <w:t>m</w:t>
      </w:r>
      <w:r w:rsidRPr="00486F2D">
        <w:rPr>
          <w:rFonts w:ascii="Times New Roman" w:hAnsi="Times New Roman" w:cs="Times New Roman"/>
          <w:sz w:val="24"/>
          <w:szCs w:val="24"/>
          <w:lang w:val="en-US"/>
        </w:rPr>
        <w:t xml:space="preserve">omentum itself, </w:t>
      </w:r>
      <w:r w:rsidR="00204ACC" w:rsidRPr="00486F2D">
        <w:rPr>
          <w:rFonts w:ascii="Times New Roman" w:hAnsi="Times New Roman" w:cs="Times New Roman"/>
          <w:sz w:val="24"/>
          <w:szCs w:val="24"/>
          <w:lang w:val="en-US"/>
        </w:rPr>
        <w:t xml:space="preserve">consistent with </w:t>
      </w:r>
      <w:proofErr w:type="spellStart"/>
      <w:r w:rsidR="00204ACC" w:rsidRPr="00486F2D">
        <w:rPr>
          <w:rFonts w:ascii="Times New Roman" w:hAnsi="Times New Roman" w:cs="Times New Roman"/>
          <w:sz w:val="24"/>
          <w:szCs w:val="24"/>
          <w:lang w:val="en-US"/>
        </w:rPr>
        <w:t>Gebhardt</w:t>
      </w:r>
      <w:proofErr w:type="spellEnd"/>
      <w:r w:rsidR="00204ACC" w:rsidRPr="00486F2D">
        <w:rPr>
          <w:rFonts w:ascii="Times New Roman" w:hAnsi="Times New Roman" w:cs="Times New Roman"/>
          <w:sz w:val="24"/>
          <w:szCs w:val="24"/>
          <w:lang w:val="en-US"/>
        </w:rPr>
        <w:t xml:space="preserve"> et al. (2005)</w:t>
      </w:r>
      <w:r w:rsidRPr="00486F2D">
        <w:rPr>
          <w:rFonts w:ascii="Times New Roman" w:hAnsi="Times New Roman" w:cs="Times New Roman"/>
          <w:sz w:val="24"/>
          <w:szCs w:val="24"/>
          <w:lang w:val="en-US"/>
        </w:rPr>
        <w:t xml:space="preserve"> and </w:t>
      </w:r>
      <w:proofErr w:type="spellStart"/>
      <w:r w:rsidRPr="00486F2D">
        <w:rPr>
          <w:rFonts w:ascii="Times New Roman" w:hAnsi="Times New Roman" w:cs="Times New Roman"/>
          <w:sz w:val="24"/>
          <w:szCs w:val="24"/>
          <w:lang w:val="en-US"/>
        </w:rPr>
        <w:t>Haesen</w:t>
      </w:r>
      <w:proofErr w:type="spellEnd"/>
      <w:r w:rsidRPr="00486F2D">
        <w:rPr>
          <w:rFonts w:ascii="Times New Roman" w:hAnsi="Times New Roman" w:cs="Times New Roman"/>
          <w:sz w:val="24"/>
          <w:szCs w:val="24"/>
          <w:lang w:val="en-US"/>
        </w:rPr>
        <w:t xml:space="preserve">, </w:t>
      </w:r>
      <w:proofErr w:type="spellStart"/>
      <w:r w:rsidRPr="00486F2D">
        <w:rPr>
          <w:rFonts w:ascii="Times New Roman" w:hAnsi="Times New Roman" w:cs="Times New Roman"/>
          <w:sz w:val="24"/>
          <w:szCs w:val="24"/>
          <w:lang w:val="en-US"/>
        </w:rPr>
        <w:t>Houweling</w:t>
      </w:r>
      <w:proofErr w:type="spellEnd"/>
      <w:r w:rsidR="0040384E">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and van Zundert (2015).</w:t>
      </w:r>
    </w:p>
    <w:p w14:paraId="6DDEE605" w14:textId="51919BEB"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This analysis shows that although the equity spillover definitions generate a premium in the corporate bond market, they do not work as well as the bond-based definitions </w:t>
      </w:r>
      <w:r w:rsidR="002F7E8C">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with the exception of </w:t>
      </w:r>
      <w:r w:rsidR="002F7E8C">
        <w:rPr>
          <w:rFonts w:ascii="Times New Roman" w:hAnsi="Times New Roman" w:cs="Times New Roman"/>
          <w:sz w:val="24"/>
          <w:szCs w:val="24"/>
          <w:lang w:val="en-US"/>
        </w:rPr>
        <w:t>m</w:t>
      </w:r>
      <w:r w:rsidRPr="00486F2D">
        <w:rPr>
          <w:rFonts w:ascii="Times New Roman" w:hAnsi="Times New Roman" w:cs="Times New Roman"/>
          <w:sz w:val="24"/>
          <w:szCs w:val="24"/>
          <w:lang w:val="en-US"/>
        </w:rPr>
        <w:t>omentum spillover</w:t>
      </w:r>
      <w:r w:rsidR="002F7E8C">
        <w:rPr>
          <w:rFonts w:ascii="Times New Roman" w:hAnsi="Times New Roman" w:cs="Times New Roman"/>
          <w:sz w:val="24"/>
          <w:szCs w:val="24"/>
          <w:lang w:val="en-US"/>
        </w:rPr>
        <w:t>)</w:t>
      </w:r>
      <w:r w:rsidRPr="00486F2D">
        <w:rPr>
          <w:rFonts w:ascii="Times New Roman" w:hAnsi="Times New Roman" w:cs="Times New Roman"/>
          <w:sz w:val="24"/>
          <w:szCs w:val="24"/>
          <w:lang w:val="en-US"/>
        </w:rPr>
        <w:t>. So, factor investing in corporate bonds requires the explicit use of bond market information</w:t>
      </w:r>
      <w:r w:rsidR="002F7E8C">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investors cannot </w:t>
      </w:r>
      <w:r w:rsidR="005863AD">
        <w:rPr>
          <w:rFonts w:ascii="Times New Roman" w:hAnsi="Times New Roman" w:cs="Times New Roman"/>
          <w:sz w:val="24"/>
          <w:szCs w:val="24"/>
          <w:lang w:val="en-US"/>
        </w:rPr>
        <w:t>merely</w:t>
      </w:r>
      <w:r w:rsidRPr="00486F2D">
        <w:rPr>
          <w:rFonts w:ascii="Times New Roman" w:hAnsi="Times New Roman" w:cs="Times New Roman"/>
          <w:sz w:val="24"/>
          <w:szCs w:val="24"/>
          <w:lang w:val="en-US"/>
        </w:rPr>
        <w:t xml:space="preserve"> copy the equity definitions.</w:t>
      </w:r>
    </w:p>
    <w:p w14:paraId="62FEB9F2" w14:textId="0DA96805" w:rsidR="005269AF" w:rsidRPr="002B42DC" w:rsidRDefault="005269AF" w:rsidP="00486F2D">
      <w:pPr>
        <w:pStyle w:val="Heading2"/>
        <w:rPr>
          <w:rFonts w:cs="Times New Roman"/>
          <w:i w:val="0"/>
          <w:sz w:val="24"/>
          <w:szCs w:val="24"/>
        </w:rPr>
      </w:pPr>
      <w:r w:rsidRPr="002B42DC">
        <w:rPr>
          <w:rFonts w:cs="Times New Roman"/>
          <w:i w:val="0"/>
          <w:sz w:val="24"/>
          <w:szCs w:val="24"/>
        </w:rPr>
        <w:t xml:space="preserve">Controlling for </w:t>
      </w:r>
      <w:r w:rsidR="002B42DC">
        <w:rPr>
          <w:rFonts w:cs="Times New Roman"/>
          <w:i w:val="0"/>
          <w:sz w:val="24"/>
          <w:szCs w:val="24"/>
        </w:rPr>
        <w:t>R</w:t>
      </w:r>
      <w:r w:rsidRPr="002B42DC">
        <w:rPr>
          <w:rFonts w:cs="Times New Roman"/>
          <w:i w:val="0"/>
          <w:sz w:val="24"/>
          <w:szCs w:val="24"/>
        </w:rPr>
        <w:t xml:space="preserve">ating, </w:t>
      </w:r>
      <w:r w:rsidR="002B42DC">
        <w:rPr>
          <w:rFonts w:cs="Times New Roman"/>
          <w:i w:val="0"/>
          <w:sz w:val="24"/>
          <w:szCs w:val="24"/>
        </w:rPr>
        <w:t>M</w:t>
      </w:r>
      <w:r w:rsidRPr="002B42DC">
        <w:rPr>
          <w:rFonts w:cs="Times New Roman"/>
          <w:i w:val="0"/>
          <w:sz w:val="24"/>
          <w:szCs w:val="24"/>
        </w:rPr>
        <w:t>aturity</w:t>
      </w:r>
      <w:r w:rsidR="002B42DC" w:rsidRPr="002B42DC">
        <w:rPr>
          <w:rFonts w:cs="Times New Roman"/>
          <w:i w:val="0"/>
          <w:sz w:val="24"/>
          <w:szCs w:val="24"/>
        </w:rPr>
        <w:t>,</w:t>
      </w:r>
      <w:r w:rsidRPr="002B42DC">
        <w:rPr>
          <w:rFonts w:cs="Times New Roman"/>
          <w:i w:val="0"/>
          <w:sz w:val="24"/>
          <w:szCs w:val="24"/>
        </w:rPr>
        <w:t xml:space="preserve"> or </w:t>
      </w:r>
      <w:r w:rsidR="002B42DC">
        <w:rPr>
          <w:rFonts w:cs="Times New Roman"/>
          <w:i w:val="0"/>
          <w:sz w:val="24"/>
          <w:szCs w:val="24"/>
        </w:rPr>
        <w:t>S</w:t>
      </w:r>
      <w:r w:rsidRPr="002B42DC">
        <w:rPr>
          <w:rFonts w:cs="Times New Roman"/>
          <w:i w:val="0"/>
          <w:sz w:val="24"/>
          <w:szCs w:val="24"/>
        </w:rPr>
        <w:t xml:space="preserve">ector </w:t>
      </w:r>
      <w:r w:rsidR="00574AC7">
        <w:rPr>
          <w:rFonts w:cs="Times New Roman"/>
          <w:i w:val="0"/>
          <w:sz w:val="24"/>
          <w:szCs w:val="24"/>
        </w:rPr>
        <w:t>E</w:t>
      </w:r>
      <w:r w:rsidRPr="002B42DC">
        <w:rPr>
          <w:rFonts w:cs="Times New Roman"/>
          <w:i w:val="0"/>
          <w:sz w:val="24"/>
          <w:szCs w:val="24"/>
        </w:rPr>
        <w:t>ffects</w:t>
      </w:r>
    </w:p>
    <w:p w14:paraId="61305812" w14:textId="4F72F137"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Factor portfolios could, either structurally or temporarily, exhibit preferences </w:t>
      </w:r>
      <w:r w:rsidR="00961D6D">
        <w:rPr>
          <w:rFonts w:ascii="Times New Roman" w:hAnsi="Times New Roman" w:cs="Times New Roman"/>
          <w:sz w:val="24"/>
          <w:szCs w:val="24"/>
          <w:lang w:val="en-US"/>
        </w:rPr>
        <w:t>f</w:t>
      </w:r>
      <w:r w:rsidRPr="00486F2D">
        <w:rPr>
          <w:rFonts w:ascii="Times New Roman" w:hAnsi="Times New Roman" w:cs="Times New Roman"/>
          <w:sz w:val="24"/>
          <w:szCs w:val="24"/>
          <w:lang w:val="en-US"/>
        </w:rPr>
        <w:t>o</w:t>
      </w:r>
      <w:r w:rsidR="00961D6D">
        <w:rPr>
          <w:rFonts w:ascii="Times New Roman" w:hAnsi="Times New Roman" w:cs="Times New Roman"/>
          <w:sz w:val="24"/>
          <w:szCs w:val="24"/>
          <w:lang w:val="en-US"/>
        </w:rPr>
        <w:t>r</w:t>
      </w:r>
      <w:r w:rsidRPr="00486F2D">
        <w:rPr>
          <w:rFonts w:ascii="Times New Roman" w:hAnsi="Times New Roman" w:cs="Times New Roman"/>
          <w:sz w:val="24"/>
          <w:szCs w:val="24"/>
          <w:lang w:val="en-US"/>
        </w:rPr>
        <w:t xml:space="preserve"> particular market segments, such as credit ratings, maturity </w:t>
      </w:r>
      <w:r w:rsidR="00204ACC" w:rsidRPr="00486F2D">
        <w:rPr>
          <w:rFonts w:ascii="Times New Roman" w:hAnsi="Times New Roman" w:cs="Times New Roman"/>
          <w:sz w:val="24"/>
          <w:szCs w:val="24"/>
          <w:lang w:val="en-US"/>
        </w:rPr>
        <w:t>buckets,</w:t>
      </w:r>
      <w:r w:rsidRPr="00486F2D">
        <w:rPr>
          <w:rFonts w:ascii="Times New Roman" w:hAnsi="Times New Roman" w:cs="Times New Roman"/>
          <w:sz w:val="24"/>
          <w:szCs w:val="24"/>
          <w:lang w:val="en-US"/>
        </w:rPr>
        <w:t xml:space="preserve"> or sectors. To determine to wh</w:t>
      </w:r>
      <w:r w:rsidR="00BB5EEB">
        <w:rPr>
          <w:rFonts w:ascii="Times New Roman" w:hAnsi="Times New Roman" w:cs="Times New Roman"/>
          <w:sz w:val="24"/>
          <w:szCs w:val="24"/>
          <w:lang w:val="en-US"/>
        </w:rPr>
        <w:t>at</w:t>
      </w:r>
      <w:r w:rsidRPr="00486F2D">
        <w:rPr>
          <w:rFonts w:ascii="Times New Roman" w:hAnsi="Times New Roman" w:cs="Times New Roman"/>
          <w:sz w:val="24"/>
          <w:szCs w:val="24"/>
          <w:lang w:val="en-US"/>
        </w:rPr>
        <w:t xml:space="preserve"> extent our results are </w:t>
      </w:r>
      <w:r w:rsidR="00BB5EEB">
        <w:rPr>
          <w:rFonts w:ascii="Times New Roman" w:hAnsi="Times New Roman" w:cs="Times New Roman"/>
          <w:sz w:val="24"/>
          <w:szCs w:val="24"/>
          <w:lang w:val="en-US"/>
        </w:rPr>
        <w:t>affe</w:t>
      </w:r>
      <w:r w:rsidRPr="00486F2D">
        <w:rPr>
          <w:rFonts w:ascii="Times New Roman" w:hAnsi="Times New Roman" w:cs="Times New Roman"/>
          <w:sz w:val="24"/>
          <w:szCs w:val="24"/>
          <w:lang w:val="en-US"/>
        </w:rPr>
        <w:t xml:space="preserve">cted by such preferences, we construct rating-neutral, </w:t>
      </w:r>
      <w:r w:rsidR="00204ACC" w:rsidRPr="00486F2D">
        <w:rPr>
          <w:rFonts w:ascii="Times New Roman" w:hAnsi="Times New Roman" w:cs="Times New Roman"/>
          <w:sz w:val="24"/>
          <w:szCs w:val="24"/>
          <w:lang w:val="en-US"/>
        </w:rPr>
        <w:t>maturity-neutral,</w:t>
      </w:r>
      <w:r w:rsidRPr="00486F2D">
        <w:rPr>
          <w:rFonts w:ascii="Times New Roman" w:hAnsi="Times New Roman" w:cs="Times New Roman"/>
          <w:sz w:val="24"/>
          <w:szCs w:val="24"/>
          <w:lang w:val="en-US"/>
        </w:rPr>
        <w:t xml:space="preserve"> and sector-neutral factor portfolios. First, we divide the sample in</w:t>
      </w:r>
      <w:r w:rsidR="008737A7">
        <w:rPr>
          <w:rFonts w:ascii="Times New Roman" w:hAnsi="Times New Roman" w:cs="Times New Roman"/>
          <w:sz w:val="24"/>
          <w:szCs w:val="24"/>
          <w:lang w:val="en-US"/>
        </w:rPr>
        <w:t>to</w:t>
      </w:r>
      <w:r w:rsidRPr="00486F2D">
        <w:rPr>
          <w:rFonts w:ascii="Times New Roman" w:hAnsi="Times New Roman" w:cs="Times New Roman"/>
          <w:sz w:val="24"/>
          <w:szCs w:val="24"/>
          <w:lang w:val="en-US"/>
        </w:rPr>
        <w:t xml:space="preserve"> groups </w:t>
      </w:r>
      <w:r w:rsidR="008737A7">
        <w:rPr>
          <w:rFonts w:ascii="Times New Roman" w:hAnsi="Times New Roman" w:cs="Times New Roman"/>
          <w:sz w:val="24"/>
          <w:szCs w:val="24"/>
          <w:lang w:val="en-US"/>
        </w:rPr>
        <w:t>(</w:t>
      </w:r>
      <w:r w:rsidRPr="00486F2D">
        <w:rPr>
          <w:rFonts w:ascii="Times New Roman" w:hAnsi="Times New Roman" w:cs="Times New Roman"/>
          <w:sz w:val="24"/>
          <w:szCs w:val="24"/>
          <w:lang w:val="en-US"/>
        </w:rPr>
        <w:t>e.g.</w:t>
      </w:r>
      <w:r w:rsidR="008737A7">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using credit rating</w:t>
      </w:r>
      <w:r w:rsidR="008737A7">
        <w:rPr>
          <w:rFonts w:ascii="Times New Roman" w:hAnsi="Times New Roman" w:cs="Times New Roman"/>
          <w:sz w:val="24"/>
          <w:szCs w:val="24"/>
          <w:lang w:val="en-US"/>
        </w:rPr>
        <w:t>s)</w:t>
      </w:r>
      <w:r w:rsidRPr="00486F2D">
        <w:rPr>
          <w:rFonts w:ascii="Times New Roman" w:hAnsi="Times New Roman" w:cs="Times New Roman"/>
          <w:sz w:val="24"/>
          <w:szCs w:val="24"/>
          <w:lang w:val="en-US"/>
        </w:rPr>
        <w:t xml:space="preserve">. Then, we select the top 10% based on a particular factor in each group. Finally, we merge the decile portfolios of all groups to construct the group-neutral factor portfolio. We conduct this analysis for all factors </w:t>
      </w:r>
      <w:r w:rsidR="0073245E">
        <w:rPr>
          <w:rFonts w:ascii="Times New Roman" w:hAnsi="Times New Roman" w:cs="Times New Roman"/>
          <w:sz w:val="24"/>
          <w:szCs w:val="24"/>
          <w:lang w:val="en-US"/>
        </w:rPr>
        <w:t>with respect to</w:t>
      </w:r>
      <w:r w:rsidRPr="00486F2D">
        <w:rPr>
          <w:rFonts w:ascii="Times New Roman" w:hAnsi="Times New Roman" w:cs="Times New Roman"/>
          <w:sz w:val="24"/>
          <w:szCs w:val="24"/>
          <w:lang w:val="en-US"/>
        </w:rPr>
        <w:t xml:space="preserve"> credit ratings (AAA/AA, A, BBB, BB, B</w:t>
      </w:r>
      <w:r w:rsidR="0007279F">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and CCC/CC/C), maturities (five equal-sized groups)</w:t>
      </w:r>
      <w:r w:rsidR="0073245E">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and sectors (Consumer Cyclical, Consumer Non-Cyclical, Energy + Utilities, Industrials, Financials, Others). The exception is the </w:t>
      </w:r>
      <w:r w:rsidR="0007279F">
        <w:rPr>
          <w:rFonts w:ascii="Times New Roman" w:hAnsi="Times New Roman" w:cs="Times New Roman"/>
          <w:sz w:val="24"/>
          <w:szCs w:val="24"/>
          <w:lang w:val="en-US"/>
        </w:rPr>
        <w:t>l</w:t>
      </w:r>
      <w:r w:rsidRPr="00486F2D">
        <w:rPr>
          <w:rFonts w:ascii="Times New Roman" w:hAnsi="Times New Roman" w:cs="Times New Roman"/>
          <w:sz w:val="24"/>
          <w:szCs w:val="24"/>
          <w:lang w:val="en-US"/>
        </w:rPr>
        <w:t>ow-</w:t>
      </w:r>
      <w:r w:rsidR="0007279F">
        <w:rPr>
          <w:rFonts w:ascii="Times New Roman" w:hAnsi="Times New Roman" w:cs="Times New Roman"/>
          <w:sz w:val="24"/>
          <w:szCs w:val="24"/>
          <w:lang w:val="en-US"/>
        </w:rPr>
        <w:t>r</w:t>
      </w:r>
      <w:r w:rsidRPr="00486F2D">
        <w:rPr>
          <w:rFonts w:ascii="Times New Roman" w:hAnsi="Times New Roman" w:cs="Times New Roman"/>
          <w:sz w:val="24"/>
          <w:szCs w:val="24"/>
          <w:lang w:val="en-US"/>
        </w:rPr>
        <w:t xml:space="preserve">isk factor, for which we do not </w:t>
      </w:r>
      <w:r w:rsidR="0007279F">
        <w:rPr>
          <w:rFonts w:ascii="Times New Roman" w:hAnsi="Times New Roman" w:cs="Times New Roman"/>
          <w:sz w:val="24"/>
          <w:szCs w:val="24"/>
          <w:lang w:val="en-US"/>
        </w:rPr>
        <w:t>control for rating and maturity</w:t>
      </w:r>
      <w:r w:rsidRPr="00486F2D">
        <w:rPr>
          <w:rFonts w:ascii="Times New Roman" w:hAnsi="Times New Roman" w:cs="Times New Roman"/>
          <w:sz w:val="24"/>
          <w:szCs w:val="24"/>
          <w:lang w:val="en-US"/>
        </w:rPr>
        <w:t xml:space="preserve"> because they are an integral part of the </w:t>
      </w:r>
      <w:r w:rsidR="0007279F" w:rsidRPr="00486F2D">
        <w:rPr>
          <w:rFonts w:ascii="Times New Roman" w:hAnsi="Times New Roman" w:cs="Times New Roman"/>
          <w:sz w:val="24"/>
          <w:szCs w:val="24"/>
          <w:lang w:val="en-US"/>
        </w:rPr>
        <w:t>definition</w:t>
      </w:r>
      <w:r w:rsidR="0007279F">
        <w:rPr>
          <w:rFonts w:ascii="Times New Roman" w:hAnsi="Times New Roman" w:cs="Times New Roman"/>
          <w:sz w:val="24"/>
          <w:szCs w:val="24"/>
          <w:lang w:val="en-US"/>
        </w:rPr>
        <w:t xml:space="preserve"> of l</w:t>
      </w:r>
      <w:r w:rsidRPr="00486F2D">
        <w:rPr>
          <w:rFonts w:ascii="Times New Roman" w:hAnsi="Times New Roman" w:cs="Times New Roman"/>
          <w:sz w:val="24"/>
          <w:szCs w:val="24"/>
          <w:lang w:val="en-US"/>
        </w:rPr>
        <w:t>ow</w:t>
      </w:r>
      <w:r w:rsidR="0007279F">
        <w:rPr>
          <w:rFonts w:ascii="Times New Roman" w:hAnsi="Times New Roman" w:cs="Times New Roman"/>
          <w:sz w:val="24"/>
          <w:szCs w:val="24"/>
          <w:lang w:val="en-US"/>
        </w:rPr>
        <w:t xml:space="preserve"> r</w:t>
      </w:r>
      <w:r w:rsidRPr="00486F2D">
        <w:rPr>
          <w:rFonts w:ascii="Times New Roman" w:hAnsi="Times New Roman" w:cs="Times New Roman"/>
          <w:sz w:val="24"/>
          <w:szCs w:val="24"/>
          <w:lang w:val="en-US"/>
        </w:rPr>
        <w:t>isk.</w:t>
      </w:r>
    </w:p>
    <w:p w14:paraId="16AF9E9B" w14:textId="4F0C576D"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The results are shown in </w:t>
      </w:r>
      <w:r w:rsidR="00DE4C5F" w:rsidRPr="00D94E0B">
        <w:rPr>
          <w:rFonts w:ascii="Times New Roman" w:hAnsi="Times New Roman" w:cs="Times New Roman"/>
          <w:b/>
          <w:sz w:val="24"/>
          <w:szCs w:val="24"/>
          <w:lang w:val="en-US"/>
        </w:rPr>
        <w:t>Table A2</w:t>
      </w:r>
      <w:r w:rsidRPr="00486F2D">
        <w:rPr>
          <w:rFonts w:ascii="Times New Roman" w:hAnsi="Times New Roman" w:cs="Times New Roman"/>
          <w:sz w:val="24"/>
          <w:szCs w:val="24"/>
          <w:lang w:val="en-US"/>
        </w:rPr>
        <w:t xml:space="preserve">. In </w:t>
      </w:r>
      <w:r w:rsidR="00204ACC" w:rsidRPr="00486F2D">
        <w:rPr>
          <w:rFonts w:ascii="Times New Roman" w:hAnsi="Times New Roman" w:cs="Times New Roman"/>
          <w:sz w:val="24"/>
          <w:szCs w:val="24"/>
          <w:lang w:val="en-US"/>
        </w:rPr>
        <w:t>general,</w:t>
      </w:r>
      <w:r w:rsidRPr="00486F2D">
        <w:rPr>
          <w:rFonts w:ascii="Times New Roman" w:hAnsi="Times New Roman" w:cs="Times New Roman"/>
          <w:sz w:val="24"/>
          <w:szCs w:val="24"/>
          <w:lang w:val="en-US"/>
        </w:rPr>
        <w:t xml:space="preserve"> we find that the performance of the factor portfolios is robust to controlling for rating, </w:t>
      </w:r>
      <w:r w:rsidR="00204ACC" w:rsidRPr="00486F2D">
        <w:rPr>
          <w:rFonts w:ascii="Times New Roman" w:hAnsi="Times New Roman" w:cs="Times New Roman"/>
          <w:sz w:val="24"/>
          <w:szCs w:val="24"/>
          <w:lang w:val="en-US"/>
        </w:rPr>
        <w:t>maturity,</w:t>
      </w:r>
      <w:r w:rsidRPr="00486F2D">
        <w:rPr>
          <w:rFonts w:ascii="Times New Roman" w:hAnsi="Times New Roman" w:cs="Times New Roman"/>
          <w:sz w:val="24"/>
          <w:szCs w:val="24"/>
          <w:lang w:val="en-US"/>
        </w:rPr>
        <w:t xml:space="preserve"> or sector effects. For both </w:t>
      </w:r>
      <w:r w:rsidR="002D2EE7">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2D2EE7">
        <w:rPr>
          <w:rFonts w:ascii="Times New Roman" w:hAnsi="Times New Roman" w:cs="Times New Roman"/>
          <w:sz w:val="24"/>
          <w:szCs w:val="24"/>
          <w:lang w:val="en-US"/>
        </w:rPr>
        <w:t>g</w:t>
      </w:r>
      <w:r w:rsidRPr="00486F2D">
        <w:rPr>
          <w:rFonts w:ascii="Times New Roman" w:hAnsi="Times New Roman" w:cs="Times New Roman"/>
          <w:sz w:val="24"/>
          <w:szCs w:val="24"/>
          <w:lang w:val="en-US"/>
        </w:rPr>
        <w:t xml:space="preserve">rade and </w:t>
      </w:r>
      <w:r w:rsidR="002D2EE7">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2D2EE7">
        <w:rPr>
          <w:rFonts w:ascii="Times New Roman" w:hAnsi="Times New Roman" w:cs="Times New Roman"/>
          <w:sz w:val="24"/>
          <w:szCs w:val="24"/>
          <w:lang w:val="en-US"/>
        </w:rPr>
        <w:t>y</w:t>
      </w:r>
      <w:r w:rsidRPr="00486F2D">
        <w:rPr>
          <w:rFonts w:ascii="Times New Roman" w:hAnsi="Times New Roman" w:cs="Times New Roman"/>
          <w:sz w:val="24"/>
          <w:szCs w:val="24"/>
          <w:lang w:val="en-US"/>
        </w:rPr>
        <w:t>ield</w:t>
      </w:r>
      <w:r w:rsidR="002D2EE7">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all Sharpe ratios remain statistically significant and most are very similar to </w:t>
      </w:r>
      <w:r w:rsidR="000D14E6">
        <w:rPr>
          <w:rFonts w:ascii="Times New Roman" w:hAnsi="Times New Roman" w:cs="Times New Roman"/>
          <w:sz w:val="24"/>
          <w:szCs w:val="24"/>
          <w:lang w:val="en-US"/>
        </w:rPr>
        <w:t xml:space="preserve">those in </w:t>
      </w:r>
      <w:r w:rsidRPr="00486F2D">
        <w:rPr>
          <w:rFonts w:ascii="Times New Roman" w:hAnsi="Times New Roman" w:cs="Times New Roman"/>
          <w:sz w:val="24"/>
          <w:szCs w:val="24"/>
          <w:lang w:val="en-US"/>
        </w:rPr>
        <w:t xml:space="preserve">the base case. The same is true for the alphas, with a few exceptions. An interesting improvement can be observed for </w:t>
      </w:r>
      <w:r w:rsidR="002D2EE7">
        <w:rPr>
          <w:rFonts w:ascii="Times New Roman" w:hAnsi="Times New Roman" w:cs="Times New Roman"/>
          <w:sz w:val="24"/>
          <w:szCs w:val="24"/>
          <w:lang w:val="en-US"/>
        </w:rPr>
        <w:t>m</w:t>
      </w:r>
      <w:r w:rsidRPr="00486F2D">
        <w:rPr>
          <w:rFonts w:ascii="Times New Roman" w:hAnsi="Times New Roman" w:cs="Times New Roman"/>
          <w:sz w:val="24"/>
          <w:szCs w:val="24"/>
          <w:lang w:val="en-US"/>
        </w:rPr>
        <w:t xml:space="preserve">omentum in </w:t>
      </w:r>
      <w:r w:rsidR="002D2EE7">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2D2EE7">
        <w:rPr>
          <w:rFonts w:ascii="Times New Roman" w:hAnsi="Times New Roman" w:cs="Times New Roman"/>
          <w:sz w:val="24"/>
          <w:szCs w:val="24"/>
          <w:lang w:val="en-US"/>
        </w:rPr>
        <w:t>g</w:t>
      </w:r>
      <w:r w:rsidRPr="00486F2D">
        <w:rPr>
          <w:rFonts w:ascii="Times New Roman" w:hAnsi="Times New Roman" w:cs="Times New Roman"/>
          <w:sz w:val="24"/>
          <w:szCs w:val="24"/>
          <w:lang w:val="en-US"/>
        </w:rPr>
        <w:t>rade</w:t>
      </w:r>
      <w:r w:rsidR="00C62D9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r w:rsidR="00C62D92">
        <w:rPr>
          <w:rFonts w:ascii="Times New Roman" w:hAnsi="Times New Roman" w:cs="Times New Roman"/>
          <w:sz w:val="24"/>
          <w:szCs w:val="24"/>
          <w:lang w:val="en-US"/>
        </w:rPr>
        <w:t>T</w:t>
      </w:r>
      <w:r w:rsidRPr="00486F2D">
        <w:rPr>
          <w:rFonts w:ascii="Times New Roman" w:hAnsi="Times New Roman" w:cs="Times New Roman"/>
          <w:sz w:val="24"/>
          <w:szCs w:val="24"/>
          <w:lang w:val="en-US"/>
        </w:rPr>
        <w:t xml:space="preserve">he maturity-neutral portfolio construction results in a significantly higher Sharpe ratio than </w:t>
      </w:r>
      <w:r w:rsidR="002D2EE7">
        <w:rPr>
          <w:rFonts w:ascii="Times New Roman" w:hAnsi="Times New Roman" w:cs="Times New Roman"/>
          <w:sz w:val="24"/>
          <w:szCs w:val="24"/>
          <w:lang w:val="en-US"/>
        </w:rPr>
        <w:t xml:space="preserve">that of </w:t>
      </w:r>
      <w:r w:rsidRPr="00486F2D">
        <w:rPr>
          <w:rFonts w:ascii="Times New Roman" w:hAnsi="Times New Roman" w:cs="Times New Roman"/>
          <w:sz w:val="24"/>
          <w:szCs w:val="24"/>
          <w:lang w:val="en-US"/>
        </w:rPr>
        <w:t xml:space="preserve">the corporate bond market and in a significant alpha as well </w:t>
      </w:r>
      <w:r w:rsidR="002D2EE7">
        <w:rPr>
          <w:rFonts w:ascii="Times New Roman" w:hAnsi="Times New Roman" w:cs="Times New Roman"/>
          <w:sz w:val="24"/>
          <w:szCs w:val="24"/>
          <w:lang w:val="en-US"/>
        </w:rPr>
        <w:t>(</w:t>
      </w:r>
      <w:r w:rsidRPr="00486F2D">
        <w:rPr>
          <w:rFonts w:ascii="Times New Roman" w:hAnsi="Times New Roman" w:cs="Times New Roman"/>
          <w:sz w:val="24"/>
          <w:szCs w:val="24"/>
          <w:lang w:val="en-US"/>
        </w:rPr>
        <w:t>see Panel D</w:t>
      </w:r>
      <w:r w:rsidR="002D2EE7">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p>
    <w:p w14:paraId="306167B5" w14:textId="77777777" w:rsidR="00F949B9" w:rsidRDefault="00F949B9">
      <w:pPr>
        <w:rPr>
          <w:rFonts w:ascii="Times New Roman" w:eastAsiaTheme="majorEastAsia" w:hAnsi="Times New Roman" w:cs="Times New Roman"/>
          <w:b/>
          <w:bCs/>
          <w:sz w:val="24"/>
          <w:szCs w:val="24"/>
          <w:lang w:val="en-US"/>
        </w:rPr>
      </w:pPr>
      <w:r>
        <w:rPr>
          <w:rFonts w:cs="Times New Roman"/>
          <w:i/>
          <w:sz w:val="24"/>
          <w:szCs w:val="24"/>
        </w:rPr>
        <w:br w:type="page"/>
      </w:r>
    </w:p>
    <w:p w14:paraId="19A695A4" w14:textId="45DE8E3A" w:rsidR="00F949B9" w:rsidRPr="00486F2D" w:rsidRDefault="00F949B9" w:rsidP="00F949B9">
      <w:pPr>
        <w:spacing w:after="0" w:line="240" w:lineRule="auto"/>
        <w:rPr>
          <w:rFonts w:ascii="Times New Roman" w:hAnsi="Times New Roman" w:cs="Times New Roman"/>
          <w:b/>
          <w:sz w:val="20"/>
          <w:lang w:val="en-US"/>
        </w:rPr>
      </w:pPr>
      <w:r w:rsidRPr="00486F2D">
        <w:rPr>
          <w:rFonts w:ascii="Times New Roman" w:hAnsi="Times New Roman" w:cs="Times New Roman"/>
          <w:b/>
          <w:sz w:val="20"/>
          <w:lang w:val="en-US"/>
        </w:rPr>
        <w:t xml:space="preserve">Table </w:t>
      </w:r>
      <w:r w:rsidRPr="00DE4C5F">
        <w:rPr>
          <w:rFonts w:ascii="Times New Roman" w:hAnsi="Times New Roman" w:cs="Times New Roman"/>
          <w:b/>
          <w:sz w:val="20"/>
          <w:lang w:val="en-US"/>
        </w:rPr>
        <w:t>A2</w:t>
      </w:r>
      <w:r>
        <w:rPr>
          <w:rFonts w:ascii="Times New Roman" w:hAnsi="Times New Roman" w:cs="Times New Roman"/>
          <w:b/>
          <w:sz w:val="20"/>
          <w:lang w:val="en-US"/>
        </w:rPr>
        <w:t>.</w:t>
      </w:r>
      <w:r w:rsidRPr="00486F2D">
        <w:rPr>
          <w:rFonts w:ascii="Times New Roman" w:hAnsi="Times New Roman" w:cs="Times New Roman"/>
          <w:b/>
          <w:sz w:val="20"/>
          <w:lang w:val="en-US"/>
        </w:rPr>
        <w:t xml:space="preserve"> Performance </w:t>
      </w:r>
      <w:r>
        <w:rPr>
          <w:rFonts w:ascii="Times New Roman" w:hAnsi="Times New Roman" w:cs="Times New Roman"/>
          <w:b/>
          <w:sz w:val="20"/>
          <w:lang w:val="en-US"/>
        </w:rPr>
        <w:t>S</w:t>
      </w:r>
      <w:r w:rsidRPr="00486F2D">
        <w:rPr>
          <w:rFonts w:ascii="Times New Roman" w:hAnsi="Times New Roman" w:cs="Times New Roman"/>
          <w:b/>
          <w:sz w:val="20"/>
          <w:lang w:val="en-US"/>
        </w:rPr>
        <w:t xml:space="preserve">tatistics of </w:t>
      </w:r>
      <w:r>
        <w:rPr>
          <w:rFonts w:ascii="Times New Roman" w:hAnsi="Times New Roman" w:cs="Times New Roman"/>
          <w:b/>
          <w:sz w:val="20"/>
          <w:lang w:val="en-US"/>
        </w:rPr>
        <w:t>L</w:t>
      </w:r>
      <w:r w:rsidRPr="00486F2D">
        <w:rPr>
          <w:rFonts w:ascii="Times New Roman" w:hAnsi="Times New Roman" w:cs="Times New Roman"/>
          <w:b/>
          <w:sz w:val="20"/>
          <w:lang w:val="en-US"/>
        </w:rPr>
        <w:t>ong-</w:t>
      </w:r>
      <w:r>
        <w:rPr>
          <w:rFonts w:ascii="Times New Roman" w:hAnsi="Times New Roman" w:cs="Times New Roman"/>
          <w:b/>
          <w:sz w:val="20"/>
          <w:lang w:val="en-US"/>
        </w:rPr>
        <w:t>O</w:t>
      </w:r>
      <w:r w:rsidRPr="00486F2D">
        <w:rPr>
          <w:rFonts w:ascii="Times New Roman" w:hAnsi="Times New Roman" w:cs="Times New Roman"/>
          <w:b/>
          <w:sz w:val="20"/>
          <w:lang w:val="en-US"/>
        </w:rPr>
        <w:t xml:space="preserve">nly </w:t>
      </w:r>
      <w:r>
        <w:rPr>
          <w:rFonts w:ascii="Times New Roman" w:hAnsi="Times New Roman" w:cs="Times New Roman"/>
          <w:b/>
          <w:sz w:val="20"/>
          <w:lang w:val="en-US"/>
        </w:rPr>
        <w:t>F</w:t>
      </w:r>
      <w:r w:rsidRPr="00486F2D">
        <w:rPr>
          <w:rFonts w:ascii="Times New Roman" w:hAnsi="Times New Roman" w:cs="Times New Roman"/>
          <w:b/>
          <w:sz w:val="20"/>
          <w:lang w:val="en-US"/>
        </w:rPr>
        <w:t xml:space="preserve">actor </w:t>
      </w:r>
      <w:r>
        <w:rPr>
          <w:rFonts w:ascii="Times New Roman" w:hAnsi="Times New Roman" w:cs="Times New Roman"/>
          <w:b/>
          <w:sz w:val="20"/>
          <w:lang w:val="en-US"/>
        </w:rPr>
        <w:t>P</w:t>
      </w:r>
      <w:r w:rsidRPr="00486F2D">
        <w:rPr>
          <w:rFonts w:ascii="Times New Roman" w:hAnsi="Times New Roman" w:cs="Times New Roman"/>
          <w:b/>
          <w:sz w:val="20"/>
          <w:lang w:val="en-US"/>
        </w:rPr>
        <w:t xml:space="preserve">ortfolios </w:t>
      </w:r>
      <w:r>
        <w:rPr>
          <w:rFonts w:ascii="Times New Roman" w:hAnsi="Times New Roman" w:cs="Times New Roman"/>
          <w:b/>
          <w:sz w:val="20"/>
          <w:lang w:val="en-US"/>
        </w:rPr>
        <w:t>C</w:t>
      </w:r>
      <w:r w:rsidRPr="00486F2D">
        <w:rPr>
          <w:rFonts w:ascii="Times New Roman" w:hAnsi="Times New Roman" w:cs="Times New Roman"/>
          <w:b/>
          <w:sz w:val="20"/>
          <w:lang w:val="en-US"/>
        </w:rPr>
        <w:t xml:space="preserve">ontrolled for </w:t>
      </w:r>
      <w:r>
        <w:rPr>
          <w:rFonts w:ascii="Times New Roman" w:hAnsi="Times New Roman" w:cs="Times New Roman"/>
          <w:b/>
          <w:sz w:val="20"/>
          <w:lang w:val="en-US"/>
        </w:rPr>
        <w:t>R</w:t>
      </w:r>
      <w:r w:rsidRPr="00486F2D">
        <w:rPr>
          <w:rFonts w:ascii="Times New Roman" w:hAnsi="Times New Roman" w:cs="Times New Roman"/>
          <w:b/>
          <w:sz w:val="20"/>
          <w:lang w:val="en-US"/>
        </w:rPr>
        <w:t xml:space="preserve">ating, </w:t>
      </w:r>
      <w:r>
        <w:rPr>
          <w:rFonts w:ascii="Times New Roman" w:hAnsi="Times New Roman" w:cs="Times New Roman"/>
          <w:b/>
          <w:sz w:val="20"/>
          <w:lang w:val="en-US"/>
        </w:rPr>
        <w:t>M</w:t>
      </w:r>
      <w:r w:rsidRPr="00486F2D">
        <w:rPr>
          <w:rFonts w:ascii="Times New Roman" w:hAnsi="Times New Roman" w:cs="Times New Roman"/>
          <w:b/>
          <w:sz w:val="20"/>
          <w:lang w:val="en-US"/>
        </w:rPr>
        <w:t>aturity</w:t>
      </w:r>
      <w:r>
        <w:rPr>
          <w:rFonts w:ascii="Times New Roman" w:hAnsi="Times New Roman" w:cs="Times New Roman"/>
          <w:b/>
          <w:sz w:val="20"/>
          <w:lang w:val="en-US"/>
        </w:rPr>
        <w:t>,</w:t>
      </w:r>
      <w:r w:rsidRPr="00486F2D">
        <w:rPr>
          <w:rFonts w:ascii="Times New Roman" w:hAnsi="Times New Roman" w:cs="Times New Roman"/>
          <w:b/>
          <w:sz w:val="20"/>
          <w:lang w:val="en-US"/>
        </w:rPr>
        <w:t xml:space="preserve"> or </w:t>
      </w:r>
      <w:r>
        <w:rPr>
          <w:rFonts w:ascii="Times New Roman" w:hAnsi="Times New Roman" w:cs="Times New Roman"/>
          <w:b/>
          <w:sz w:val="20"/>
          <w:lang w:val="en-US"/>
        </w:rPr>
        <w:t>S</w:t>
      </w:r>
      <w:r w:rsidRPr="00486F2D">
        <w:rPr>
          <w:rFonts w:ascii="Times New Roman" w:hAnsi="Times New Roman" w:cs="Times New Roman"/>
          <w:b/>
          <w:sz w:val="20"/>
          <w:lang w:val="en-US"/>
        </w:rPr>
        <w:t xml:space="preserve">ector </w:t>
      </w:r>
      <w:r>
        <w:rPr>
          <w:rFonts w:ascii="Times New Roman" w:hAnsi="Times New Roman" w:cs="Times New Roman"/>
          <w:b/>
          <w:sz w:val="20"/>
          <w:lang w:val="en-US"/>
        </w:rPr>
        <w:t>E</w:t>
      </w:r>
      <w:r w:rsidRPr="00486F2D">
        <w:rPr>
          <w:rFonts w:ascii="Times New Roman" w:hAnsi="Times New Roman" w:cs="Times New Roman"/>
          <w:b/>
          <w:sz w:val="20"/>
          <w:lang w:val="en-US"/>
        </w:rPr>
        <w:t>ffects</w:t>
      </w:r>
      <w:r>
        <w:rPr>
          <w:rFonts w:ascii="Times New Roman" w:hAnsi="Times New Roman" w:cs="Times New Roman"/>
          <w:b/>
          <w:sz w:val="20"/>
          <w:lang w:val="en-US"/>
        </w:rPr>
        <w:t xml:space="preserve">, </w:t>
      </w:r>
      <w:r w:rsidRPr="00C60EB8">
        <w:rPr>
          <w:rFonts w:ascii="Times New Roman" w:hAnsi="Times New Roman" w:cs="Times New Roman"/>
          <w:b/>
          <w:sz w:val="20"/>
          <w:lang w:val="en-US"/>
        </w:rPr>
        <w:t>January 1994</w:t>
      </w:r>
      <w:r>
        <w:rPr>
          <w:rFonts w:ascii="Times New Roman" w:hAnsi="Times New Roman" w:cs="Times New Roman"/>
          <w:b/>
          <w:sz w:val="20"/>
          <w:lang w:val="en-US"/>
        </w:rPr>
        <w:t>–</w:t>
      </w:r>
      <w:r w:rsidRPr="00C60EB8">
        <w:rPr>
          <w:rFonts w:ascii="Times New Roman" w:hAnsi="Times New Roman" w:cs="Times New Roman"/>
          <w:b/>
          <w:sz w:val="20"/>
          <w:lang w:val="en-US"/>
        </w:rPr>
        <w:t>June 2015</w:t>
      </w:r>
    </w:p>
    <w:tbl>
      <w:tblPr>
        <w:tblW w:w="12716" w:type="dxa"/>
        <w:tblInd w:w="93" w:type="dxa"/>
        <w:tblLook w:val="04A0" w:firstRow="1" w:lastRow="0" w:firstColumn="1" w:lastColumn="0" w:noHBand="0" w:noVBand="1"/>
      </w:tblPr>
      <w:tblGrid>
        <w:gridCol w:w="2540"/>
        <w:gridCol w:w="1240"/>
        <w:gridCol w:w="1240"/>
        <w:gridCol w:w="1240"/>
        <w:gridCol w:w="1240"/>
        <w:gridCol w:w="256"/>
        <w:gridCol w:w="1240"/>
        <w:gridCol w:w="1240"/>
        <w:gridCol w:w="1240"/>
        <w:gridCol w:w="1240"/>
      </w:tblGrid>
      <w:tr w:rsidR="00F949B9" w:rsidRPr="00486F2D" w14:paraId="5C4D18E0" w14:textId="77777777" w:rsidTr="006019F0">
        <w:trPr>
          <w:trHeight w:hRule="exact" w:val="227"/>
        </w:trPr>
        <w:tc>
          <w:tcPr>
            <w:tcW w:w="2540" w:type="dxa"/>
            <w:tcBorders>
              <w:top w:val="single" w:sz="4" w:space="0" w:color="auto"/>
              <w:left w:val="nil"/>
              <w:right w:val="nil"/>
            </w:tcBorders>
            <w:shd w:val="clear" w:color="auto" w:fill="auto"/>
            <w:noWrap/>
            <w:vAlign w:val="bottom"/>
            <w:hideMark/>
          </w:tcPr>
          <w:p w14:paraId="26C763B6" w14:textId="77777777" w:rsidR="00F949B9" w:rsidRPr="00486F2D" w:rsidRDefault="00F949B9" w:rsidP="006019F0">
            <w:pPr>
              <w:spacing w:after="0" w:line="240" w:lineRule="auto"/>
              <w:rPr>
                <w:rFonts w:ascii="Times New Roman" w:hAnsi="Times New Roman" w:cs="Times New Roman"/>
                <w:i/>
                <w:color w:val="000000"/>
                <w:sz w:val="16"/>
                <w:szCs w:val="16"/>
                <w:lang w:val="en-US" w:eastAsia="en-GB"/>
              </w:rPr>
            </w:pPr>
            <w:r w:rsidRPr="00486F2D">
              <w:rPr>
                <w:rFonts w:ascii="Times New Roman" w:hAnsi="Times New Roman" w:cs="Times New Roman"/>
                <w:i/>
                <w:color w:val="000000"/>
                <w:sz w:val="16"/>
                <w:szCs w:val="16"/>
                <w:lang w:val="en-US" w:eastAsia="en-GB"/>
              </w:rPr>
              <w:t> </w:t>
            </w:r>
          </w:p>
        </w:tc>
        <w:tc>
          <w:tcPr>
            <w:tcW w:w="4960" w:type="dxa"/>
            <w:gridSpan w:val="4"/>
            <w:tcBorders>
              <w:top w:val="single" w:sz="4" w:space="0" w:color="auto"/>
              <w:left w:val="nil"/>
              <w:bottom w:val="single" w:sz="4" w:space="0" w:color="auto"/>
              <w:right w:val="nil"/>
            </w:tcBorders>
            <w:shd w:val="clear" w:color="auto" w:fill="auto"/>
            <w:noWrap/>
            <w:vAlign w:val="bottom"/>
            <w:hideMark/>
          </w:tcPr>
          <w:p w14:paraId="4A48FA42" w14:textId="77777777" w:rsidR="00F949B9" w:rsidRPr="00CA0F5F" w:rsidRDefault="00F949B9" w:rsidP="006019F0">
            <w:pPr>
              <w:spacing w:after="0" w:line="240" w:lineRule="auto"/>
              <w:jc w:val="center"/>
              <w:rPr>
                <w:rFonts w:ascii="Times New Roman" w:hAnsi="Times New Roman" w:cs="Times New Roman"/>
                <w:color w:val="000000"/>
                <w:sz w:val="16"/>
                <w:szCs w:val="16"/>
                <w:lang w:eastAsia="en-GB"/>
              </w:rPr>
            </w:pPr>
            <w:r w:rsidRPr="00CA0F5F">
              <w:rPr>
                <w:rFonts w:ascii="Times New Roman" w:hAnsi="Times New Roman" w:cs="Times New Roman"/>
                <w:color w:val="000000"/>
                <w:sz w:val="16"/>
                <w:szCs w:val="16"/>
                <w:lang w:eastAsia="en-GB"/>
              </w:rPr>
              <w:t>Investment Grade</w:t>
            </w:r>
          </w:p>
        </w:tc>
        <w:tc>
          <w:tcPr>
            <w:tcW w:w="256" w:type="dxa"/>
            <w:tcBorders>
              <w:top w:val="single" w:sz="4" w:space="0" w:color="auto"/>
              <w:left w:val="nil"/>
              <w:right w:val="nil"/>
            </w:tcBorders>
            <w:shd w:val="clear" w:color="auto" w:fill="auto"/>
            <w:noWrap/>
            <w:vAlign w:val="bottom"/>
            <w:hideMark/>
          </w:tcPr>
          <w:p w14:paraId="6CB59835" w14:textId="77777777" w:rsidR="00F949B9" w:rsidRPr="00486F2D" w:rsidRDefault="00F949B9" w:rsidP="006019F0">
            <w:pPr>
              <w:spacing w:after="0" w:line="240" w:lineRule="auto"/>
              <w:rPr>
                <w:rFonts w:ascii="Times New Roman" w:hAnsi="Times New Roman" w:cs="Times New Roman"/>
                <w:i/>
                <w:color w:val="000000"/>
                <w:sz w:val="16"/>
                <w:szCs w:val="16"/>
                <w:lang w:eastAsia="en-GB"/>
              </w:rPr>
            </w:pPr>
            <w:r w:rsidRPr="00486F2D">
              <w:rPr>
                <w:rFonts w:ascii="Times New Roman" w:hAnsi="Times New Roman" w:cs="Times New Roman"/>
                <w:i/>
                <w:color w:val="000000"/>
                <w:sz w:val="16"/>
                <w:szCs w:val="16"/>
                <w:lang w:eastAsia="en-GB"/>
              </w:rPr>
              <w:t> </w:t>
            </w:r>
          </w:p>
        </w:tc>
        <w:tc>
          <w:tcPr>
            <w:tcW w:w="4960" w:type="dxa"/>
            <w:gridSpan w:val="4"/>
            <w:tcBorders>
              <w:top w:val="single" w:sz="4" w:space="0" w:color="auto"/>
              <w:left w:val="nil"/>
              <w:bottom w:val="single" w:sz="4" w:space="0" w:color="auto"/>
              <w:right w:val="nil"/>
            </w:tcBorders>
            <w:shd w:val="clear" w:color="auto" w:fill="auto"/>
            <w:noWrap/>
            <w:vAlign w:val="bottom"/>
            <w:hideMark/>
          </w:tcPr>
          <w:p w14:paraId="0D9D081E" w14:textId="77777777" w:rsidR="00F949B9" w:rsidRPr="00CA0F5F" w:rsidRDefault="00F949B9" w:rsidP="006019F0">
            <w:pPr>
              <w:spacing w:after="0" w:line="240" w:lineRule="auto"/>
              <w:jc w:val="center"/>
              <w:rPr>
                <w:rFonts w:ascii="Times New Roman" w:hAnsi="Times New Roman" w:cs="Times New Roman"/>
                <w:color w:val="000000"/>
                <w:sz w:val="16"/>
                <w:szCs w:val="16"/>
                <w:lang w:eastAsia="en-GB"/>
              </w:rPr>
            </w:pPr>
            <w:r w:rsidRPr="00CA0F5F">
              <w:rPr>
                <w:rFonts w:ascii="Times New Roman" w:hAnsi="Times New Roman" w:cs="Times New Roman"/>
                <w:color w:val="000000"/>
                <w:sz w:val="16"/>
                <w:szCs w:val="16"/>
                <w:lang w:eastAsia="en-GB"/>
              </w:rPr>
              <w:t>High Yield</w:t>
            </w:r>
          </w:p>
        </w:tc>
      </w:tr>
      <w:tr w:rsidR="00F949B9" w:rsidRPr="00486F2D" w14:paraId="2AC48F1A" w14:textId="77777777" w:rsidTr="006019F0">
        <w:trPr>
          <w:trHeight w:hRule="exact" w:val="227"/>
        </w:trPr>
        <w:tc>
          <w:tcPr>
            <w:tcW w:w="2540" w:type="dxa"/>
            <w:tcBorders>
              <w:top w:val="nil"/>
              <w:left w:val="nil"/>
              <w:bottom w:val="single" w:sz="4" w:space="0" w:color="auto"/>
              <w:right w:val="nil"/>
            </w:tcBorders>
            <w:shd w:val="clear" w:color="auto" w:fill="auto"/>
            <w:noWrap/>
            <w:vAlign w:val="bottom"/>
            <w:hideMark/>
          </w:tcPr>
          <w:p w14:paraId="14C0292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w:t>
            </w:r>
          </w:p>
        </w:tc>
        <w:tc>
          <w:tcPr>
            <w:tcW w:w="1240" w:type="dxa"/>
            <w:tcBorders>
              <w:top w:val="nil"/>
              <w:left w:val="nil"/>
              <w:bottom w:val="single" w:sz="4" w:space="0" w:color="auto"/>
              <w:right w:val="nil"/>
            </w:tcBorders>
            <w:shd w:val="clear" w:color="auto" w:fill="auto"/>
            <w:noWrap/>
            <w:vAlign w:val="bottom"/>
            <w:hideMark/>
          </w:tcPr>
          <w:p w14:paraId="2AF6DC7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Mean</w:t>
            </w:r>
          </w:p>
        </w:tc>
        <w:tc>
          <w:tcPr>
            <w:tcW w:w="1240" w:type="dxa"/>
            <w:tcBorders>
              <w:top w:val="nil"/>
              <w:left w:val="nil"/>
              <w:bottom w:val="single" w:sz="4" w:space="0" w:color="auto"/>
              <w:right w:val="nil"/>
            </w:tcBorders>
            <w:shd w:val="clear" w:color="auto" w:fill="auto"/>
            <w:noWrap/>
            <w:vAlign w:val="bottom"/>
            <w:hideMark/>
          </w:tcPr>
          <w:p w14:paraId="5B737B6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Volatility</w:t>
            </w:r>
          </w:p>
        </w:tc>
        <w:tc>
          <w:tcPr>
            <w:tcW w:w="1240" w:type="dxa"/>
            <w:tcBorders>
              <w:top w:val="nil"/>
              <w:left w:val="nil"/>
              <w:bottom w:val="single" w:sz="4" w:space="0" w:color="auto"/>
              <w:right w:val="nil"/>
            </w:tcBorders>
            <w:shd w:val="clear" w:color="auto" w:fill="auto"/>
            <w:noWrap/>
            <w:vAlign w:val="bottom"/>
            <w:hideMark/>
          </w:tcPr>
          <w:p w14:paraId="7852A3B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xml:space="preserve">Sharpe </w:t>
            </w:r>
            <w:r>
              <w:rPr>
                <w:rFonts w:ascii="Times New Roman" w:hAnsi="Times New Roman" w:cs="Times New Roman"/>
                <w:color w:val="000000"/>
                <w:sz w:val="16"/>
                <w:szCs w:val="16"/>
                <w:lang w:eastAsia="en-GB"/>
              </w:rPr>
              <w:t>R</w:t>
            </w:r>
            <w:r w:rsidRPr="00486F2D">
              <w:rPr>
                <w:rFonts w:ascii="Times New Roman" w:hAnsi="Times New Roman" w:cs="Times New Roman"/>
                <w:color w:val="000000"/>
                <w:sz w:val="16"/>
                <w:szCs w:val="16"/>
                <w:lang w:eastAsia="en-GB"/>
              </w:rPr>
              <w:t>atio</w:t>
            </w:r>
          </w:p>
        </w:tc>
        <w:tc>
          <w:tcPr>
            <w:tcW w:w="1240" w:type="dxa"/>
            <w:tcBorders>
              <w:top w:val="nil"/>
              <w:left w:val="nil"/>
              <w:bottom w:val="single" w:sz="4" w:space="0" w:color="auto"/>
              <w:right w:val="nil"/>
            </w:tcBorders>
            <w:shd w:val="clear" w:color="auto" w:fill="auto"/>
            <w:noWrap/>
            <w:vAlign w:val="bottom"/>
            <w:hideMark/>
          </w:tcPr>
          <w:p w14:paraId="155EA5C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CAPM</w:t>
            </w:r>
            <w:r>
              <w:rPr>
                <w:rFonts w:ascii="Times New Roman" w:hAnsi="Times New Roman" w:cs="Times New Roman"/>
                <w:color w:val="000000"/>
                <w:sz w:val="16"/>
                <w:szCs w:val="16"/>
                <w:lang w:eastAsia="en-GB"/>
              </w:rPr>
              <w:t xml:space="preserve"> A</w:t>
            </w:r>
            <w:r w:rsidRPr="00486F2D">
              <w:rPr>
                <w:rFonts w:ascii="Times New Roman" w:hAnsi="Times New Roman" w:cs="Times New Roman"/>
                <w:color w:val="000000"/>
                <w:sz w:val="16"/>
                <w:szCs w:val="16"/>
                <w:lang w:eastAsia="en-GB"/>
              </w:rPr>
              <w:t>lpha</w:t>
            </w:r>
          </w:p>
        </w:tc>
        <w:tc>
          <w:tcPr>
            <w:tcW w:w="256" w:type="dxa"/>
            <w:tcBorders>
              <w:left w:val="nil"/>
              <w:bottom w:val="single" w:sz="4" w:space="0" w:color="auto"/>
              <w:right w:val="nil"/>
            </w:tcBorders>
            <w:shd w:val="clear" w:color="auto" w:fill="auto"/>
            <w:noWrap/>
            <w:vAlign w:val="bottom"/>
            <w:hideMark/>
          </w:tcPr>
          <w:p w14:paraId="6B0998A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w:t>
            </w:r>
          </w:p>
        </w:tc>
        <w:tc>
          <w:tcPr>
            <w:tcW w:w="1240" w:type="dxa"/>
            <w:tcBorders>
              <w:top w:val="nil"/>
              <w:left w:val="nil"/>
              <w:bottom w:val="single" w:sz="4" w:space="0" w:color="auto"/>
              <w:right w:val="nil"/>
            </w:tcBorders>
            <w:shd w:val="clear" w:color="auto" w:fill="auto"/>
            <w:noWrap/>
            <w:vAlign w:val="bottom"/>
            <w:hideMark/>
          </w:tcPr>
          <w:p w14:paraId="6A33348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Mean</w:t>
            </w:r>
          </w:p>
        </w:tc>
        <w:tc>
          <w:tcPr>
            <w:tcW w:w="1240" w:type="dxa"/>
            <w:tcBorders>
              <w:top w:val="nil"/>
              <w:left w:val="nil"/>
              <w:bottom w:val="single" w:sz="4" w:space="0" w:color="auto"/>
              <w:right w:val="nil"/>
            </w:tcBorders>
            <w:shd w:val="clear" w:color="auto" w:fill="auto"/>
            <w:noWrap/>
            <w:vAlign w:val="bottom"/>
            <w:hideMark/>
          </w:tcPr>
          <w:p w14:paraId="49743AC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Volatility</w:t>
            </w:r>
          </w:p>
        </w:tc>
        <w:tc>
          <w:tcPr>
            <w:tcW w:w="1240" w:type="dxa"/>
            <w:tcBorders>
              <w:top w:val="nil"/>
              <w:left w:val="nil"/>
              <w:bottom w:val="single" w:sz="4" w:space="0" w:color="auto"/>
              <w:right w:val="nil"/>
            </w:tcBorders>
            <w:shd w:val="clear" w:color="auto" w:fill="auto"/>
            <w:noWrap/>
            <w:vAlign w:val="bottom"/>
            <w:hideMark/>
          </w:tcPr>
          <w:p w14:paraId="0AFF9C3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xml:space="preserve">Sharpe </w:t>
            </w:r>
            <w:r>
              <w:rPr>
                <w:rFonts w:ascii="Times New Roman" w:hAnsi="Times New Roman" w:cs="Times New Roman"/>
                <w:color w:val="000000"/>
                <w:sz w:val="16"/>
                <w:szCs w:val="16"/>
                <w:lang w:eastAsia="en-GB"/>
              </w:rPr>
              <w:t>R</w:t>
            </w:r>
            <w:r w:rsidRPr="00486F2D">
              <w:rPr>
                <w:rFonts w:ascii="Times New Roman" w:hAnsi="Times New Roman" w:cs="Times New Roman"/>
                <w:color w:val="000000"/>
                <w:sz w:val="16"/>
                <w:szCs w:val="16"/>
                <w:lang w:eastAsia="en-GB"/>
              </w:rPr>
              <w:t>atio</w:t>
            </w:r>
          </w:p>
        </w:tc>
        <w:tc>
          <w:tcPr>
            <w:tcW w:w="1240" w:type="dxa"/>
            <w:tcBorders>
              <w:top w:val="nil"/>
              <w:left w:val="nil"/>
              <w:bottom w:val="single" w:sz="4" w:space="0" w:color="auto"/>
              <w:right w:val="nil"/>
            </w:tcBorders>
            <w:shd w:val="clear" w:color="auto" w:fill="auto"/>
            <w:noWrap/>
            <w:vAlign w:val="bottom"/>
            <w:hideMark/>
          </w:tcPr>
          <w:p w14:paraId="0B17CA9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CAPM</w:t>
            </w:r>
            <w:r>
              <w:rPr>
                <w:rFonts w:ascii="Times New Roman" w:hAnsi="Times New Roman" w:cs="Times New Roman"/>
                <w:color w:val="000000"/>
                <w:sz w:val="16"/>
                <w:szCs w:val="16"/>
                <w:lang w:eastAsia="en-GB"/>
              </w:rPr>
              <w:t xml:space="preserve"> A</w:t>
            </w:r>
            <w:r w:rsidRPr="00486F2D">
              <w:rPr>
                <w:rFonts w:ascii="Times New Roman" w:hAnsi="Times New Roman" w:cs="Times New Roman"/>
                <w:color w:val="000000"/>
                <w:sz w:val="16"/>
                <w:szCs w:val="16"/>
                <w:lang w:eastAsia="en-GB"/>
              </w:rPr>
              <w:t>lpha</w:t>
            </w:r>
          </w:p>
        </w:tc>
      </w:tr>
      <w:tr w:rsidR="00F949B9" w:rsidRPr="00486F2D" w14:paraId="11E73F5E" w14:textId="77777777" w:rsidTr="006019F0">
        <w:trPr>
          <w:trHeight w:hRule="exact" w:val="227"/>
        </w:trPr>
        <w:tc>
          <w:tcPr>
            <w:tcW w:w="2540" w:type="dxa"/>
            <w:tcBorders>
              <w:top w:val="single" w:sz="4" w:space="0" w:color="auto"/>
              <w:left w:val="nil"/>
              <w:right w:val="nil"/>
            </w:tcBorders>
            <w:shd w:val="clear" w:color="auto" w:fill="auto"/>
            <w:noWrap/>
            <w:vAlign w:val="bottom"/>
            <w:hideMark/>
          </w:tcPr>
          <w:p w14:paraId="51B29669" w14:textId="77777777" w:rsidR="00F949B9" w:rsidRPr="00CD72BF" w:rsidRDefault="00F949B9" w:rsidP="006019F0">
            <w:pPr>
              <w:spacing w:after="0" w:line="240" w:lineRule="auto"/>
              <w:rPr>
                <w:rFonts w:ascii="Times New Roman" w:hAnsi="Times New Roman" w:cs="Times New Roman"/>
                <w:i/>
                <w:color w:val="000000"/>
                <w:sz w:val="16"/>
                <w:szCs w:val="16"/>
                <w:lang w:eastAsia="en-GB"/>
              </w:rPr>
            </w:pPr>
            <w:r w:rsidRPr="00CD72BF">
              <w:rPr>
                <w:rFonts w:ascii="Times New Roman" w:hAnsi="Times New Roman" w:cs="Times New Roman"/>
                <w:i/>
                <w:color w:val="000000"/>
                <w:sz w:val="16"/>
                <w:szCs w:val="16"/>
                <w:lang w:eastAsia="en-GB"/>
              </w:rPr>
              <w:t>A. Size</w:t>
            </w:r>
          </w:p>
        </w:tc>
        <w:tc>
          <w:tcPr>
            <w:tcW w:w="1240" w:type="dxa"/>
            <w:tcBorders>
              <w:top w:val="single" w:sz="4" w:space="0" w:color="auto"/>
              <w:left w:val="nil"/>
              <w:right w:val="nil"/>
            </w:tcBorders>
            <w:shd w:val="clear" w:color="auto" w:fill="auto"/>
            <w:noWrap/>
            <w:vAlign w:val="bottom"/>
            <w:hideMark/>
          </w:tcPr>
          <w:p w14:paraId="4B411C4D"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1BE78DDE"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1D3A3399"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5CDA4607"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single" w:sz="4" w:space="0" w:color="auto"/>
              <w:left w:val="nil"/>
              <w:right w:val="nil"/>
            </w:tcBorders>
            <w:shd w:val="clear" w:color="auto" w:fill="auto"/>
            <w:noWrap/>
            <w:vAlign w:val="bottom"/>
            <w:hideMark/>
          </w:tcPr>
          <w:p w14:paraId="3CBD6564"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48E787E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75560CFF"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013D8F8C"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31B8998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3519AC2E" w14:textId="77777777" w:rsidTr="006019F0">
        <w:trPr>
          <w:trHeight w:hRule="exact" w:val="227"/>
        </w:trPr>
        <w:tc>
          <w:tcPr>
            <w:tcW w:w="2540" w:type="dxa"/>
            <w:tcBorders>
              <w:top w:val="nil"/>
              <w:left w:val="nil"/>
              <w:right w:val="nil"/>
            </w:tcBorders>
            <w:shd w:val="clear" w:color="auto" w:fill="auto"/>
            <w:noWrap/>
            <w:vAlign w:val="bottom"/>
            <w:hideMark/>
          </w:tcPr>
          <w:p w14:paraId="6F76BE4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B</w:t>
            </w:r>
            <w:r w:rsidRPr="00486F2D">
              <w:rPr>
                <w:rFonts w:ascii="Times New Roman" w:hAnsi="Times New Roman" w:cs="Times New Roman"/>
                <w:color w:val="000000"/>
                <w:sz w:val="16"/>
                <w:szCs w:val="16"/>
                <w:lang w:eastAsia="en-GB"/>
              </w:rPr>
              <w:t>ase case</w:t>
            </w:r>
          </w:p>
        </w:tc>
        <w:tc>
          <w:tcPr>
            <w:tcW w:w="1240" w:type="dxa"/>
            <w:tcBorders>
              <w:top w:val="nil"/>
              <w:left w:val="nil"/>
              <w:right w:val="nil"/>
            </w:tcBorders>
            <w:shd w:val="clear" w:color="auto" w:fill="auto"/>
            <w:noWrap/>
            <w:vAlign w:val="center"/>
            <w:hideMark/>
          </w:tcPr>
          <w:p w14:paraId="396E395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1.61%</w:t>
            </w:r>
          </w:p>
        </w:tc>
        <w:tc>
          <w:tcPr>
            <w:tcW w:w="1240" w:type="dxa"/>
            <w:tcBorders>
              <w:top w:val="nil"/>
              <w:left w:val="nil"/>
              <w:right w:val="nil"/>
            </w:tcBorders>
            <w:shd w:val="clear" w:color="auto" w:fill="auto"/>
            <w:noWrap/>
            <w:vAlign w:val="center"/>
            <w:hideMark/>
          </w:tcPr>
          <w:p w14:paraId="549A9FC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3.82%</w:t>
            </w:r>
          </w:p>
        </w:tc>
        <w:tc>
          <w:tcPr>
            <w:tcW w:w="1240" w:type="dxa"/>
            <w:tcBorders>
              <w:top w:val="nil"/>
              <w:left w:val="nil"/>
              <w:right w:val="nil"/>
            </w:tcBorders>
            <w:shd w:val="clear" w:color="auto" w:fill="auto"/>
            <w:noWrap/>
            <w:vAlign w:val="center"/>
            <w:hideMark/>
          </w:tcPr>
          <w:p w14:paraId="4AF0D26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0.42*</w:t>
            </w:r>
          </w:p>
        </w:tc>
        <w:tc>
          <w:tcPr>
            <w:tcW w:w="1240" w:type="dxa"/>
            <w:tcBorders>
              <w:top w:val="nil"/>
              <w:left w:val="nil"/>
              <w:right w:val="nil"/>
            </w:tcBorders>
            <w:shd w:val="clear" w:color="auto" w:fill="auto"/>
            <w:noWrap/>
            <w:vAlign w:val="center"/>
            <w:hideMark/>
          </w:tcPr>
          <w:p w14:paraId="13C4F1A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1.12%*</w:t>
            </w:r>
          </w:p>
        </w:tc>
        <w:tc>
          <w:tcPr>
            <w:tcW w:w="256" w:type="dxa"/>
            <w:tcBorders>
              <w:top w:val="nil"/>
              <w:left w:val="nil"/>
              <w:right w:val="nil"/>
            </w:tcBorders>
            <w:shd w:val="clear" w:color="auto" w:fill="auto"/>
            <w:noWrap/>
            <w:vAlign w:val="center"/>
            <w:hideMark/>
          </w:tcPr>
          <w:p w14:paraId="0577F9B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center"/>
            <w:hideMark/>
          </w:tcPr>
          <w:p w14:paraId="66B313E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7.83%</w:t>
            </w:r>
          </w:p>
        </w:tc>
        <w:tc>
          <w:tcPr>
            <w:tcW w:w="1240" w:type="dxa"/>
            <w:tcBorders>
              <w:top w:val="nil"/>
              <w:left w:val="nil"/>
              <w:right w:val="nil"/>
            </w:tcBorders>
            <w:shd w:val="clear" w:color="auto" w:fill="auto"/>
            <w:noWrap/>
            <w:vAlign w:val="center"/>
            <w:hideMark/>
          </w:tcPr>
          <w:p w14:paraId="7F106B5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12.20%</w:t>
            </w:r>
          </w:p>
        </w:tc>
        <w:tc>
          <w:tcPr>
            <w:tcW w:w="1240" w:type="dxa"/>
            <w:tcBorders>
              <w:top w:val="nil"/>
              <w:left w:val="nil"/>
              <w:right w:val="nil"/>
            </w:tcBorders>
            <w:shd w:val="clear" w:color="auto" w:fill="auto"/>
            <w:noWrap/>
            <w:vAlign w:val="center"/>
            <w:hideMark/>
          </w:tcPr>
          <w:p w14:paraId="33F41A8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0.64**</w:t>
            </w:r>
          </w:p>
        </w:tc>
        <w:tc>
          <w:tcPr>
            <w:tcW w:w="1240" w:type="dxa"/>
            <w:tcBorders>
              <w:top w:val="nil"/>
              <w:left w:val="nil"/>
              <w:right w:val="nil"/>
            </w:tcBorders>
            <w:shd w:val="clear" w:color="auto" w:fill="auto"/>
            <w:noWrap/>
            <w:vAlign w:val="center"/>
            <w:hideMark/>
          </w:tcPr>
          <w:p w14:paraId="36AA0F4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5.68%*</w:t>
            </w:r>
          </w:p>
        </w:tc>
      </w:tr>
      <w:tr w:rsidR="00F949B9" w:rsidRPr="00486F2D" w14:paraId="4DE351E3" w14:textId="77777777" w:rsidTr="006019F0">
        <w:trPr>
          <w:trHeight w:hRule="exact" w:val="227"/>
        </w:trPr>
        <w:tc>
          <w:tcPr>
            <w:tcW w:w="2540" w:type="dxa"/>
            <w:tcBorders>
              <w:top w:val="nil"/>
              <w:left w:val="nil"/>
              <w:right w:val="nil"/>
            </w:tcBorders>
            <w:shd w:val="clear" w:color="auto" w:fill="auto"/>
            <w:noWrap/>
            <w:vAlign w:val="bottom"/>
            <w:hideMark/>
          </w:tcPr>
          <w:p w14:paraId="34EF24D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R</w:t>
            </w:r>
            <w:r w:rsidRPr="00486F2D">
              <w:rPr>
                <w:rFonts w:ascii="Times New Roman" w:hAnsi="Times New Roman" w:cs="Times New Roman"/>
                <w:color w:val="000000"/>
                <w:sz w:val="16"/>
                <w:szCs w:val="16"/>
                <w:lang w:eastAsia="en-GB"/>
              </w:rPr>
              <w:t>ating</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55646A6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1.43</w:t>
            </w:r>
          </w:p>
        </w:tc>
        <w:tc>
          <w:tcPr>
            <w:tcW w:w="1240" w:type="dxa"/>
            <w:tcBorders>
              <w:top w:val="nil"/>
              <w:left w:val="nil"/>
              <w:right w:val="nil"/>
            </w:tcBorders>
            <w:shd w:val="clear" w:color="auto" w:fill="auto"/>
            <w:noWrap/>
            <w:vAlign w:val="bottom"/>
            <w:hideMark/>
          </w:tcPr>
          <w:p w14:paraId="0852AA4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3.68</w:t>
            </w:r>
          </w:p>
        </w:tc>
        <w:tc>
          <w:tcPr>
            <w:tcW w:w="1240" w:type="dxa"/>
            <w:tcBorders>
              <w:top w:val="nil"/>
              <w:left w:val="nil"/>
              <w:right w:val="nil"/>
            </w:tcBorders>
            <w:shd w:val="clear" w:color="auto" w:fill="auto"/>
            <w:noWrap/>
            <w:vAlign w:val="bottom"/>
            <w:hideMark/>
          </w:tcPr>
          <w:p w14:paraId="665BAD8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0.39*</w:t>
            </w:r>
          </w:p>
        </w:tc>
        <w:tc>
          <w:tcPr>
            <w:tcW w:w="1240" w:type="dxa"/>
            <w:tcBorders>
              <w:top w:val="nil"/>
              <w:left w:val="nil"/>
              <w:right w:val="nil"/>
            </w:tcBorders>
            <w:shd w:val="clear" w:color="auto" w:fill="auto"/>
            <w:noWrap/>
            <w:vAlign w:val="bottom"/>
            <w:hideMark/>
          </w:tcPr>
          <w:p w14:paraId="661DDDC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1.07</w:t>
            </w:r>
          </w:p>
        </w:tc>
        <w:tc>
          <w:tcPr>
            <w:tcW w:w="256" w:type="dxa"/>
            <w:tcBorders>
              <w:top w:val="nil"/>
              <w:left w:val="nil"/>
              <w:right w:val="nil"/>
            </w:tcBorders>
            <w:shd w:val="clear" w:color="auto" w:fill="auto"/>
            <w:noWrap/>
            <w:vAlign w:val="bottom"/>
            <w:hideMark/>
          </w:tcPr>
          <w:p w14:paraId="22D2EAA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1081A33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5.52</w:t>
            </w:r>
          </w:p>
        </w:tc>
        <w:tc>
          <w:tcPr>
            <w:tcW w:w="1240" w:type="dxa"/>
            <w:tcBorders>
              <w:top w:val="nil"/>
              <w:left w:val="nil"/>
              <w:right w:val="nil"/>
            </w:tcBorders>
            <w:shd w:val="clear" w:color="auto" w:fill="auto"/>
            <w:noWrap/>
            <w:vAlign w:val="bottom"/>
            <w:hideMark/>
          </w:tcPr>
          <w:p w14:paraId="585F9A4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9.72</w:t>
            </w:r>
          </w:p>
        </w:tc>
        <w:tc>
          <w:tcPr>
            <w:tcW w:w="1240" w:type="dxa"/>
            <w:tcBorders>
              <w:top w:val="nil"/>
              <w:left w:val="nil"/>
              <w:right w:val="nil"/>
            </w:tcBorders>
            <w:shd w:val="clear" w:color="auto" w:fill="auto"/>
            <w:noWrap/>
            <w:vAlign w:val="bottom"/>
            <w:hideMark/>
          </w:tcPr>
          <w:p w14:paraId="66AE3DB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0.57**</w:t>
            </w:r>
          </w:p>
        </w:tc>
        <w:tc>
          <w:tcPr>
            <w:tcW w:w="1240" w:type="dxa"/>
            <w:tcBorders>
              <w:top w:val="nil"/>
              <w:left w:val="nil"/>
              <w:right w:val="nil"/>
            </w:tcBorders>
            <w:shd w:val="clear" w:color="auto" w:fill="auto"/>
            <w:noWrap/>
            <w:vAlign w:val="bottom"/>
            <w:hideMark/>
          </w:tcPr>
          <w:p w14:paraId="458301A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3.64*</w:t>
            </w:r>
          </w:p>
        </w:tc>
      </w:tr>
      <w:tr w:rsidR="00F949B9" w:rsidRPr="00486F2D" w14:paraId="26D9A383" w14:textId="77777777" w:rsidTr="006019F0">
        <w:trPr>
          <w:trHeight w:hRule="exact" w:val="227"/>
        </w:trPr>
        <w:tc>
          <w:tcPr>
            <w:tcW w:w="2540" w:type="dxa"/>
            <w:tcBorders>
              <w:top w:val="nil"/>
              <w:left w:val="nil"/>
              <w:right w:val="nil"/>
            </w:tcBorders>
            <w:shd w:val="clear" w:color="auto" w:fill="auto"/>
            <w:noWrap/>
            <w:vAlign w:val="bottom"/>
            <w:hideMark/>
          </w:tcPr>
          <w:p w14:paraId="24C952B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M</w:t>
            </w:r>
            <w:r w:rsidRPr="00486F2D">
              <w:rPr>
                <w:rFonts w:ascii="Times New Roman" w:hAnsi="Times New Roman" w:cs="Times New Roman"/>
                <w:color w:val="000000"/>
                <w:sz w:val="16"/>
                <w:szCs w:val="16"/>
                <w:lang w:eastAsia="en-GB"/>
              </w:rPr>
              <w:t>aturity</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5A77543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1.59</w:t>
            </w:r>
          </w:p>
        </w:tc>
        <w:tc>
          <w:tcPr>
            <w:tcW w:w="1240" w:type="dxa"/>
            <w:tcBorders>
              <w:top w:val="nil"/>
              <w:left w:val="nil"/>
              <w:right w:val="nil"/>
            </w:tcBorders>
            <w:shd w:val="clear" w:color="auto" w:fill="auto"/>
            <w:noWrap/>
            <w:vAlign w:val="bottom"/>
            <w:hideMark/>
          </w:tcPr>
          <w:p w14:paraId="2EE6364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4.06</w:t>
            </w:r>
          </w:p>
        </w:tc>
        <w:tc>
          <w:tcPr>
            <w:tcW w:w="1240" w:type="dxa"/>
            <w:tcBorders>
              <w:top w:val="nil"/>
              <w:left w:val="nil"/>
              <w:right w:val="nil"/>
            </w:tcBorders>
            <w:shd w:val="clear" w:color="auto" w:fill="auto"/>
            <w:noWrap/>
            <w:vAlign w:val="bottom"/>
            <w:hideMark/>
          </w:tcPr>
          <w:p w14:paraId="50BDA83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0.39*</w:t>
            </w:r>
          </w:p>
        </w:tc>
        <w:tc>
          <w:tcPr>
            <w:tcW w:w="1240" w:type="dxa"/>
            <w:tcBorders>
              <w:top w:val="nil"/>
              <w:left w:val="nil"/>
              <w:right w:val="nil"/>
            </w:tcBorders>
            <w:shd w:val="clear" w:color="auto" w:fill="auto"/>
            <w:noWrap/>
            <w:vAlign w:val="bottom"/>
            <w:hideMark/>
          </w:tcPr>
          <w:p w14:paraId="16EA74E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1.20</w:t>
            </w:r>
          </w:p>
        </w:tc>
        <w:tc>
          <w:tcPr>
            <w:tcW w:w="256" w:type="dxa"/>
            <w:tcBorders>
              <w:top w:val="nil"/>
              <w:left w:val="nil"/>
              <w:right w:val="nil"/>
            </w:tcBorders>
            <w:shd w:val="clear" w:color="auto" w:fill="auto"/>
            <w:noWrap/>
            <w:vAlign w:val="bottom"/>
            <w:hideMark/>
          </w:tcPr>
          <w:p w14:paraId="3B93D3F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3137122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7.44</w:t>
            </w:r>
          </w:p>
        </w:tc>
        <w:tc>
          <w:tcPr>
            <w:tcW w:w="1240" w:type="dxa"/>
            <w:tcBorders>
              <w:top w:val="nil"/>
              <w:left w:val="nil"/>
              <w:right w:val="nil"/>
            </w:tcBorders>
            <w:shd w:val="clear" w:color="auto" w:fill="auto"/>
            <w:noWrap/>
            <w:vAlign w:val="bottom"/>
            <w:hideMark/>
          </w:tcPr>
          <w:p w14:paraId="28C04C3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12.55</w:t>
            </w:r>
          </w:p>
        </w:tc>
        <w:tc>
          <w:tcPr>
            <w:tcW w:w="1240" w:type="dxa"/>
            <w:tcBorders>
              <w:top w:val="nil"/>
              <w:left w:val="nil"/>
              <w:right w:val="nil"/>
            </w:tcBorders>
            <w:shd w:val="clear" w:color="auto" w:fill="auto"/>
            <w:noWrap/>
            <w:vAlign w:val="bottom"/>
            <w:hideMark/>
          </w:tcPr>
          <w:p w14:paraId="7437CE7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0.59*</w:t>
            </w:r>
          </w:p>
        </w:tc>
        <w:tc>
          <w:tcPr>
            <w:tcW w:w="1240" w:type="dxa"/>
            <w:tcBorders>
              <w:top w:val="nil"/>
              <w:left w:val="nil"/>
              <w:right w:val="nil"/>
            </w:tcBorders>
            <w:shd w:val="clear" w:color="auto" w:fill="auto"/>
            <w:noWrap/>
            <w:vAlign w:val="bottom"/>
            <w:hideMark/>
          </w:tcPr>
          <w:p w14:paraId="1BF87CD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5.18*</w:t>
            </w:r>
          </w:p>
        </w:tc>
      </w:tr>
      <w:tr w:rsidR="00F949B9" w:rsidRPr="00486F2D" w14:paraId="29C68558" w14:textId="77777777" w:rsidTr="006019F0">
        <w:trPr>
          <w:trHeight w:hRule="exact" w:val="227"/>
        </w:trPr>
        <w:tc>
          <w:tcPr>
            <w:tcW w:w="2540" w:type="dxa"/>
            <w:tcBorders>
              <w:top w:val="nil"/>
              <w:left w:val="nil"/>
              <w:right w:val="nil"/>
            </w:tcBorders>
            <w:shd w:val="clear" w:color="auto" w:fill="auto"/>
            <w:noWrap/>
            <w:vAlign w:val="bottom"/>
            <w:hideMark/>
          </w:tcPr>
          <w:p w14:paraId="0662B1E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S</w:t>
            </w:r>
            <w:r w:rsidRPr="00486F2D">
              <w:rPr>
                <w:rFonts w:ascii="Times New Roman" w:hAnsi="Times New Roman" w:cs="Times New Roman"/>
                <w:color w:val="000000"/>
                <w:sz w:val="16"/>
                <w:szCs w:val="16"/>
                <w:lang w:eastAsia="en-GB"/>
              </w:rPr>
              <w:t>ector</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134FD88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1.53</w:t>
            </w:r>
          </w:p>
        </w:tc>
        <w:tc>
          <w:tcPr>
            <w:tcW w:w="1240" w:type="dxa"/>
            <w:tcBorders>
              <w:top w:val="nil"/>
              <w:left w:val="nil"/>
              <w:right w:val="nil"/>
            </w:tcBorders>
            <w:shd w:val="clear" w:color="auto" w:fill="auto"/>
            <w:noWrap/>
            <w:vAlign w:val="bottom"/>
            <w:hideMark/>
          </w:tcPr>
          <w:p w14:paraId="7932F60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3.66</w:t>
            </w:r>
          </w:p>
        </w:tc>
        <w:tc>
          <w:tcPr>
            <w:tcW w:w="1240" w:type="dxa"/>
            <w:tcBorders>
              <w:top w:val="nil"/>
              <w:left w:val="nil"/>
              <w:right w:val="nil"/>
            </w:tcBorders>
            <w:shd w:val="clear" w:color="auto" w:fill="auto"/>
            <w:noWrap/>
            <w:vAlign w:val="bottom"/>
            <w:hideMark/>
          </w:tcPr>
          <w:p w14:paraId="3314765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0.42*</w:t>
            </w:r>
          </w:p>
        </w:tc>
        <w:tc>
          <w:tcPr>
            <w:tcW w:w="1240" w:type="dxa"/>
            <w:tcBorders>
              <w:top w:val="nil"/>
              <w:left w:val="nil"/>
              <w:right w:val="nil"/>
            </w:tcBorders>
            <w:shd w:val="clear" w:color="auto" w:fill="auto"/>
            <w:noWrap/>
            <w:vAlign w:val="bottom"/>
            <w:hideMark/>
          </w:tcPr>
          <w:p w14:paraId="330C58F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1.17*</w:t>
            </w:r>
          </w:p>
        </w:tc>
        <w:tc>
          <w:tcPr>
            <w:tcW w:w="256" w:type="dxa"/>
            <w:tcBorders>
              <w:top w:val="nil"/>
              <w:left w:val="nil"/>
              <w:right w:val="nil"/>
            </w:tcBorders>
            <w:shd w:val="clear" w:color="auto" w:fill="auto"/>
            <w:noWrap/>
            <w:vAlign w:val="bottom"/>
            <w:hideMark/>
          </w:tcPr>
          <w:p w14:paraId="7BBEF85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684AFDC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7.02</w:t>
            </w:r>
          </w:p>
        </w:tc>
        <w:tc>
          <w:tcPr>
            <w:tcW w:w="1240" w:type="dxa"/>
            <w:tcBorders>
              <w:top w:val="nil"/>
              <w:left w:val="nil"/>
              <w:right w:val="nil"/>
            </w:tcBorders>
            <w:shd w:val="clear" w:color="auto" w:fill="auto"/>
            <w:noWrap/>
            <w:vAlign w:val="bottom"/>
            <w:hideMark/>
          </w:tcPr>
          <w:p w14:paraId="1FF7583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12.23</w:t>
            </w:r>
          </w:p>
        </w:tc>
        <w:tc>
          <w:tcPr>
            <w:tcW w:w="1240" w:type="dxa"/>
            <w:tcBorders>
              <w:top w:val="nil"/>
              <w:left w:val="nil"/>
              <w:right w:val="nil"/>
            </w:tcBorders>
            <w:shd w:val="clear" w:color="auto" w:fill="auto"/>
            <w:noWrap/>
            <w:vAlign w:val="bottom"/>
            <w:hideMark/>
          </w:tcPr>
          <w:p w14:paraId="6F013A4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0.57*</w:t>
            </w:r>
          </w:p>
        </w:tc>
        <w:tc>
          <w:tcPr>
            <w:tcW w:w="1240" w:type="dxa"/>
            <w:tcBorders>
              <w:top w:val="nil"/>
              <w:left w:val="nil"/>
              <w:right w:val="nil"/>
            </w:tcBorders>
            <w:shd w:val="clear" w:color="auto" w:fill="auto"/>
            <w:noWrap/>
            <w:vAlign w:val="bottom"/>
            <w:hideMark/>
          </w:tcPr>
          <w:p w14:paraId="1D24D9D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4.85*</w:t>
            </w:r>
          </w:p>
        </w:tc>
      </w:tr>
      <w:tr w:rsidR="00F949B9" w:rsidRPr="00486F2D" w14:paraId="270154CC" w14:textId="77777777" w:rsidTr="006019F0">
        <w:trPr>
          <w:trHeight w:hRule="exact" w:val="227"/>
        </w:trPr>
        <w:tc>
          <w:tcPr>
            <w:tcW w:w="2540" w:type="dxa"/>
            <w:tcBorders>
              <w:top w:val="nil"/>
              <w:left w:val="nil"/>
              <w:right w:val="nil"/>
            </w:tcBorders>
            <w:shd w:val="clear" w:color="auto" w:fill="auto"/>
            <w:noWrap/>
            <w:vAlign w:val="bottom"/>
          </w:tcPr>
          <w:p w14:paraId="3FF6523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7BBF7B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311C1AF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E43B25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61CFB4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right w:val="nil"/>
            </w:tcBorders>
            <w:shd w:val="clear" w:color="auto" w:fill="auto"/>
            <w:noWrap/>
            <w:vAlign w:val="bottom"/>
          </w:tcPr>
          <w:p w14:paraId="40DFFC6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BE2C4B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75A0D33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35D44DE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CBE990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38D31780" w14:textId="77777777" w:rsidTr="006019F0">
        <w:trPr>
          <w:trHeight w:hRule="exact" w:val="227"/>
        </w:trPr>
        <w:tc>
          <w:tcPr>
            <w:tcW w:w="2540" w:type="dxa"/>
            <w:tcBorders>
              <w:top w:val="nil"/>
              <w:left w:val="nil"/>
              <w:right w:val="nil"/>
            </w:tcBorders>
            <w:shd w:val="clear" w:color="auto" w:fill="auto"/>
            <w:noWrap/>
            <w:vAlign w:val="bottom"/>
            <w:hideMark/>
          </w:tcPr>
          <w:p w14:paraId="791ED2E0" w14:textId="77777777" w:rsidR="00F949B9" w:rsidRPr="00CD72BF" w:rsidRDefault="00F949B9" w:rsidP="006019F0">
            <w:pPr>
              <w:spacing w:after="0" w:line="240" w:lineRule="auto"/>
              <w:rPr>
                <w:rFonts w:ascii="Times New Roman" w:hAnsi="Times New Roman" w:cs="Times New Roman"/>
                <w:i/>
                <w:color w:val="000000"/>
                <w:sz w:val="16"/>
                <w:szCs w:val="16"/>
                <w:lang w:eastAsia="en-GB"/>
              </w:rPr>
            </w:pPr>
            <w:r w:rsidRPr="00CD72BF">
              <w:rPr>
                <w:rFonts w:ascii="Times New Roman" w:hAnsi="Times New Roman" w:cs="Times New Roman"/>
                <w:i/>
                <w:color w:val="000000"/>
                <w:sz w:val="16"/>
                <w:szCs w:val="16"/>
                <w:lang w:eastAsia="en-GB"/>
              </w:rPr>
              <w:t>B. Low risk</w:t>
            </w:r>
          </w:p>
        </w:tc>
        <w:tc>
          <w:tcPr>
            <w:tcW w:w="1240" w:type="dxa"/>
            <w:tcBorders>
              <w:top w:val="nil"/>
              <w:left w:val="nil"/>
              <w:right w:val="nil"/>
            </w:tcBorders>
            <w:shd w:val="clear" w:color="auto" w:fill="auto"/>
            <w:noWrap/>
            <w:vAlign w:val="bottom"/>
            <w:hideMark/>
          </w:tcPr>
          <w:p w14:paraId="2E8CC121"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68D9DC3D"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8E2F46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5C761B3"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nil"/>
              <w:left w:val="nil"/>
              <w:right w:val="nil"/>
            </w:tcBorders>
            <w:shd w:val="clear" w:color="auto" w:fill="auto"/>
            <w:noWrap/>
            <w:vAlign w:val="bottom"/>
            <w:hideMark/>
          </w:tcPr>
          <w:p w14:paraId="4CFBC5AD"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1DB59C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71048FE"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6CCEB27"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4E65F775"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5B03D252" w14:textId="77777777" w:rsidTr="006019F0">
        <w:trPr>
          <w:trHeight w:hRule="exact" w:val="227"/>
        </w:trPr>
        <w:tc>
          <w:tcPr>
            <w:tcW w:w="2540" w:type="dxa"/>
            <w:tcBorders>
              <w:top w:val="nil"/>
              <w:left w:val="nil"/>
              <w:right w:val="nil"/>
            </w:tcBorders>
            <w:shd w:val="clear" w:color="auto" w:fill="auto"/>
            <w:noWrap/>
            <w:vAlign w:val="bottom"/>
            <w:hideMark/>
          </w:tcPr>
          <w:p w14:paraId="153954B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B</w:t>
            </w:r>
            <w:r w:rsidRPr="00486F2D">
              <w:rPr>
                <w:rFonts w:ascii="Times New Roman" w:hAnsi="Times New Roman" w:cs="Times New Roman"/>
                <w:color w:val="000000"/>
                <w:sz w:val="16"/>
                <w:szCs w:val="16"/>
                <w:lang w:eastAsia="en-GB"/>
              </w:rPr>
              <w:t>ase case</w:t>
            </w:r>
          </w:p>
        </w:tc>
        <w:tc>
          <w:tcPr>
            <w:tcW w:w="1240" w:type="dxa"/>
            <w:tcBorders>
              <w:top w:val="nil"/>
              <w:left w:val="nil"/>
              <w:right w:val="nil"/>
            </w:tcBorders>
            <w:shd w:val="clear" w:color="auto" w:fill="auto"/>
            <w:noWrap/>
            <w:vAlign w:val="bottom"/>
            <w:hideMark/>
          </w:tcPr>
          <w:p w14:paraId="53744B7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0.91%</w:t>
            </w:r>
          </w:p>
        </w:tc>
        <w:tc>
          <w:tcPr>
            <w:tcW w:w="1240" w:type="dxa"/>
            <w:tcBorders>
              <w:top w:val="nil"/>
              <w:left w:val="nil"/>
              <w:right w:val="nil"/>
            </w:tcBorders>
            <w:shd w:val="clear" w:color="auto" w:fill="auto"/>
            <w:noWrap/>
            <w:vAlign w:val="bottom"/>
            <w:hideMark/>
          </w:tcPr>
          <w:p w14:paraId="2F811E8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2.24%</w:t>
            </w:r>
          </w:p>
        </w:tc>
        <w:tc>
          <w:tcPr>
            <w:tcW w:w="1240" w:type="dxa"/>
            <w:tcBorders>
              <w:top w:val="nil"/>
              <w:left w:val="nil"/>
              <w:right w:val="nil"/>
            </w:tcBorders>
            <w:shd w:val="clear" w:color="auto" w:fill="auto"/>
            <w:noWrap/>
            <w:vAlign w:val="bottom"/>
            <w:hideMark/>
          </w:tcPr>
          <w:p w14:paraId="077C0CC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0.41*</w:t>
            </w:r>
          </w:p>
        </w:tc>
        <w:tc>
          <w:tcPr>
            <w:tcW w:w="1240" w:type="dxa"/>
            <w:tcBorders>
              <w:top w:val="nil"/>
              <w:left w:val="nil"/>
              <w:right w:val="nil"/>
            </w:tcBorders>
            <w:shd w:val="clear" w:color="auto" w:fill="auto"/>
            <w:noWrap/>
            <w:vAlign w:val="bottom"/>
            <w:hideMark/>
          </w:tcPr>
          <w:p w14:paraId="3D025CC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0.70%**</w:t>
            </w:r>
          </w:p>
        </w:tc>
        <w:tc>
          <w:tcPr>
            <w:tcW w:w="256" w:type="dxa"/>
            <w:tcBorders>
              <w:top w:val="nil"/>
              <w:left w:val="nil"/>
              <w:right w:val="nil"/>
            </w:tcBorders>
            <w:shd w:val="clear" w:color="auto" w:fill="auto"/>
            <w:noWrap/>
            <w:vAlign w:val="bottom"/>
            <w:hideMark/>
          </w:tcPr>
          <w:p w14:paraId="1EADD9C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0E890DA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3.78%</w:t>
            </w:r>
          </w:p>
        </w:tc>
        <w:tc>
          <w:tcPr>
            <w:tcW w:w="1240" w:type="dxa"/>
            <w:tcBorders>
              <w:top w:val="nil"/>
              <w:left w:val="nil"/>
              <w:right w:val="nil"/>
            </w:tcBorders>
            <w:shd w:val="clear" w:color="auto" w:fill="auto"/>
            <w:noWrap/>
            <w:vAlign w:val="bottom"/>
            <w:hideMark/>
          </w:tcPr>
          <w:p w14:paraId="3ADC748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6.69%</w:t>
            </w:r>
          </w:p>
        </w:tc>
        <w:tc>
          <w:tcPr>
            <w:tcW w:w="1240" w:type="dxa"/>
            <w:tcBorders>
              <w:top w:val="nil"/>
              <w:left w:val="nil"/>
              <w:right w:val="nil"/>
            </w:tcBorders>
            <w:shd w:val="clear" w:color="auto" w:fill="auto"/>
            <w:noWrap/>
            <w:vAlign w:val="bottom"/>
            <w:hideMark/>
          </w:tcPr>
          <w:p w14:paraId="366F9B9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0.56**</w:t>
            </w:r>
          </w:p>
        </w:tc>
        <w:tc>
          <w:tcPr>
            <w:tcW w:w="1240" w:type="dxa"/>
            <w:tcBorders>
              <w:top w:val="nil"/>
              <w:left w:val="nil"/>
              <w:right w:val="nil"/>
            </w:tcBorders>
            <w:shd w:val="clear" w:color="auto" w:fill="auto"/>
            <w:noWrap/>
            <w:vAlign w:val="bottom"/>
            <w:hideMark/>
          </w:tcPr>
          <w:p w14:paraId="72AFBD7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2.39%**</w:t>
            </w:r>
          </w:p>
        </w:tc>
      </w:tr>
      <w:tr w:rsidR="00F949B9" w:rsidRPr="00486F2D" w14:paraId="7365E560" w14:textId="77777777" w:rsidTr="006019F0">
        <w:trPr>
          <w:trHeight w:hRule="exact" w:val="227"/>
        </w:trPr>
        <w:tc>
          <w:tcPr>
            <w:tcW w:w="2540" w:type="dxa"/>
            <w:tcBorders>
              <w:top w:val="nil"/>
              <w:left w:val="nil"/>
              <w:right w:val="nil"/>
            </w:tcBorders>
            <w:shd w:val="clear" w:color="auto" w:fill="auto"/>
            <w:noWrap/>
            <w:vAlign w:val="bottom"/>
            <w:hideMark/>
          </w:tcPr>
          <w:p w14:paraId="3CA8833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S</w:t>
            </w:r>
            <w:r w:rsidRPr="00486F2D">
              <w:rPr>
                <w:rFonts w:ascii="Times New Roman" w:hAnsi="Times New Roman" w:cs="Times New Roman"/>
                <w:color w:val="000000"/>
                <w:sz w:val="16"/>
                <w:szCs w:val="16"/>
                <w:lang w:eastAsia="en-GB"/>
              </w:rPr>
              <w:t>ector</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27BE65E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0.89</w:t>
            </w:r>
          </w:p>
        </w:tc>
        <w:tc>
          <w:tcPr>
            <w:tcW w:w="1240" w:type="dxa"/>
            <w:tcBorders>
              <w:top w:val="nil"/>
              <w:left w:val="nil"/>
              <w:right w:val="nil"/>
            </w:tcBorders>
            <w:shd w:val="clear" w:color="auto" w:fill="auto"/>
            <w:noWrap/>
            <w:vAlign w:val="bottom"/>
            <w:hideMark/>
          </w:tcPr>
          <w:p w14:paraId="4E589DC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1.59</w:t>
            </w:r>
          </w:p>
        </w:tc>
        <w:tc>
          <w:tcPr>
            <w:tcW w:w="1240" w:type="dxa"/>
            <w:tcBorders>
              <w:top w:val="nil"/>
              <w:left w:val="nil"/>
              <w:right w:val="nil"/>
            </w:tcBorders>
            <w:shd w:val="clear" w:color="auto" w:fill="auto"/>
            <w:noWrap/>
            <w:vAlign w:val="bottom"/>
            <w:hideMark/>
          </w:tcPr>
          <w:p w14:paraId="38AA622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0.56**</w:t>
            </w:r>
          </w:p>
        </w:tc>
        <w:tc>
          <w:tcPr>
            <w:tcW w:w="1240" w:type="dxa"/>
            <w:tcBorders>
              <w:top w:val="nil"/>
              <w:left w:val="nil"/>
              <w:right w:val="nil"/>
            </w:tcBorders>
            <w:shd w:val="clear" w:color="auto" w:fill="auto"/>
            <w:noWrap/>
            <w:vAlign w:val="bottom"/>
            <w:hideMark/>
          </w:tcPr>
          <w:p w14:paraId="7B83E06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0.73**</w:t>
            </w:r>
          </w:p>
        </w:tc>
        <w:tc>
          <w:tcPr>
            <w:tcW w:w="256" w:type="dxa"/>
            <w:tcBorders>
              <w:top w:val="nil"/>
              <w:left w:val="nil"/>
              <w:right w:val="nil"/>
            </w:tcBorders>
            <w:shd w:val="clear" w:color="auto" w:fill="auto"/>
            <w:noWrap/>
            <w:vAlign w:val="bottom"/>
            <w:hideMark/>
          </w:tcPr>
          <w:p w14:paraId="0D44F41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2955B99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3.22</w:t>
            </w:r>
          </w:p>
        </w:tc>
        <w:tc>
          <w:tcPr>
            <w:tcW w:w="1240" w:type="dxa"/>
            <w:tcBorders>
              <w:top w:val="nil"/>
              <w:left w:val="nil"/>
              <w:right w:val="nil"/>
            </w:tcBorders>
            <w:shd w:val="clear" w:color="auto" w:fill="auto"/>
            <w:noWrap/>
            <w:vAlign w:val="bottom"/>
            <w:hideMark/>
          </w:tcPr>
          <w:p w14:paraId="58BE243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6.42</w:t>
            </w:r>
          </w:p>
        </w:tc>
        <w:tc>
          <w:tcPr>
            <w:tcW w:w="1240" w:type="dxa"/>
            <w:tcBorders>
              <w:top w:val="nil"/>
              <w:left w:val="nil"/>
              <w:right w:val="nil"/>
            </w:tcBorders>
            <w:shd w:val="clear" w:color="auto" w:fill="auto"/>
            <w:noWrap/>
            <w:vAlign w:val="bottom"/>
            <w:hideMark/>
          </w:tcPr>
          <w:p w14:paraId="117FE83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0.50**</w:t>
            </w:r>
          </w:p>
        </w:tc>
        <w:tc>
          <w:tcPr>
            <w:tcW w:w="1240" w:type="dxa"/>
            <w:tcBorders>
              <w:top w:val="nil"/>
              <w:left w:val="nil"/>
              <w:right w:val="nil"/>
            </w:tcBorders>
            <w:shd w:val="clear" w:color="auto" w:fill="auto"/>
            <w:noWrap/>
            <w:vAlign w:val="bottom"/>
            <w:hideMark/>
          </w:tcPr>
          <w:p w14:paraId="72FD1D9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1.86**</w:t>
            </w:r>
          </w:p>
        </w:tc>
      </w:tr>
      <w:tr w:rsidR="00F949B9" w:rsidRPr="00486F2D" w14:paraId="4A780E69" w14:textId="77777777" w:rsidTr="006019F0">
        <w:trPr>
          <w:trHeight w:hRule="exact" w:val="227"/>
        </w:trPr>
        <w:tc>
          <w:tcPr>
            <w:tcW w:w="2540" w:type="dxa"/>
            <w:tcBorders>
              <w:top w:val="nil"/>
              <w:left w:val="nil"/>
              <w:right w:val="nil"/>
            </w:tcBorders>
            <w:shd w:val="clear" w:color="auto" w:fill="auto"/>
            <w:noWrap/>
            <w:vAlign w:val="bottom"/>
          </w:tcPr>
          <w:p w14:paraId="271D8FE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34259C4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1E84A9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7819E8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72AB729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right w:val="nil"/>
            </w:tcBorders>
            <w:shd w:val="clear" w:color="auto" w:fill="auto"/>
            <w:noWrap/>
            <w:vAlign w:val="bottom"/>
          </w:tcPr>
          <w:p w14:paraId="3656F02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4046F88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7DB94B6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488D972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7AEBFDE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4474E941" w14:textId="77777777" w:rsidTr="006019F0">
        <w:trPr>
          <w:trHeight w:hRule="exact" w:val="227"/>
        </w:trPr>
        <w:tc>
          <w:tcPr>
            <w:tcW w:w="2540" w:type="dxa"/>
            <w:tcBorders>
              <w:top w:val="nil"/>
              <w:left w:val="nil"/>
              <w:right w:val="nil"/>
            </w:tcBorders>
            <w:shd w:val="clear" w:color="auto" w:fill="auto"/>
            <w:noWrap/>
            <w:vAlign w:val="bottom"/>
            <w:hideMark/>
          </w:tcPr>
          <w:p w14:paraId="7ACDB246" w14:textId="77777777" w:rsidR="00F949B9" w:rsidRPr="00CD72BF" w:rsidRDefault="00F949B9" w:rsidP="006019F0">
            <w:pPr>
              <w:spacing w:after="0" w:line="240" w:lineRule="auto"/>
              <w:rPr>
                <w:rFonts w:ascii="Times New Roman" w:hAnsi="Times New Roman" w:cs="Times New Roman"/>
                <w:i/>
                <w:color w:val="000000"/>
                <w:sz w:val="16"/>
                <w:szCs w:val="16"/>
                <w:lang w:eastAsia="en-GB"/>
              </w:rPr>
            </w:pPr>
            <w:r w:rsidRPr="00CD72BF">
              <w:rPr>
                <w:rFonts w:ascii="Times New Roman" w:hAnsi="Times New Roman" w:cs="Times New Roman"/>
                <w:i/>
                <w:color w:val="000000"/>
                <w:sz w:val="16"/>
                <w:szCs w:val="16"/>
                <w:lang w:eastAsia="en-GB"/>
              </w:rPr>
              <w:t>C. Value</w:t>
            </w:r>
          </w:p>
        </w:tc>
        <w:tc>
          <w:tcPr>
            <w:tcW w:w="1240" w:type="dxa"/>
            <w:tcBorders>
              <w:top w:val="nil"/>
              <w:left w:val="nil"/>
              <w:right w:val="nil"/>
            </w:tcBorders>
            <w:shd w:val="clear" w:color="auto" w:fill="auto"/>
            <w:noWrap/>
            <w:vAlign w:val="bottom"/>
            <w:hideMark/>
          </w:tcPr>
          <w:p w14:paraId="403D295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56860B4"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052884D"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49439A35"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nil"/>
              <w:left w:val="nil"/>
              <w:right w:val="nil"/>
            </w:tcBorders>
            <w:shd w:val="clear" w:color="auto" w:fill="auto"/>
            <w:noWrap/>
            <w:vAlign w:val="bottom"/>
            <w:hideMark/>
          </w:tcPr>
          <w:p w14:paraId="417FD1D9"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5FA24F91"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0D3506E"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5C1753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9BB6095"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04FC5AE4" w14:textId="77777777" w:rsidTr="006019F0">
        <w:trPr>
          <w:trHeight w:hRule="exact" w:val="227"/>
        </w:trPr>
        <w:tc>
          <w:tcPr>
            <w:tcW w:w="2540" w:type="dxa"/>
            <w:tcBorders>
              <w:top w:val="nil"/>
              <w:left w:val="nil"/>
              <w:right w:val="nil"/>
            </w:tcBorders>
            <w:shd w:val="clear" w:color="auto" w:fill="auto"/>
            <w:noWrap/>
            <w:vAlign w:val="bottom"/>
            <w:hideMark/>
          </w:tcPr>
          <w:p w14:paraId="5425342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B</w:t>
            </w:r>
            <w:r w:rsidRPr="00486F2D">
              <w:rPr>
                <w:rFonts w:ascii="Times New Roman" w:hAnsi="Times New Roman" w:cs="Times New Roman"/>
                <w:color w:val="000000"/>
                <w:sz w:val="16"/>
                <w:szCs w:val="16"/>
                <w:lang w:eastAsia="en-GB"/>
              </w:rPr>
              <w:t>ase case</w:t>
            </w:r>
          </w:p>
        </w:tc>
        <w:tc>
          <w:tcPr>
            <w:tcW w:w="1240" w:type="dxa"/>
            <w:tcBorders>
              <w:top w:val="nil"/>
              <w:left w:val="nil"/>
              <w:right w:val="nil"/>
            </w:tcBorders>
            <w:shd w:val="clear" w:color="auto" w:fill="auto"/>
            <w:noWrap/>
            <w:vAlign w:val="bottom"/>
            <w:hideMark/>
          </w:tcPr>
          <w:p w14:paraId="324DEE2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1.79%</w:t>
            </w:r>
          </w:p>
        </w:tc>
        <w:tc>
          <w:tcPr>
            <w:tcW w:w="1240" w:type="dxa"/>
            <w:tcBorders>
              <w:top w:val="nil"/>
              <w:left w:val="nil"/>
              <w:right w:val="nil"/>
            </w:tcBorders>
            <w:shd w:val="clear" w:color="auto" w:fill="auto"/>
            <w:noWrap/>
            <w:vAlign w:val="bottom"/>
            <w:hideMark/>
          </w:tcPr>
          <w:p w14:paraId="72B6BE1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6.76%</w:t>
            </w:r>
          </w:p>
        </w:tc>
        <w:tc>
          <w:tcPr>
            <w:tcW w:w="1240" w:type="dxa"/>
            <w:tcBorders>
              <w:top w:val="nil"/>
              <w:left w:val="nil"/>
              <w:right w:val="nil"/>
            </w:tcBorders>
            <w:shd w:val="clear" w:color="auto" w:fill="auto"/>
            <w:noWrap/>
            <w:vAlign w:val="bottom"/>
            <w:hideMark/>
          </w:tcPr>
          <w:p w14:paraId="67A7435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0.27*</w:t>
            </w:r>
          </w:p>
        </w:tc>
        <w:tc>
          <w:tcPr>
            <w:tcW w:w="1240" w:type="dxa"/>
            <w:tcBorders>
              <w:top w:val="nil"/>
              <w:left w:val="nil"/>
              <w:right w:val="nil"/>
            </w:tcBorders>
            <w:shd w:val="clear" w:color="auto" w:fill="auto"/>
            <w:noWrap/>
            <w:vAlign w:val="bottom"/>
            <w:hideMark/>
          </w:tcPr>
          <w:p w14:paraId="16CFF38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1.06%</w:t>
            </w:r>
          </w:p>
        </w:tc>
        <w:tc>
          <w:tcPr>
            <w:tcW w:w="256" w:type="dxa"/>
            <w:tcBorders>
              <w:top w:val="nil"/>
              <w:left w:val="nil"/>
              <w:right w:val="nil"/>
            </w:tcBorders>
            <w:shd w:val="clear" w:color="auto" w:fill="auto"/>
            <w:noWrap/>
            <w:vAlign w:val="bottom"/>
            <w:hideMark/>
          </w:tcPr>
          <w:p w14:paraId="42BDF9A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0D1F485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6.58%</w:t>
            </w:r>
          </w:p>
        </w:tc>
        <w:tc>
          <w:tcPr>
            <w:tcW w:w="1240" w:type="dxa"/>
            <w:tcBorders>
              <w:top w:val="nil"/>
              <w:left w:val="nil"/>
              <w:right w:val="nil"/>
            </w:tcBorders>
            <w:shd w:val="clear" w:color="auto" w:fill="auto"/>
            <w:noWrap/>
            <w:vAlign w:val="bottom"/>
            <w:hideMark/>
          </w:tcPr>
          <w:p w14:paraId="042644A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13.37%</w:t>
            </w:r>
          </w:p>
        </w:tc>
        <w:tc>
          <w:tcPr>
            <w:tcW w:w="1240" w:type="dxa"/>
            <w:tcBorders>
              <w:top w:val="nil"/>
              <w:left w:val="nil"/>
              <w:right w:val="nil"/>
            </w:tcBorders>
            <w:shd w:val="clear" w:color="auto" w:fill="auto"/>
            <w:noWrap/>
            <w:vAlign w:val="bottom"/>
            <w:hideMark/>
          </w:tcPr>
          <w:p w14:paraId="4B24DD3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0.49**</w:t>
            </w:r>
          </w:p>
        </w:tc>
        <w:tc>
          <w:tcPr>
            <w:tcW w:w="1240" w:type="dxa"/>
            <w:tcBorders>
              <w:top w:val="nil"/>
              <w:left w:val="nil"/>
              <w:right w:val="nil"/>
            </w:tcBorders>
            <w:shd w:val="clear" w:color="auto" w:fill="auto"/>
            <w:noWrap/>
            <w:vAlign w:val="bottom"/>
            <w:hideMark/>
          </w:tcPr>
          <w:p w14:paraId="6046537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3.72%*</w:t>
            </w:r>
          </w:p>
        </w:tc>
      </w:tr>
      <w:tr w:rsidR="00F949B9" w:rsidRPr="00486F2D" w14:paraId="542AC45D" w14:textId="77777777" w:rsidTr="006019F0">
        <w:trPr>
          <w:trHeight w:hRule="exact" w:val="227"/>
        </w:trPr>
        <w:tc>
          <w:tcPr>
            <w:tcW w:w="2540" w:type="dxa"/>
            <w:tcBorders>
              <w:top w:val="nil"/>
              <w:left w:val="nil"/>
              <w:right w:val="nil"/>
            </w:tcBorders>
            <w:shd w:val="clear" w:color="auto" w:fill="auto"/>
            <w:noWrap/>
            <w:vAlign w:val="bottom"/>
            <w:hideMark/>
          </w:tcPr>
          <w:p w14:paraId="603796D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R</w:t>
            </w:r>
            <w:r w:rsidRPr="00486F2D">
              <w:rPr>
                <w:rFonts w:ascii="Times New Roman" w:hAnsi="Times New Roman" w:cs="Times New Roman"/>
                <w:color w:val="000000"/>
                <w:sz w:val="16"/>
                <w:szCs w:val="16"/>
                <w:lang w:eastAsia="en-GB"/>
              </w:rPr>
              <w:t>ating</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4FA1E6C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1.87</w:t>
            </w:r>
          </w:p>
        </w:tc>
        <w:tc>
          <w:tcPr>
            <w:tcW w:w="1240" w:type="dxa"/>
            <w:tcBorders>
              <w:top w:val="nil"/>
              <w:left w:val="nil"/>
              <w:right w:val="nil"/>
            </w:tcBorders>
            <w:shd w:val="clear" w:color="auto" w:fill="auto"/>
            <w:noWrap/>
            <w:vAlign w:val="bottom"/>
            <w:hideMark/>
          </w:tcPr>
          <w:p w14:paraId="111E6C9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6.65</w:t>
            </w:r>
          </w:p>
        </w:tc>
        <w:tc>
          <w:tcPr>
            <w:tcW w:w="1240" w:type="dxa"/>
            <w:tcBorders>
              <w:top w:val="nil"/>
              <w:left w:val="nil"/>
              <w:right w:val="nil"/>
            </w:tcBorders>
            <w:shd w:val="clear" w:color="auto" w:fill="auto"/>
            <w:noWrap/>
            <w:vAlign w:val="bottom"/>
            <w:hideMark/>
          </w:tcPr>
          <w:p w14:paraId="57393EC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0.28*</w:t>
            </w:r>
          </w:p>
        </w:tc>
        <w:tc>
          <w:tcPr>
            <w:tcW w:w="1240" w:type="dxa"/>
            <w:tcBorders>
              <w:top w:val="nil"/>
              <w:left w:val="nil"/>
              <w:right w:val="nil"/>
            </w:tcBorders>
            <w:shd w:val="clear" w:color="auto" w:fill="auto"/>
            <w:noWrap/>
            <w:vAlign w:val="bottom"/>
            <w:hideMark/>
          </w:tcPr>
          <w:p w14:paraId="4A29B17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1.14*</w:t>
            </w:r>
          </w:p>
        </w:tc>
        <w:tc>
          <w:tcPr>
            <w:tcW w:w="256" w:type="dxa"/>
            <w:tcBorders>
              <w:top w:val="nil"/>
              <w:left w:val="nil"/>
              <w:right w:val="nil"/>
            </w:tcBorders>
            <w:shd w:val="clear" w:color="auto" w:fill="auto"/>
            <w:noWrap/>
            <w:vAlign w:val="bottom"/>
            <w:hideMark/>
          </w:tcPr>
          <w:p w14:paraId="3C8A921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2B12CD4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6.36</w:t>
            </w:r>
          </w:p>
        </w:tc>
        <w:tc>
          <w:tcPr>
            <w:tcW w:w="1240" w:type="dxa"/>
            <w:tcBorders>
              <w:top w:val="nil"/>
              <w:left w:val="nil"/>
              <w:right w:val="nil"/>
            </w:tcBorders>
            <w:shd w:val="clear" w:color="auto" w:fill="auto"/>
            <w:noWrap/>
            <w:vAlign w:val="bottom"/>
            <w:hideMark/>
          </w:tcPr>
          <w:p w14:paraId="0B5ADA1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13.36</w:t>
            </w:r>
          </w:p>
        </w:tc>
        <w:tc>
          <w:tcPr>
            <w:tcW w:w="1240" w:type="dxa"/>
            <w:tcBorders>
              <w:top w:val="nil"/>
              <w:left w:val="nil"/>
              <w:right w:val="nil"/>
            </w:tcBorders>
            <w:shd w:val="clear" w:color="auto" w:fill="auto"/>
            <w:noWrap/>
            <w:vAlign w:val="bottom"/>
            <w:hideMark/>
          </w:tcPr>
          <w:p w14:paraId="376E6DE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0.48**</w:t>
            </w:r>
          </w:p>
        </w:tc>
        <w:tc>
          <w:tcPr>
            <w:tcW w:w="1240" w:type="dxa"/>
            <w:tcBorders>
              <w:top w:val="nil"/>
              <w:left w:val="nil"/>
              <w:right w:val="nil"/>
            </w:tcBorders>
            <w:shd w:val="clear" w:color="auto" w:fill="auto"/>
            <w:noWrap/>
            <w:vAlign w:val="bottom"/>
            <w:hideMark/>
          </w:tcPr>
          <w:p w14:paraId="227A982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3.49*</w:t>
            </w:r>
          </w:p>
        </w:tc>
      </w:tr>
      <w:tr w:rsidR="00F949B9" w:rsidRPr="00486F2D" w14:paraId="5378543F" w14:textId="77777777" w:rsidTr="006019F0">
        <w:trPr>
          <w:trHeight w:hRule="exact" w:val="227"/>
        </w:trPr>
        <w:tc>
          <w:tcPr>
            <w:tcW w:w="2540" w:type="dxa"/>
            <w:tcBorders>
              <w:top w:val="nil"/>
              <w:left w:val="nil"/>
              <w:right w:val="nil"/>
            </w:tcBorders>
            <w:shd w:val="clear" w:color="auto" w:fill="auto"/>
            <w:noWrap/>
            <w:vAlign w:val="bottom"/>
            <w:hideMark/>
          </w:tcPr>
          <w:p w14:paraId="07BBFB3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M</w:t>
            </w:r>
            <w:r w:rsidRPr="00486F2D">
              <w:rPr>
                <w:rFonts w:ascii="Times New Roman" w:hAnsi="Times New Roman" w:cs="Times New Roman"/>
                <w:color w:val="000000"/>
                <w:sz w:val="16"/>
                <w:szCs w:val="16"/>
                <w:lang w:eastAsia="en-GB"/>
              </w:rPr>
              <w:t>aturity</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51A1B8E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1.85</w:t>
            </w:r>
          </w:p>
        </w:tc>
        <w:tc>
          <w:tcPr>
            <w:tcW w:w="1240" w:type="dxa"/>
            <w:tcBorders>
              <w:top w:val="nil"/>
              <w:left w:val="nil"/>
              <w:right w:val="nil"/>
            </w:tcBorders>
            <w:shd w:val="clear" w:color="auto" w:fill="auto"/>
            <w:noWrap/>
            <w:vAlign w:val="bottom"/>
            <w:hideMark/>
          </w:tcPr>
          <w:p w14:paraId="444092F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6.70</w:t>
            </w:r>
          </w:p>
        </w:tc>
        <w:tc>
          <w:tcPr>
            <w:tcW w:w="1240" w:type="dxa"/>
            <w:tcBorders>
              <w:top w:val="nil"/>
              <w:left w:val="nil"/>
              <w:right w:val="nil"/>
            </w:tcBorders>
            <w:shd w:val="clear" w:color="auto" w:fill="auto"/>
            <w:noWrap/>
            <w:vAlign w:val="bottom"/>
            <w:hideMark/>
          </w:tcPr>
          <w:p w14:paraId="7C54293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0.28*</w:t>
            </w:r>
          </w:p>
        </w:tc>
        <w:tc>
          <w:tcPr>
            <w:tcW w:w="1240" w:type="dxa"/>
            <w:tcBorders>
              <w:top w:val="nil"/>
              <w:left w:val="nil"/>
              <w:right w:val="nil"/>
            </w:tcBorders>
            <w:shd w:val="clear" w:color="auto" w:fill="auto"/>
            <w:noWrap/>
            <w:vAlign w:val="bottom"/>
            <w:hideMark/>
          </w:tcPr>
          <w:p w14:paraId="43BED28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1.12*</w:t>
            </w:r>
          </w:p>
        </w:tc>
        <w:tc>
          <w:tcPr>
            <w:tcW w:w="256" w:type="dxa"/>
            <w:tcBorders>
              <w:top w:val="nil"/>
              <w:left w:val="nil"/>
              <w:right w:val="nil"/>
            </w:tcBorders>
            <w:shd w:val="clear" w:color="auto" w:fill="auto"/>
            <w:noWrap/>
            <w:vAlign w:val="bottom"/>
            <w:hideMark/>
          </w:tcPr>
          <w:p w14:paraId="0A9EE53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0CCBA7C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6.27</w:t>
            </w:r>
          </w:p>
        </w:tc>
        <w:tc>
          <w:tcPr>
            <w:tcW w:w="1240" w:type="dxa"/>
            <w:tcBorders>
              <w:top w:val="nil"/>
              <w:left w:val="nil"/>
              <w:right w:val="nil"/>
            </w:tcBorders>
            <w:shd w:val="clear" w:color="auto" w:fill="auto"/>
            <w:noWrap/>
            <w:vAlign w:val="bottom"/>
            <w:hideMark/>
          </w:tcPr>
          <w:p w14:paraId="7BF127E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13.75</w:t>
            </w:r>
          </w:p>
        </w:tc>
        <w:tc>
          <w:tcPr>
            <w:tcW w:w="1240" w:type="dxa"/>
            <w:tcBorders>
              <w:top w:val="nil"/>
              <w:left w:val="nil"/>
              <w:right w:val="nil"/>
            </w:tcBorders>
            <w:shd w:val="clear" w:color="auto" w:fill="auto"/>
            <w:noWrap/>
            <w:vAlign w:val="bottom"/>
            <w:hideMark/>
          </w:tcPr>
          <w:p w14:paraId="6D93DCB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0.46**</w:t>
            </w:r>
          </w:p>
        </w:tc>
        <w:tc>
          <w:tcPr>
            <w:tcW w:w="1240" w:type="dxa"/>
            <w:tcBorders>
              <w:top w:val="nil"/>
              <w:left w:val="nil"/>
              <w:right w:val="nil"/>
            </w:tcBorders>
            <w:shd w:val="clear" w:color="auto" w:fill="auto"/>
            <w:noWrap/>
            <w:vAlign w:val="bottom"/>
            <w:hideMark/>
          </w:tcPr>
          <w:p w14:paraId="5C8773F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3.33*</w:t>
            </w:r>
          </w:p>
        </w:tc>
      </w:tr>
      <w:tr w:rsidR="00F949B9" w:rsidRPr="00486F2D" w14:paraId="3A2CA5B6" w14:textId="77777777" w:rsidTr="006019F0">
        <w:trPr>
          <w:trHeight w:hRule="exact" w:val="227"/>
        </w:trPr>
        <w:tc>
          <w:tcPr>
            <w:tcW w:w="2540" w:type="dxa"/>
            <w:tcBorders>
              <w:top w:val="nil"/>
              <w:left w:val="nil"/>
              <w:right w:val="nil"/>
            </w:tcBorders>
            <w:shd w:val="clear" w:color="auto" w:fill="auto"/>
            <w:noWrap/>
            <w:vAlign w:val="bottom"/>
            <w:hideMark/>
          </w:tcPr>
          <w:p w14:paraId="4A44D15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S</w:t>
            </w:r>
            <w:r w:rsidRPr="00486F2D">
              <w:rPr>
                <w:rFonts w:ascii="Times New Roman" w:hAnsi="Times New Roman" w:cs="Times New Roman"/>
                <w:color w:val="000000"/>
                <w:sz w:val="16"/>
                <w:szCs w:val="16"/>
                <w:lang w:eastAsia="en-GB"/>
              </w:rPr>
              <w:t>ector</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4D2022B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1.79</w:t>
            </w:r>
          </w:p>
        </w:tc>
        <w:tc>
          <w:tcPr>
            <w:tcW w:w="1240" w:type="dxa"/>
            <w:tcBorders>
              <w:top w:val="nil"/>
              <w:left w:val="nil"/>
              <w:right w:val="nil"/>
            </w:tcBorders>
            <w:shd w:val="clear" w:color="auto" w:fill="auto"/>
            <w:noWrap/>
            <w:vAlign w:val="bottom"/>
            <w:hideMark/>
          </w:tcPr>
          <w:p w14:paraId="64E0A91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5.97</w:t>
            </w:r>
          </w:p>
        </w:tc>
        <w:tc>
          <w:tcPr>
            <w:tcW w:w="1240" w:type="dxa"/>
            <w:tcBorders>
              <w:top w:val="nil"/>
              <w:left w:val="nil"/>
              <w:right w:val="nil"/>
            </w:tcBorders>
            <w:shd w:val="clear" w:color="auto" w:fill="auto"/>
            <w:noWrap/>
            <w:vAlign w:val="bottom"/>
            <w:hideMark/>
          </w:tcPr>
          <w:p w14:paraId="19C38C5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0.30**</w:t>
            </w:r>
          </w:p>
        </w:tc>
        <w:tc>
          <w:tcPr>
            <w:tcW w:w="1240" w:type="dxa"/>
            <w:tcBorders>
              <w:top w:val="nil"/>
              <w:left w:val="nil"/>
              <w:right w:val="nil"/>
            </w:tcBorders>
            <w:shd w:val="clear" w:color="auto" w:fill="auto"/>
            <w:noWrap/>
            <w:vAlign w:val="bottom"/>
            <w:hideMark/>
          </w:tcPr>
          <w:p w14:paraId="7DEB5C7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1.14*</w:t>
            </w:r>
          </w:p>
        </w:tc>
        <w:tc>
          <w:tcPr>
            <w:tcW w:w="256" w:type="dxa"/>
            <w:tcBorders>
              <w:top w:val="nil"/>
              <w:left w:val="nil"/>
              <w:right w:val="nil"/>
            </w:tcBorders>
            <w:shd w:val="clear" w:color="auto" w:fill="auto"/>
            <w:noWrap/>
            <w:vAlign w:val="bottom"/>
            <w:hideMark/>
          </w:tcPr>
          <w:p w14:paraId="494714E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46FA9DE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5.15</w:t>
            </w:r>
          </w:p>
        </w:tc>
        <w:tc>
          <w:tcPr>
            <w:tcW w:w="1240" w:type="dxa"/>
            <w:tcBorders>
              <w:top w:val="nil"/>
              <w:left w:val="nil"/>
              <w:right w:val="nil"/>
            </w:tcBorders>
            <w:shd w:val="clear" w:color="auto" w:fill="auto"/>
            <w:noWrap/>
            <w:vAlign w:val="bottom"/>
            <w:hideMark/>
          </w:tcPr>
          <w:p w14:paraId="17880CD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12.75</w:t>
            </w:r>
          </w:p>
        </w:tc>
        <w:tc>
          <w:tcPr>
            <w:tcW w:w="1240" w:type="dxa"/>
            <w:tcBorders>
              <w:top w:val="nil"/>
              <w:left w:val="nil"/>
              <w:right w:val="nil"/>
            </w:tcBorders>
            <w:shd w:val="clear" w:color="auto" w:fill="auto"/>
            <w:noWrap/>
            <w:vAlign w:val="bottom"/>
            <w:hideMark/>
          </w:tcPr>
          <w:p w14:paraId="59618C3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0.40*</w:t>
            </w:r>
          </w:p>
        </w:tc>
        <w:tc>
          <w:tcPr>
            <w:tcW w:w="1240" w:type="dxa"/>
            <w:tcBorders>
              <w:top w:val="nil"/>
              <w:left w:val="nil"/>
              <w:right w:val="nil"/>
            </w:tcBorders>
            <w:shd w:val="clear" w:color="auto" w:fill="auto"/>
            <w:noWrap/>
            <w:vAlign w:val="bottom"/>
            <w:hideMark/>
          </w:tcPr>
          <w:p w14:paraId="0E4CFA5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2.43</w:t>
            </w:r>
          </w:p>
        </w:tc>
      </w:tr>
      <w:tr w:rsidR="00F949B9" w:rsidRPr="00486F2D" w14:paraId="5C350592" w14:textId="77777777" w:rsidTr="006019F0">
        <w:trPr>
          <w:trHeight w:hRule="exact" w:val="227"/>
        </w:trPr>
        <w:tc>
          <w:tcPr>
            <w:tcW w:w="2540" w:type="dxa"/>
            <w:tcBorders>
              <w:top w:val="nil"/>
              <w:left w:val="nil"/>
              <w:right w:val="nil"/>
            </w:tcBorders>
            <w:shd w:val="clear" w:color="auto" w:fill="auto"/>
            <w:noWrap/>
            <w:vAlign w:val="bottom"/>
          </w:tcPr>
          <w:p w14:paraId="5DDE033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92F505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72A0C4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4324A34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F98C53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right w:val="nil"/>
            </w:tcBorders>
            <w:shd w:val="clear" w:color="auto" w:fill="auto"/>
            <w:noWrap/>
            <w:vAlign w:val="bottom"/>
          </w:tcPr>
          <w:p w14:paraId="52D1BFF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53BD63F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3B16F7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90D4B6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3E12398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0C845193" w14:textId="77777777" w:rsidTr="006019F0">
        <w:trPr>
          <w:trHeight w:hRule="exact" w:val="227"/>
        </w:trPr>
        <w:tc>
          <w:tcPr>
            <w:tcW w:w="2540" w:type="dxa"/>
            <w:tcBorders>
              <w:top w:val="nil"/>
              <w:left w:val="nil"/>
              <w:right w:val="nil"/>
            </w:tcBorders>
            <w:shd w:val="clear" w:color="auto" w:fill="auto"/>
            <w:noWrap/>
            <w:vAlign w:val="bottom"/>
            <w:hideMark/>
          </w:tcPr>
          <w:p w14:paraId="7923879B" w14:textId="77777777" w:rsidR="00F949B9" w:rsidRPr="00CD72BF" w:rsidRDefault="00F949B9" w:rsidP="006019F0">
            <w:pPr>
              <w:spacing w:after="0" w:line="240" w:lineRule="auto"/>
              <w:rPr>
                <w:rFonts w:ascii="Times New Roman" w:hAnsi="Times New Roman" w:cs="Times New Roman"/>
                <w:i/>
                <w:color w:val="000000"/>
                <w:sz w:val="16"/>
                <w:szCs w:val="16"/>
                <w:lang w:eastAsia="en-GB"/>
              </w:rPr>
            </w:pPr>
            <w:r w:rsidRPr="00CD72BF">
              <w:rPr>
                <w:rFonts w:ascii="Times New Roman" w:hAnsi="Times New Roman" w:cs="Times New Roman"/>
                <w:i/>
                <w:color w:val="000000"/>
                <w:sz w:val="16"/>
                <w:szCs w:val="16"/>
                <w:lang w:eastAsia="en-GB"/>
              </w:rPr>
              <w:t>D. Momentum</w:t>
            </w:r>
          </w:p>
        </w:tc>
        <w:tc>
          <w:tcPr>
            <w:tcW w:w="1240" w:type="dxa"/>
            <w:tcBorders>
              <w:top w:val="nil"/>
              <w:left w:val="nil"/>
              <w:right w:val="nil"/>
            </w:tcBorders>
            <w:shd w:val="clear" w:color="auto" w:fill="auto"/>
            <w:noWrap/>
            <w:vAlign w:val="bottom"/>
            <w:hideMark/>
          </w:tcPr>
          <w:p w14:paraId="63162FC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6533E9D7"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39EC350"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4CB77E3F"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nil"/>
              <w:left w:val="nil"/>
              <w:right w:val="nil"/>
            </w:tcBorders>
            <w:shd w:val="clear" w:color="auto" w:fill="auto"/>
            <w:noWrap/>
            <w:vAlign w:val="bottom"/>
            <w:hideMark/>
          </w:tcPr>
          <w:p w14:paraId="36731AD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8D98FC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4D6DD827"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A0A2A9C"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43115F5D"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4086B7AA" w14:textId="77777777" w:rsidTr="006019F0">
        <w:trPr>
          <w:trHeight w:hRule="exact" w:val="227"/>
        </w:trPr>
        <w:tc>
          <w:tcPr>
            <w:tcW w:w="2540" w:type="dxa"/>
            <w:tcBorders>
              <w:top w:val="nil"/>
              <w:left w:val="nil"/>
              <w:right w:val="nil"/>
            </w:tcBorders>
            <w:shd w:val="clear" w:color="auto" w:fill="auto"/>
            <w:noWrap/>
            <w:vAlign w:val="bottom"/>
            <w:hideMark/>
          </w:tcPr>
          <w:p w14:paraId="4B3A1F4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B</w:t>
            </w:r>
            <w:r w:rsidRPr="00486F2D">
              <w:rPr>
                <w:rFonts w:ascii="Times New Roman" w:hAnsi="Times New Roman" w:cs="Times New Roman"/>
                <w:color w:val="000000"/>
                <w:sz w:val="16"/>
                <w:szCs w:val="16"/>
                <w:lang w:eastAsia="en-GB"/>
              </w:rPr>
              <w:t>ase case</w:t>
            </w:r>
          </w:p>
        </w:tc>
        <w:tc>
          <w:tcPr>
            <w:tcW w:w="1240" w:type="dxa"/>
            <w:tcBorders>
              <w:top w:val="nil"/>
              <w:left w:val="nil"/>
              <w:right w:val="nil"/>
            </w:tcBorders>
            <w:shd w:val="clear" w:color="auto" w:fill="auto"/>
            <w:noWrap/>
            <w:vAlign w:val="bottom"/>
            <w:hideMark/>
          </w:tcPr>
          <w:p w14:paraId="0FCE234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0.80%</w:t>
            </w:r>
          </w:p>
        </w:tc>
        <w:tc>
          <w:tcPr>
            <w:tcW w:w="1240" w:type="dxa"/>
            <w:tcBorders>
              <w:top w:val="nil"/>
              <w:left w:val="nil"/>
              <w:right w:val="nil"/>
            </w:tcBorders>
            <w:shd w:val="clear" w:color="auto" w:fill="auto"/>
            <w:noWrap/>
            <w:vAlign w:val="bottom"/>
            <w:hideMark/>
          </w:tcPr>
          <w:p w14:paraId="722C681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4.32%</w:t>
            </w:r>
          </w:p>
        </w:tc>
        <w:tc>
          <w:tcPr>
            <w:tcW w:w="1240" w:type="dxa"/>
            <w:tcBorders>
              <w:top w:val="nil"/>
              <w:left w:val="nil"/>
              <w:right w:val="nil"/>
            </w:tcBorders>
            <w:shd w:val="clear" w:color="auto" w:fill="auto"/>
            <w:noWrap/>
            <w:vAlign w:val="bottom"/>
            <w:hideMark/>
          </w:tcPr>
          <w:p w14:paraId="2CA2C3A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0.19</w:t>
            </w:r>
          </w:p>
        </w:tc>
        <w:tc>
          <w:tcPr>
            <w:tcW w:w="1240" w:type="dxa"/>
            <w:tcBorders>
              <w:top w:val="nil"/>
              <w:left w:val="nil"/>
              <w:right w:val="nil"/>
            </w:tcBorders>
            <w:shd w:val="clear" w:color="auto" w:fill="auto"/>
            <w:noWrap/>
            <w:vAlign w:val="bottom"/>
            <w:hideMark/>
          </w:tcPr>
          <w:p w14:paraId="7B39A50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0.35%</w:t>
            </w:r>
          </w:p>
        </w:tc>
        <w:tc>
          <w:tcPr>
            <w:tcW w:w="256" w:type="dxa"/>
            <w:tcBorders>
              <w:top w:val="nil"/>
              <w:left w:val="nil"/>
              <w:right w:val="nil"/>
            </w:tcBorders>
            <w:shd w:val="clear" w:color="auto" w:fill="auto"/>
            <w:noWrap/>
            <w:vAlign w:val="bottom"/>
            <w:hideMark/>
          </w:tcPr>
          <w:p w14:paraId="6D7CEDE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6CC0D55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4.37%</w:t>
            </w:r>
          </w:p>
        </w:tc>
        <w:tc>
          <w:tcPr>
            <w:tcW w:w="1240" w:type="dxa"/>
            <w:tcBorders>
              <w:top w:val="nil"/>
              <w:left w:val="nil"/>
              <w:right w:val="nil"/>
            </w:tcBorders>
            <w:shd w:val="clear" w:color="auto" w:fill="auto"/>
            <w:noWrap/>
            <w:vAlign w:val="bottom"/>
            <w:hideMark/>
          </w:tcPr>
          <w:p w14:paraId="3CC583F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10.29%</w:t>
            </w:r>
          </w:p>
        </w:tc>
        <w:tc>
          <w:tcPr>
            <w:tcW w:w="1240" w:type="dxa"/>
            <w:tcBorders>
              <w:top w:val="nil"/>
              <w:left w:val="nil"/>
              <w:right w:val="nil"/>
            </w:tcBorders>
            <w:shd w:val="clear" w:color="auto" w:fill="auto"/>
            <w:noWrap/>
            <w:vAlign w:val="bottom"/>
            <w:hideMark/>
          </w:tcPr>
          <w:p w14:paraId="00652D7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0.42*</w:t>
            </w:r>
          </w:p>
        </w:tc>
        <w:tc>
          <w:tcPr>
            <w:tcW w:w="1240" w:type="dxa"/>
            <w:tcBorders>
              <w:top w:val="nil"/>
              <w:left w:val="nil"/>
              <w:right w:val="nil"/>
            </w:tcBorders>
            <w:shd w:val="clear" w:color="auto" w:fill="auto"/>
            <w:noWrap/>
            <w:vAlign w:val="bottom"/>
            <w:hideMark/>
          </w:tcPr>
          <w:p w14:paraId="448F178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2.15%*</w:t>
            </w:r>
          </w:p>
        </w:tc>
      </w:tr>
      <w:tr w:rsidR="00F949B9" w:rsidRPr="00486F2D" w14:paraId="2419F44B" w14:textId="77777777" w:rsidTr="006019F0">
        <w:trPr>
          <w:trHeight w:hRule="exact" w:val="227"/>
        </w:trPr>
        <w:tc>
          <w:tcPr>
            <w:tcW w:w="2540" w:type="dxa"/>
            <w:tcBorders>
              <w:top w:val="nil"/>
              <w:left w:val="nil"/>
              <w:right w:val="nil"/>
            </w:tcBorders>
            <w:shd w:val="clear" w:color="auto" w:fill="auto"/>
            <w:noWrap/>
            <w:vAlign w:val="bottom"/>
            <w:hideMark/>
          </w:tcPr>
          <w:p w14:paraId="0B40D54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R</w:t>
            </w:r>
            <w:r w:rsidRPr="00486F2D">
              <w:rPr>
                <w:rFonts w:ascii="Times New Roman" w:hAnsi="Times New Roman" w:cs="Times New Roman"/>
                <w:color w:val="000000"/>
                <w:sz w:val="16"/>
                <w:szCs w:val="16"/>
                <w:lang w:eastAsia="en-GB"/>
              </w:rPr>
              <w:t>ating</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514269B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0.73</w:t>
            </w:r>
          </w:p>
        </w:tc>
        <w:tc>
          <w:tcPr>
            <w:tcW w:w="1240" w:type="dxa"/>
            <w:tcBorders>
              <w:top w:val="nil"/>
              <w:left w:val="nil"/>
              <w:right w:val="nil"/>
            </w:tcBorders>
            <w:shd w:val="clear" w:color="auto" w:fill="auto"/>
            <w:noWrap/>
            <w:vAlign w:val="bottom"/>
            <w:hideMark/>
          </w:tcPr>
          <w:p w14:paraId="7BDF884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4.32</w:t>
            </w:r>
          </w:p>
        </w:tc>
        <w:tc>
          <w:tcPr>
            <w:tcW w:w="1240" w:type="dxa"/>
            <w:tcBorders>
              <w:top w:val="nil"/>
              <w:left w:val="nil"/>
              <w:right w:val="nil"/>
            </w:tcBorders>
            <w:shd w:val="clear" w:color="auto" w:fill="auto"/>
            <w:noWrap/>
            <w:vAlign w:val="bottom"/>
            <w:hideMark/>
          </w:tcPr>
          <w:p w14:paraId="497BAEA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0.17</w:t>
            </w:r>
          </w:p>
        </w:tc>
        <w:tc>
          <w:tcPr>
            <w:tcW w:w="1240" w:type="dxa"/>
            <w:tcBorders>
              <w:top w:val="nil"/>
              <w:left w:val="nil"/>
              <w:right w:val="nil"/>
            </w:tcBorders>
            <w:shd w:val="clear" w:color="auto" w:fill="auto"/>
            <w:noWrap/>
            <w:vAlign w:val="bottom"/>
            <w:hideMark/>
          </w:tcPr>
          <w:p w14:paraId="28E7688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0.27</w:t>
            </w:r>
          </w:p>
        </w:tc>
        <w:tc>
          <w:tcPr>
            <w:tcW w:w="256" w:type="dxa"/>
            <w:tcBorders>
              <w:top w:val="nil"/>
              <w:left w:val="nil"/>
              <w:right w:val="nil"/>
            </w:tcBorders>
            <w:shd w:val="clear" w:color="auto" w:fill="auto"/>
            <w:noWrap/>
            <w:vAlign w:val="bottom"/>
            <w:hideMark/>
          </w:tcPr>
          <w:p w14:paraId="50A1B73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66FDBCD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3.64</w:t>
            </w:r>
          </w:p>
        </w:tc>
        <w:tc>
          <w:tcPr>
            <w:tcW w:w="1240" w:type="dxa"/>
            <w:tcBorders>
              <w:top w:val="nil"/>
              <w:left w:val="nil"/>
              <w:right w:val="nil"/>
            </w:tcBorders>
            <w:shd w:val="clear" w:color="auto" w:fill="auto"/>
            <w:noWrap/>
            <w:vAlign w:val="bottom"/>
            <w:hideMark/>
          </w:tcPr>
          <w:p w14:paraId="2F41C55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9.40</w:t>
            </w:r>
          </w:p>
        </w:tc>
        <w:tc>
          <w:tcPr>
            <w:tcW w:w="1240" w:type="dxa"/>
            <w:tcBorders>
              <w:top w:val="nil"/>
              <w:left w:val="nil"/>
              <w:right w:val="nil"/>
            </w:tcBorders>
            <w:shd w:val="clear" w:color="auto" w:fill="auto"/>
            <w:noWrap/>
            <w:vAlign w:val="bottom"/>
            <w:hideMark/>
          </w:tcPr>
          <w:p w14:paraId="093B860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0.39</w:t>
            </w:r>
          </w:p>
        </w:tc>
        <w:tc>
          <w:tcPr>
            <w:tcW w:w="1240" w:type="dxa"/>
            <w:tcBorders>
              <w:top w:val="nil"/>
              <w:left w:val="nil"/>
              <w:right w:val="nil"/>
            </w:tcBorders>
            <w:shd w:val="clear" w:color="auto" w:fill="auto"/>
            <w:noWrap/>
            <w:vAlign w:val="bottom"/>
            <w:hideMark/>
          </w:tcPr>
          <w:p w14:paraId="4B91669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1.59</w:t>
            </w:r>
          </w:p>
        </w:tc>
      </w:tr>
      <w:tr w:rsidR="00F949B9" w:rsidRPr="00486F2D" w14:paraId="3316FCB6" w14:textId="77777777" w:rsidTr="006019F0">
        <w:trPr>
          <w:trHeight w:hRule="exact" w:val="227"/>
        </w:trPr>
        <w:tc>
          <w:tcPr>
            <w:tcW w:w="2540" w:type="dxa"/>
            <w:tcBorders>
              <w:top w:val="nil"/>
              <w:left w:val="nil"/>
              <w:right w:val="nil"/>
            </w:tcBorders>
            <w:shd w:val="clear" w:color="auto" w:fill="auto"/>
            <w:noWrap/>
            <w:vAlign w:val="bottom"/>
            <w:hideMark/>
          </w:tcPr>
          <w:p w14:paraId="12BDACA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M</w:t>
            </w:r>
            <w:r w:rsidRPr="00486F2D">
              <w:rPr>
                <w:rFonts w:ascii="Times New Roman" w:hAnsi="Times New Roman" w:cs="Times New Roman"/>
                <w:color w:val="000000"/>
                <w:sz w:val="16"/>
                <w:szCs w:val="16"/>
                <w:lang w:eastAsia="en-GB"/>
              </w:rPr>
              <w:t>aturity</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right w:val="nil"/>
            </w:tcBorders>
            <w:shd w:val="clear" w:color="auto" w:fill="auto"/>
            <w:noWrap/>
            <w:vAlign w:val="bottom"/>
            <w:hideMark/>
          </w:tcPr>
          <w:p w14:paraId="119445A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1.09</w:t>
            </w:r>
          </w:p>
        </w:tc>
        <w:tc>
          <w:tcPr>
            <w:tcW w:w="1240" w:type="dxa"/>
            <w:tcBorders>
              <w:top w:val="nil"/>
              <w:left w:val="nil"/>
              <w:right w:val="nil"/>
            </w:tcBorders>
            <w:shd w:val="clear" w:color="auto" w:fill="auto"/>
            <w:noWrap/>
            <w:vAlign w:val="bottom"/>
            <w:hideMark/>
          </w:tcPr>
          <w:p w14:paraId="003FDA4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4.25</w:t>
            </w:r>
          </w:p>
        </w:tc>
        <w:tc>
          <w:tcPr>
            <w:tcW w:w="1240" w:type="dxa"/>
            <w:tcBorders>
              <w:top w:val="nil"/>
              <w:left w:val="nil"/>
              <w:right w:val="nil"/>
            </w:tcBorders>
            <w:shd w:val="clear" w:color="auto" w:fill="auto"/>
            <w:noWrap/>
            <w:vAlign w:val="bottom"/>
            <w:hideMark/>
          </w:tcPr>
          <w:p w14:paraId="2CA49BE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0.26</w:t>
            </w:r>
          </w:p>
        </w:tc>
        <w:tc>
          <w:tcPr>
            <w:tcW w:w="1240" w:type="dxa"/>
            <w:tcBorders>
              <w:top w:val="nil"/>
              <w:left w:val="nil"/>
              <w:right w:val="nil"/>
            </w:tcBorders>
            <w:shd w:val="clear" w:color="auto" w:fill="auto"/>
            <w:noWrap/>
            <w:vAlign w:val="bottom"/>
            <w:hideMark/>
          </w:tcPr>
          <w:p w14:paraId="41FD877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0.63*</w:t>
            </w:r>
          </w:p>
        </w:tc>
        <w:tc>
          <w:tcPr>
            <w:tcW w:w="256" w:type="dxa"/>
            <w:tcBorders>
              <w:top w:val="nil"/>
              <w:left w:val="nil"/>
              <w:right w:val="nil"/>
            </w:tcBorders>
            <w:shd w:val="clear" w:color="auto" w:fill="auto"/>
            <w:noWrap/>
            <w:vAlign w:val="bottom"/>
            <w:hideMark/>
          </w:tcPr>
          <w:p w14:paraId="3641EDD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1A4D36C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4.32</w:t>
            </w:r>
          </w:p>
        </w:tc>
        <w:tc>
          <w:tcPr>
            <w:tcW w:w="1240" w:type="dxa"/>
            <w:tcBorders>
              <w:top w:val="nil"/>
              <w:left w:val="nil"/>
              <w:right w:val="nil"/>
            </w:tcBorders>
            <w:shd w:val="clear" w:color="auto" w:fill="auto"/>
            <w:noWrap/>
            <w:vAlign w:val="bottom"/>
            <w:hideMark/>
          </w:tcPr>
          <w:p w14:paraId="1F3A5D1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10.53</w:t>
            </w:r>
          </w:p>
        </w:tc>
        <w:tc>
          <w:tcPr>
            <w:tcW w:w="1240" w:type="dxa"/>
            <w:tcBorders>
              <w:top w:val="nil"/>
              <w:left w:val="nil"/>
              <w:right w:val="nil"/>
            </w:tcBorders>
            <w:shd w:val="clear" w:color="auto" w:fill="auto"/>
            <w:noWrap/>
            <w:vAlign w:val="bottom"/>
            <w:hideMark/>
          </w:tcPr>
          <w:p w14:paraId="1D10E53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0.41*</w:t>
            </w:r>
          </w:p>
        </w:tc>
        <w:tc>
          <w:tcPr>
            <w:tcW w:w="1240" w:type="dxa"/>
            <w:tcBorders>
              <w:top w:val="nil"/>
              <w:left w:val="nil"/>
              <w:right w:val="nil"/>
            </w:tcBorders>
            <w:shd w:val="clear" w:color="auto" w:fill="auto"/>
            <w:noWrap/>
            <w:vAlign w:val="bottom"/>
            <w:hideMark/>
          </w:tcPr>
          <w:p w14:paraId="2C361D8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2.05*</w:t>
            </w:r>
          </w:p>
        </w:tc>
      </w:tr>
      <w:tr w:rsidR="00F949B9" w:rsidRPr="00486F2D" w14:paraId="25148FDB" w14:textId="77777777" w:rsidTr="006019F0">
        <w:trPr>
          <w:trHeight w:hRule="exact" w:val="227"/>
        </w:trPr>
        <w:tc>
          <w:tcPr>
            <w:tcW w:w="2540" w:type="dxa"/>
            <w:tcBorders>
              <w:top w:val="nil"/>
              <w:left w:val="nil"/>
              <w:bottom w:val="single" w:sz="4" w:space="0" w:color="auto"/>
              <w:right w:val="nil"/>
            </w:tcBorders>
            <w:shd w:val="clear" w:color="auto" w:fill="auto"/>
            <w:noWrap/>
            <w:vAlign w:val="bottom"/>
            <w:hideMark/>
          </w:tcPr>
          <w:p w14:paraId="13E9AEF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S</w:t>
            </w:r>
            <w:r w:rsidRPr="00486F2D">
              <w:rPr>
                <w:rFonts w:ascii="Times New Roman" w:hAnsi="Times New Roman" w:cs="Times New Roman"/>
                <w:color w:val="000000"/>
                <w:sz w:val="16"/>
                <w:szCs w:val="16"/>
                <w:lang w:eastAsia="en-GB"/>
              </w:rPr>
              <w:t>ector</w:t>
            </w:r>
            <w:r>
              <w:rPr>
                <w:rFonts w:ascii="Times New Roman" w:hAnsi="Times New Roman" w:cs="Times New Roman"/>
                <w:color w:val="000000"/>
                <w:sz w:val="16"/>
                <w:szCs w:val="16"/>
                <w:lang w:eastAsia="en-GB"/>
              </w:rPr>
              <w:t xml:space="preserve"> </w:t>
            </w:r>
            <w:r w:rsidRPr="00486F2D">
              <w:rPr>
                <w:rFonts w:ascii="Times New Roman" w:hAnsi="Times New Roman" w:cs="Times New Roman"/>
                <w:color w:val="000000"/>
                <w:sz w:val="16"/>
                <w:szCs w:val="16"/>
                <w:lang w:eastAsia="en-GB"/>
              </w:rPr>
              <w:t>neutral</w:t>
            </w:r>
          </w:p>
        </w:tc>
        <w:tc>
          <w:tcPr>
            <w:tcW w:w="1240" w:type="dxa"/>
            <w:tcBorders>
              <w:top w:val="nil"/>
              <w:left w:val="nil"/>
              <w:bottom w:val="single" w:sz="4" w:space="0" w:color="auto"/>
              <w:right w:val="nil"/>
            </w:tcBorders>
            <w:shd w:val="clear" w:color="auto" w:fill="auto"/>
            <w:noWrap/>
            <w:vAlign w:val="bottom"/>
            <w:hideMark/>
          </w:tcPr>
          <w:p w14:paraId="06E9A28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0.73</w:t>
            </w:r>
          </w:p>
        </w:tc>
        <w:tc>
          <w:tcPr>
            <w:tcW w:w="1240" w:type="dxa"/>
            <w:tcBorders>
              <w:top w:val="nil"/>
              <w:left w:val="nil"/>
              <w:bottom w:val="single" w:sz="4" w:space="0" w:color="auto"/>
              <w:right w:val="nil"/>
            </w:tcBorders>
            <w:shd w:val="clear" w:color="auto" w:fill="auto"/>
            <w:noWrap/>
            <w:vAlign w:val="bottom"/>
            <w:hideMark/>
          </w:tcPr>
          <w:p w14:paraId="4C0BFCD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4.28</w:t>
            </w:r>
          </w:p>
        </w:tc>
        <w:tc>
          <w:tcPr>
            <w:tcW w:w="1240" w:type="dxa"/>
            <w:tcBorders>
              <w:top w:val="nil"/>
              <w:left w:val="nil"/>
              <w:bottom w:val="single" w:sz="4" w:space="0" w:color="auto"/>
              <w:right w:val="nil"/>
            </w:tcBorders>
            <w:shd w:val="clear" w:color="auto" w:fill="auto"/>
            <w:noWrap/>
            <w:vAlign w:val="bottom"/>
            <w:hideMark/>
          </w:tcPr>
          <w:p w14:paraId="02F0878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0.17</w:t>
            </w:r>
          </w:p>
        </w:tc>
        <w:tc>
          <w:tcPr>
            <w:tcW w:w="1240" w:type="dxa"/>
            <w:tcBorders>
              <w:top w:val="nil"/>
              <w:left w:val="nil"/>
              <w:bottom w:val="single" w:sz="4" w:space="0" w:color="auto"/>
              <w:right w:val="nil"/>
            </w:tcBorders>
            <w:shd w:val="clear" w:color="auto" w:fill="auto"/>
            <w:noWrap/>
            <w:vAlign w:val="bottom"/>
            <w:hideMark/>
          </w:tcPr>
          <w:p w14:paraId="608AEB7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0.28</w:t>
            </w:r>
          </w:p>
        </w:tc>
        <w:tc>
          <w:tcPr>
            <w:tcW w:w="256" w:type="dxa"/>
            <w:tcBorders>
              <w:top w:val="nil"/>
              <w:left w:val="nil"/>
              <w:bottom w:val="single" w:sz="4" w:space="0" w:color="auto"/>
              <w:right w:val="nil"/>
            </w:tcBorders>
            <w:shd w:val="clear" w:color="auto" w:fill="auto"/>
            <w:noWrap/>
            <w:vAlign w:val="bottom"/>
            <w:hideMark/>
          </w:tcPr>
          <w:p w14:paraId="4C78871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w:t>
            </w:r>
          </w:p>
        </w:tc>
        <w:tc>
          <w:tcPr>
            <w:tcW w:w="1240" w:type="dxa"/>
            <w:tcBorders>
              <w:top w:val="nil"/>
              <w:left w:val="nil"/>
              <w:bottom w:val="single" w:sz="4" w:space="0" w:color="auto"/>
              <w:right w:val="nil"/>
            </w:tcBorders>
            <w:shd w:val="clear" w:color="auto" w:fill="auto"/>
            <w:noWrap/>
            <w:vAlign w:val="bottom"/>
            <w:hideMark/>
          </w:tcPr>
          <w:p w14:paraId="46E3005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3.87</w:t>
            </w:r>
          </w:p>
        </w:tc>
        <w:tc>
          <w:tcPr>
            <w:tcW w:w="1240" w:type="dxa"/>
            <w:tcBorders>
              <w:top w:val="nil"/>
              <w:left w:val="nil"/>
              <w:bottom w:val="single" w:sz="4" w:space="0" w:color="auto"/>
              <w:right w:val="nil"/>
            </w:tcBorders>
            <w:shd w:val="clear" w:color="auto" w:fill="auto"/>
            <w:noWrap/>
            <w:vAlign w:val="bottom"/>
            <w:hideMark/>
          </w:tcPr>
          <w:p w14:paraId="0D9160B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10.25</w:t>
            </w:r>
          </w:p>
        </w:tc>
        <w:tc>
          <w:tcPr>
            <w:tcW w:w="1240" w:type="dxa"/>
            <w:tcBorders>
              <w:top w:val="nil"/>
              <w:left w:val="nil"/>
              <w:bottom w:val="single" w:sz="4" w:space="0" w:color="auto"/>
              <w:right w:val="nil"/>
            </w:tcBorders>
            <w:shd w:val="clear" w:color="auto" w:fill="auto"/>
            <w:noWrap/>
            <w:vAlign w:val="bottom"/>
            <w:hideMark/>
          </w:tcPr>
          <w:p w14:paraId="1D3885D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0.38</w:t>
            </w:r>
          </w:p>
        </w:tc>
        <w:tc>
          <w:tcPr>
            <w:tcW w:w="1240" w:type="dxa"/>
            <w:tcBorders>
              <w:top w:val="nil"/>
              <w:left w:val="nil"/>
              <w:bottom w:val="single" w:sz="4" w:space="0" w:color="auto"/>
              <w:right w:val="nil"/>
            </w:tcBorders>
            <w:shd w:val="clear" w:color="auto" w:fill="auto"/>
            <w:noWrap/>
            <w:vAlign w:val="bottom"/>
            <w:hideMark/>
          </w:tcPr>
          <w:p w14:paraId="1C73E49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1.65</w:t>
            </w:r>
          </w:p>
        </w:tc>
      </w:tr>
    </w:tbl>
    <w:p w14:paraId="20DF7DBB" w14:textId="77777777" w:rsidR="00F949B9" w:rsidRDefault="00F949B9" w:rsidP="00F949B9">
      <w:pPr>
        <w:spacing w:line="276" w:lineRule="auto"/>
        <w:rPr>
          <w:rFonts w:ascii="Times New Roman" w:hAnsi="Times New Roman" w:cs="Times New Roman"/>
          <w:sz w:val="20"/>
          <w:lang w:val="en-US"/>
        </w:rPr>
      </w:pPr>
      <w:r w:rsidRPr="00E402DA">
        <w:rPr>
          <w:rFonts w:ascii="Times New Roman" w:hAnsi="Times New Roman" w:cs="Times New Roman"/>
          <w:i/>
          <w:sz w:val="20"/>
          <w:lang w:val="en-US"/>
        </w:rPr>
        <w:t>Notes:</w:t>
      </w:r>
      <w:r>
        <w:rPr>
          <w:rFonts w:ascii="Times New Roman" w:hAnsi="Times New Roman" w:cs="Times New Roman"/>
          <w:sz w:val="20"/>
          <w:lang w:val="en-US"/>
        </w:rPr>
        <w:t xml:space="preserve"> </w:t>
      </w:r>
      <w:r w:rsidRPr="00486F2D">
        <w:rPr>
          <w:rFonts w:ascii="Times New Roman" w:hAnsi="Times New Roman" w:cs="Times New Roman"/>
          <w:sz w:val="20"/>
          <w:lang w:val="en-US"/>
        </w:rPr>
        <w:t xml:space="preserve">This table </w:t>
      </w:r>
      <w:r>
        <w:rPr>
          <w:rFonts w:ascii="Times New Roman" w:hAnsi="Times New Roman" w:cs="Times New Roman"/>
          <w:sz w:val="20"/>
          <w:lang w:val="en-US"/>
        </w:rPr>
        <w:t>report</w:t>
      </w:r>
      <w:r w:rsidRPr="00486F2D">
        <w:rPr>
          <w:rFonts w:ascii="Times New Roman" w:hAnsi="Times New Roman" w:cs="Times New Roman"/>
          <w:sz w:val="20"/>
          <w:lang w:val="en-US"/>
        </w:rPr>
        <w:t>s performance statistics f</w:t>
      </w:r>
      <w:r>
        <w:rPr>
          <w:rFonts w:ascii="Times New Roman" w:hAnsi="Times New Roman" w:cs="Times New Roman"/>
          <w:sz w:val="20"/>
          <w:lang w:val="en-US"/>
        </w:rPr>
        <w:t>or</w:t>
      </w:r>
      <w:r w:rsidRPr="00486F2D">
        <w:rPr>
          <w:rFonts w:ascii="Times New Roman" w:hAnsi="Times New Roman" w:cs="Times New Roman"/>
          <w:sz w:val="20"/>
          <w:lang w:val="en-US"/>
        </w:rPr>
        <w:t xml:space="preserve"> the base case and rating-, maturity-</w:t>
      </w:r>
      <w:r>
        <w:rPr>
          <w:rFonts w:ascii="Times New Roman" w:hAnsi="Times New Roman" w:cs="Times New Roman"/>
          <w:sz w:val="20"/>
          <w:lang w:val="en-US"/>
        </w:rPr>
        <w:t>,</w:t>
      </w:r>
      <w:r w:rsidRPr="00486F2D">
        <w:rPr>
          <w:rFonts w:ascii="Times New Roman" w:hAnsi="Times New Roman" w:cs="Times New Roman"/>
          <w:sz w:val="20"/>
          <w:lang w:val="en-US"/>
        </w:rPr>
        <w:t xml:space="preserve"> and sector-neutral alternatives of the </w:t>
      </w:r>
      <w:r>
        <w:rPr>
          <w:rFonts w:ascii="Times New Roman" w:hAnsi="Times New Roman" w:cs="Times New Roman"/>
          <w:sz w:val="20"/>
          <w:lang w:val="en-US"/>
        </w:rPr>
        <w:t>s</w:t>
      </w:r>
      <w:r w:rsidRPr="00486F2D">
        <w:rPr>
          <w:rFonts w:ascii="Times New Roman" w:hAnsi="Times New Roman" w:cs="Times New Roman"/>
          <w:sz w:val="20"/>
          <w:lang w:val="en-US"/>
        </w:rPr>
        <w:t xml:space="preserve">ize, </w:t>
      </w:r>
      <w:r>
        <w:rPr>
          <w:rFonts w:ascii="Times New Roman" w:hAnsi="Times New Roman" w:cs="Times New Roman"/>
          <w:sz w:val="20"/>
          <w:lang w:val="en-US"/>
        </w:rPr>
        <w:t>l</w:t>
      </w:r>
      <w:r w:rsidRPr="00486F2D">
        <w:rPr>
          <w:rFonts w:ascii="Times New Roman" w:hAnsi="Times New Roman" w:cs="Times New Roman"/>
          <w:sz w:val="20"/>
          <w:lang w:val="en-US"/>
        </w:rPr>
        <w:t>ow-</w:t>
      </w:r>
      <w:r>
        <w:rPr>
          <w:rFonts w:ascii="Times New Roman" w:hAnsi="Times New Roman" w:cs="Times New Roman"/>
          <w:sz w:val="20"/>
          <w:lang w:val="en-US"/>
        </w:rPr>
        <w:t>r</w:t>
      </w:r>
      <w:r w:rsidRPr="00486F2D">
        <w:rPr>
          <w:rFonts w:ascii="Times New Roman" w:hAnsi="Times New Roman" w:cs="Times New Roman"/>
          <w:sz w:val="20"/>
          <w:lang w:val="en-US"/>
        </w:rPr>
        <w:t xml:space="preserve">isk, </w:t>
      </w:r>
      <w:r>
        <w:rPr>
          <w:rFonts w:ascii="Times New Roman" w:hAnsi="Times New Roman" w:cs="Times New Roman"/>
          <w:sz w:val="20"/>
          <w:lang w:val="en-US"/>
        </w:rPr>
        <w:t>v</w:t>
      </w:r>
      <w:r w:rsidRPr="00486F2D">
        <w:rPr>
          <w:rFonts w:ascii="Times New Roman" w:hAnsi="Times New Roman" w:cs="Times New Roman"/>
          <w:sz w:val="20"/>
          <w:lang w:val="en-US"/>
        </w:rPr>
        <w:t xml:space="preserve">alue, and </w:t>
      </w:r>
      <w:r>
        <w:rPr>
          <w:rFonts w:ascii="Times New Roman" w:hAnsi="Times New Roman" w:cs="Times New Roman"/>
          <w:sz w:val="20"/>
          <w:lang w:val="en-US"/>
        </w:rPr>
        <w:t>m</w:t>
      </w:r>
      <w:r w:rsidRPr="00486F2D">
        <w:rPr>
          <w:rFonts w:ascii="Times New Roman" w:hAnsi="Times New Roman" w:cs="Times New Roman"/>
          <w:sz w:val="20"/>
          <w:lang w:val="en-US"/>
        </w:rPr>
        <w:t xml:space="preserve">omentum factors for US </w:t>
      </w:r>
      <w:r>
        <w:rPr>
          <w:rFonts w:ascii="Times New Roman" w:hAnsi="Times New Roman" w:cs="Times New Roman"/>
          <w:sz w:val="20"/>
          <w:lang w:val="en-US"/>
        </w:rPr>
        <w:t>i</w:t>
      </w:r>
      <w:r w:rsidRPr="00486F2D">
        <w:rPr>
          <w:rFonts w:ascii="Times New Roman" w:hAnsi="Times New Roman" w:cs="Times New Roman"/>
          <w:sz w:val="20"/>
          <w:lang w:val="en-US"/>
        </w:rPr>
        <w:t>nvestment</w:t>
      </w:r>
      <w:r>
        <w:rPr>
          <w:rFonts w:ascii="Times New Roman" w:hAnsi="Times New Roman" w:cs="Times New Roman"/>
          <w:sz w:val="20"/>
          <w:lang w:val="en-US"/>
        </w:rPr>
        <w:t>-g</w:t>
      </w:r>
      <w:r w:rsidRPr="00486F2D">
        <w:rPr>
          <w:rFonts w:ascii="Times New Roman" w:hAnsi="Times New Roman" w:cs="Times New Roman"/>
          <w:sz w:val="20"/>
          <w:lang w:val="en-US"/>
        </w:rPr>
        <w:t xml:space="preserve">rade and US </w:t>
      </w:r>
      <w:r>
        <w:rPr>
          <w:rFonts w:ascii="Times New Roman" w:hAnsi="Times New Roman" w:cs="Times New Roman"/>
          <w:sz w:val="20"/>
          <w:lang w:val="en-US"/>
        </w:rPr>
        <w:t>h</w:t>
      </w:r>
      <w:r w:rsidRPr="00486F2D">
        <w:rPr>
          <w:rFonts w:ascii="Times New Roman" w:hAnsi="Times New Roman" w:cs="Times New Roman"/>
          <w:sz w:val="20"/>
          <w:lang w:val="en-US"/>
        </w:rPr>
        <w:t>igh</w:t>
      </w:r>
      <w:r>
        <w:rPr>
          <w:rFonts w:ascii="Times New Roman" w:hAnsi="Times New Roman" w:cs="Times New Roman"/>
          <w:sz w:val="20"/>
          <w:lang w:val="en-US"/>
        </w:rPr>
        <w:t>-y</w:t>
      </w:r>
      <w:r w:rsidRPr="00486F2D">
        <w:rPr>
          <w:rFonts w:ascii="Times New Roman" w:hAnsi="Times New Roman" w:cs="Times New Roman"/>
          <w:sz w:val="20"/>
          <w:lang w:val="en-US"/>
        </w:rPr>
        <w:t xml:space="preserve">ield corporate bonds. See </w:t>
      </w:r>
      <w:r w:rsidRPr="00DE4C5F">
        <w:rPr>
          <w:rFonts w:ascii="Times New Roman" w:hAnsi="Times New Roman" w:cs="Times New Roman"/>
          <w:sz w:val="20"/>
          <w:lang w:val="en-US"/>
        </w:rPr>
        <w:t>Ta</w:t>
      </w:r>
      <w:r>
        <w:rPr>
          <w:rFonts w:ascii="Times New Roman" w:hAnsi="Times New Roman" w:cs="Times New Roman"/>
          <w:sz w:val="20"/>
          <w:lang w:val="en-US"/>
        </w:rPr>
        <w:t>ble 3 in the article</w:t>
      </w:r>
      <w:r w:rsidRPr="00486F2D">
        <w:rPr>
          <w:rFonts w:ascii="Times New Roman" w:hAnsi="Times New Roman" w:cs="Times New Roman"/>
          <w:sz w:val="20"/>
          <w:lang w:val="en-US"/>
        </w:rPr>
        <w:t xml:space="preserve"> for details on the construction of the factor portfolios. The rating-, maturity-</w:t>
      </w:r>
      <w:r>
        <w:rPr>
          <w:rFonts w:ascii="Times New Roman" w:hAnsi="Times New Roman" w:cs="Times New Roman"/>
          <w:sz w:val="20"/>
          <w:lang w:val="en-US"/>
        </w:rPr>
        <w:t>,</w:t>
      </w:r>
      <w:r w:rsidRPr="00486F2D">
        <w:rPr>
          <w:rFonts w:ascii="Times New Roman" w:hAnsi="Times New Roman" w:cs="Times New Roman"/>
          <w:sz w:val="20"/>
          <w:lang w:val="en-US"/>
        </w:rPr>
        <w:t xml:space="preserve"> and sector-neutral portfolios are </w:t>
      </w:r>
      <w:r>
        <w:rPr>
          <w:rFonts w:ascii="Times New Roman" w:hAnsi="Times New Roman" w:cs="Times New Roman"/>
          <w:sz w:val="20"/>
          <w:lang w:val="en-US"/>
        </w:rPr>
        <w:t>form</w:t>
      </w:r>
      <w:r w:rsidRPr="00486F2D">
        <w:rPr>
          <w:rFonts w:ascii="Times New Roman" w:hAnsi="Times New Roman" w:cs="Times New Roman"/>
          <w:sz w:val="20"/>
          <w:lang w:val="en-US"/>
        </w:rPr>
        <w:t>ed by first creating factor portfolios per rating group (AAA/AA, A, BBB, BB, B, CCC/CC/C), maturity group (five equal-sized groups)</w:t>
      </w:r>
      <w:r>
        <w:rPr>
          <w:rFonts w:ascii="Times New Roman" w:hAnsi="Times New Roman" w:cs="Times New Roman"/>
          <w:sz w:val="20"/>
          <w:lang w:val="en-US"/>
        </w:rPr>
        <w:t>,</w:t>
      </w:r>
      <w:r w:rsidRPr="00486F2D">
        <w:rPr>
          <w:rFonts w:ascii="Times New Roman" w:hAnsi="Times New Roman" w:cs="Times New Roman"/>
          <w:sz w:val="20"/>
          <w:lang w:val="en-US"/>
        </w:rPr>
        <w:t xml:space="preserve"> or sector (Consumer Cyclical, Consumer Non-Cyclical, Energy</w:t>
      </w:r>
      <w:r>
        <w:rPr>
          <w:rFonts w:ascii="Times New Roman" w:hAnsi="Times New Roman" w:cs="Times New Roman"/>
          <w:sz w:val="20"/>
          <w:lang w:val="en-US"/>
        </w:rPr>
        <w:t xml:space="preserve"> </w:t>
      </w:r>
      <w:r w:rsidRPr="00486F2D">
        <w:rPr>
          <w:rFonts w:ascii="Times New Roman" w:hAnsi="Times New Roman" w:cs="Times New Roman"/>
          <w:sz w:val="20"/>
          <w:lang w:val="en-US"/>
        </w:rPr>
        <w:t>+</w:t>
      </w:r>
      <w:r>
        <w:rPr>
          <w:rFonts w:ascii="Times New Roman" w:hAnsi="Times New Roman" w:cs="Times New Roman"/>
          <w:sz w:val="20"/>
          <w:lang w:val="en-US"/>
        </w:rPr>
        <w:t xml:space="preserve"> </w:t>
      </w:r>
      <w:r w:rsidRPr="00486F2D">
        <w:rPr>
          <w:rFonts w:ascii="Times New Roman" w:hAnsi="Times New Roman" w:cs="Times New Roman"/>
          <w:sz w:val="20"/>
          <w:lang w:val="en-US"/>
        </w:rPr>
        <w:t>Utilities, Industrials, Financials, Others) and then combining all groups to form the final factor portfolio. The left-hand side of the table shows the mean, volatility, Sharpe ratio</w:t>
      </w:r>
      <w:r>
        <w:rPr>
          <w:rFonts w:ascii="Times New Roman" w:hAnsi="Times New Roman" w:cs="Times New Roman"/>
          <w:sz w:val="20"/>
          <w:lang w:val="en-US"/>
        </w:rPr>
        <w:t xml:space="preserve">, and CAPM </w:t>
      </w:r>
      <w:r w:rsidRPr="00486F2D">
        <w:rPr>
          <w:rFonts w:ascii="Times New Roman" w:hAnsi="Times New Roman" w:cs="Times New Roman"/>
          <w:sz w:val="20"/>
          <w:lang w:val="en-US"/>
        </w:rPr>
        <w:t xml:space="preserve">alpha for </w:t>
      </w:r>
      <w:r>
        <w:rPr>
          <w:rFonts w:ascii="Times New Roman" w:hAnsi="Times New Roman" w:cs="Times New Roman"/>
          <w:sz w:val="20"/>
          <w:lang w:val="en-US"/>
        </w:rPr>
        <w:t>i</w:t>
      </w:r>
      <w:r w:rsidRPr="00486F2D">
        <w:rPr>
          <w:rFonts w:ascii="Times New Roman" w:hAnsi="Times New Roman" w:cs="Times New Roman"/>
          <w:sz w:val="20"/>
          <w:lang w:val="en-US"/>
        </w:rPr>
        <w:t xml:space="preserve">nvestment </w:t>
      </w:r>
      <w:r>
        <w:rPr>
          <w:rFonts w:ascii="Times New Roman" w:hAnsi="Times New Roman" w:cs="Times New Roman"/>
          <w:sz w:val="20"/>
          <w:lang w:val="en-US"/>
        </w:rPr>
        <w:t>g</w:t>
      </w:r>
      <w:r w:rsidRPr="00486F2D">
        <w:rPr>
          <w:rFonts w:ascii="Times New Roman" w:hAnsi="Times New Roman" w:cs="Times New Roman"/>
          <w:sz w:val="20"/>
          <w:lang w:val="en-US"/>
        </w:rPr>
        <w:t>rade</w:t>
      </w:r>
      <w:r>
        <w:rPr>
          <w:rFonts w:ascii="Times New Roman" w:hAnsi="Times New Roman" w:cs="Times New Roman"/>
          <w:sz w:val="20"/>
          <w:lang w:val="en-US"/>
        </w:rPr>
        <w:t>;</w:t>
      </w:r>
      <w:r w:rsidRPr="00486F2D">
        <w:rPr>
          <w:rFonts w:ascii="Times New Roman" w:hAnsi="Times New Roman" w:cs="Times New Roman"/>
          <w:sz w:val="20"/>
          <w:lang w:val="en-US"/>
        </w:rPr>
        <w:t xml:space="preserve"> the right-hand side shows the same for </w:t>
      </w:r>
      <w:r>
        <w:rPr>
          <w:rFonts w:ascii="Times New Roman" w:hAnsi="Times New Roman" w:cs="Times New Roman"/>
          <w:sz w:val="20"/>
          <w:lang w:val="en-US"/>
        </w:rPr>
        <w:t>h</w:t>
      </w:r>
      <w:r w:rsidRPr="00486F2D">
        <w:rPr>
          <w:rFonts w:ascii="Times New Roman" w:hAnsi="Times New Roman" w:cs="Times New Roman"/>
          <w:sz w:val="20"/>
          <w:lang w:val="en-US"/>
        </w:rPr>
        <w:t xml:space="preserve">igh </w:t>
      </w:r>
      <w:r>
        <w:rPr>
          <w:rFonts w:ascii="Times New Roman" w:hAnsi="Times New Roman" w:cs="Times New Roman"/>
          <w:sz w:val="20"/>
          <w:lang w:val="en-US"/>
        </w:rPr>
        <w:t>y</w:t>
      </w:r>
      <w:r w:rsidRPr="00486F2D">
        <w:rPr>
          <w:rFonts w:ascii="Times New Roman" w:hAnsi="Times New Roman" w:cs="Times New Roman"/>
          <w:sz w:val="20"/>
          <w:lang w:val="en-US"/>
        </w:rPr>
        <w:t>ield. Mean, volatility, and alpha are annualized. Corporate bond returns are measured as excess returns v</w:t>
      </w:r>
      <w:r>
        <w:rPr>
          <w:rFonts w:ascii="Times New Roman" w:hAnsi="Times New Roman" w:cs="Times New Roman"/>
          <w:sz w:val="20"/>
          <w:lang w:val="en-US"/>
        </w:rPr>
        <w:t>ersu</w:t>
      </w:r>
      <w:r w:rsidRPr="00486F2D">
        <w:rPr>
          <w:rFonts w:ascii="Times New Roman" w:hAnsi="Times New Roman" w:cs="Times New Roman"/>
          <w:sz w:val="20"/>
          <w:lang w:val="en-US"/>
        </w:rPr>
        <w:t xml:space="preserve">s duration-matched Treasuries. </w:t>
      </w:r>
      <w:r w:rsidRPr="00C37629">
        <w:rPr>
          <w:rFonts w:ascii="Times New Roman" w:hAnsi="Times New Roman" w:cs="Times New Roman"/>
          <w:sz w:val="20"/>
          <w:szCs w:val="20"/>
        </w:rPr>
        <w:t>Statistical significance is determined through two-sided tests of whether</w:t>
      </w:r>
      <w:r w:rsidRPr="00C37629">
        <w:rPr>
          <w:rFonts w:ascii="Times New Roman" w:hAnsi="Times New Roman" w:cs="Times New Roman"/>
          <w:sz w:val="20"/>
          <w:szCs w:val="20"/>
          <w:lang w:val="en-US"/>
        </w:rPr>
        <w:t xml:space="preserve"> the Sharpe ratio is different from the Sharpe ratio of the corporate bond market (</w:t>
      </w:r>
      <w:r w:rsidRPr="00C37629">
        <w:rPr>
          <w:rFonts w:ascii="Times New Roman" w:hAnsi="Times New Roman" w:cs="Times New Roman"/>
          <w:sz w:val="20"/>
          <w:szCs w:val="20"/>
        </w:rPr>
        <w:t>test in Jobson and Korkie 1981</w:t>
      </w:r>
      <w:r w:rsidRPr="00C37629">
        <w:rPr>
          <w:rFonts w:ascii="Times New Roman" w:hAnsi="Times New Roman" w:cs="Times New Roman"/>
          <w:sz w:val="20"/>
          <w:szCs w:val="20"/>
          <w:lang w:val="en-US"/>
        </w:rPr>
        <w:t>) and whether the CAPM alpha is different from zero (</w:t>
      </w:r>
      <w:r w:rsidRPr="00C37629">
        <w:rPr>
          <w:rFonts w:ascii="Times New Roman" w:hAnsi="Times New Roman" w:cs="Times New Roman"/>
          <w:i/>
          <w:sz w:val="20"/>
          <w:szCs w:val="20"/>
          <w:lang w:val="en-US"/>
        </w:rPr>
        <w:t>t</w:t>
      </w:r>
      <w:r w:rsidRPr="00C37629">
        <w:rPr>
          <w:rFonts w:ascii="Times New Roman" w:hAnsi="Times New Roman" w:cs="Times New Roman"/>
          <w:sz w:val="20"/>
          <w:szCs w:val="20"/>
          <w:lang w:val="en-US"/>
        </w:rPr>
        <w:t>-test with Newey</w:t>
      </w:r>
      <w:r>
        <w:rPr>
          <w:rFonts w:ascii="Times New Roman" w:hAnsi="Times New Roman" w:cs="Times New Roman"/>
          <w:sz w:val="20"/>
          <w:szCs w:val="20"/>
          <w:lang w:val="en-US"/>
        </w:rPr>
        <w:t>–</w:t>
      </w:r>
      <w:r w:rsidRPr="00C37629">
        <w:rPr>
          <w:rFonts w:ascii="Times New Roman" w:hAnsi="Times New Roman" w:cs="Times New Roman"/>
          <w:sz w:val="20"/>
          <w:szCs w:val="20"/>
          <w:lang w:val="en-US"/>
        </w:rPr>
        <w:t>West standard errors)</w:t>
      </w:r>
      <w:r w:rsidRPr="00486F2D">
        <w:rPr>
          <w:rFonts w:ascii="Times New Roman" w:hAnsi="Times New Roman" w:cs="Times New Roman"/>
          <w:sz w:val="20"/>
          <w:lang w:val="en-US"/>
        </w:rPr>
        <w:t>.</w:t>
      </w:r>
    </w:p>
    <w:p w14:paraId="38E7391D" w14:textId="77777777" w:rsidR="00F949B9" w:rsidRPr="00EE064A" w:rsidRDefault="00F949B9" w:rsidP="00F949B9">
      <w:pPr>
        <w:pStyle w:val="TableTitle"/>
        <w:autoSpaceDE w:val="0"/>
        <w:autoSpaceDN w:val="0"/>
        <w:adjustRightInd w:val="0"/>
        <w:spacing w:after="0"/>
        <w:rPr>
          <w:rFonts w:ascii="Times New Roman" w:hAnsi="Times New Roman"/>
          <w:b w:val="0"/>
          <w:sz w:val="20"/>
          <w:szCs w:val="20"/>
        </w:rPr>
      </w:pPr>
      <w:r w:rsidRPr="00EE064A">
        <w:rPr>
          <w:rFonts w:ascii="Times New Roman" w:hAnsi="Times New Roman"/>
          <w:b w:val="0"/>
          <w:sz w:val="20"/>
          <w:szCs w:val="20"/>
        </w:rPr>
        <w:t>*Significant at the 5% level.</w:t>
      </w:r>
    </w:p>
    <w:p w14:paraId="6564827E" w14:textId="1986E0A2" w:rsidR="00F949B9" w:rsidRDefault="00F949B9" w:rsidP="00F949B9">
      <w:pPr>
        <w:spacing w:after="0" w:line="240" w:lineRule="auto"/>
        <w:rPr>
          <w:rFonts w:ascii="Times New Roman" w:hAnsi="Times New Roman" w:cs="Times New Roman"/>
          <w:b/>
          <w:sz w:val="20"/>
          <w:lang w:val="en-US"/>
        </w:rPr>
      </w:pPr>
      <w:r w:rsidRPr="00EE064A">
        <w:rPr>
          <w:rFonts w:ascii="Times New Roman" w:hAnsi="Times New Roman" w:cs="Times New Roman"/>
          <w:b/>
          <w:sz w:val="20"/>
          <w:szCs w:val="20"/>
        </w:rPr>
        <w:t>**</w:t>
      </w:r>
      <w:r w:rsidRPr="00EE064A">
        <w:rPr>
          <w:rFonts w:ascii="Times New Roman" w:hAnsi="Times New Roman" w:cs="Times New Roman"/>
          <w:sz w:val="20"/>
          <w:szCs w:val="20"/>
        </w:rPr>
        <w:t>Significant at the 1% level.</w:t>
      </w:r>
    </w:p>
    <w:p w14:paraId="114F4077" w14:textId="249E5D68" w:rsidR="005269AF" w:rsidRPr="00BE21C2" w:rsidRDefault="00453867" w:rsidP="00486F2D">
      <w:pPr>
        <w:pStyle w:val="Heading2"/>
        <w:rPr>
          <w:rFonts w:cs="Times New Roman"/>
          <w:i w:val="0"/>
          <w:sz w:val="24"/>
          <w:szCs w:val="24"/>
        </w:rPr>
      </w:pPr>
      <w:r w:rsidRPr="00BE21C2">
        <w:rPr>
          <w:rFonts w:cs="Times New Roman"/>
          <w:i w:val="0"/>
          <w:sz w:val="24"/>
          <w:szCs w:val="24"/>
        </w:rPr>
        <w:t>Construct</w:t>
      </w:r>
      <w:r>
        <w:rPr>
          <w:rFonts w:cs="Times New Roman"/>
          <w:i w:val="0"/>
          <w:sz w:val="24"/>
          <w:szCs w:val="24"/>
        </w:rPr>
        <w:t>ing</w:t>
      </w:r>
      <w:r w:rsidRPr="00BE21C2">
        <w:rPr>
          <w:rFonts w:cs="Times New Roman"/>
          <w:i w:val="0"/>
          <w:sz w:val="24"/>
          <w:szCs w:val="24"/>
        </w:rPr>
        <w:t xml:space="preserve"> </w:t>
      </w:r>
      <w:r w:rsidR="005269AF" w:rsidRPr="00BE21C2">
        <w:rPr>
          <w:rFonts w:cs="Times New Roman"/>
          <w:i w:val="0"/>
          <w:sz w:val="24"/>
          <w:szCs w:val="24"/>
        </w:rPr>
        <w:t xml:space="preserve">Portfolios on a </w:t>
      </w:r>
      <w:r w:rsidR="00BE21C2" w:rsidRPr="00BE21C2">
        <w:rPr>
          <w:rFonts w:cs="Times New Roman"/>
          <w:i w:val="0"/>
          <w:sz w:val="24"/>
          <w:szCs w:val="24"/>
        </w:rPr>
        <w:t>L</w:t>
      </w:r>
      <w:r w:rsidR="005269AF" w:rsidRPr="00BE21C2">
        <w:rPr>
          <w:rFonts w:cs="Times New Roman"/>
          <w:i w:val="0"/>
          <w:sz w:val="24"/>
          <w:szCs w:val="24"/>
        </w:rPr>
        <w:t xml:space="preserve">iquid </w:t>
      </w:r>
      <w:r w:rsidR="00BE21C2" w:rsidRPr="00BE21C2">
        <w:rPr>
          <w:rFonts w:cs="Times New Roman"/>
          <w:i w:val="0"/>
          <w:sz w:val="24"/>
          <w:szCs w:val="24"/>
        </w:rPr>
        <w:t>S</w:t>
      </w:r>
      <w:r w:rsidR="005269AF" w:rsidRPr="00BE21C2">
        <w:rPr>
          <w:rFonts w:cs="Times New Roman"/>
          <w:i w:val="0"/>
          <w:sz w:val="24"/>
          <w:szCs w:val="24"/>
        </w:rPr>
        <w:t>ubsample</w:t>
      </w:r>
    </w:p>
    <w:p w14:paraId="2868DC0A" w14:textId="789752FE"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A concern when investing in corporate bonds is that they are less liquid than stocks. To examine the effect of liquidity on the performance of factor portfolios, we restrict our bond sample to a liquid subset by choosing the most liquid bond of each company. We use the age (time since issuance) and size (amount outstanding) of each bond as liquidity criteria, because previous studies </w:t>
      </w:r>
      <w:r w:rsidR="00EF5149">
        <w:rPr>
          <w:rFonts w:ascii="Times New Roman" w:hAnsi="Times New Roman" w:cs="Times New Roman"/>
          <w:sz w:val="24"/>
          <w:szCs w:val="24"/>
          <w:lang w:val="en-US"/>
        </w:rPr>
        <w:t xml:space="preserve">have </w:t>
      </w:r>
      <w:r w:rsidRPr="00486F2D">
        <w:rPr>
          <w:rFonts w:ascii="Times New Roman" w:hAnsi="Times New Roman" w:cs="Times New Roman"/>
          <w:sz w:val="24"/>
          <w:szCs w:val="24"/>
          <w:lang w:val="en-US"/>
        </w:rPr>
        <w:t>show</w:t>
      </w:r>
      <w:r w:rsidR="00EF5149">
        <w:rPr>
          <w:rFonts w:ascii="Times New Roman" w:hAnsi="Times New Roman" w:cs="Times New Roman"/>
          <w:sz w:val="24"/>
          <w:szCs w:val="24"/>
          <w:lang w:val="en-US"/>
        </w:rPr>
        <w:t>n</w:t>
      </w:r>
      <w:r w:rsidRPr="00486F2D">
        <w:rPr>
          <w:rFonts w:ascii="Times New Roman" w:hAnsi="Times New Roman" w:cs="Times New Roman"/>
          <w:sz w:val="24"/>
          <w:szCs w:val="24"/>
          <w:lang w:val="en-US"/>
        </w:rPr>
        <w:t xml:space="preserve"> that these are effective liquidity proxies </w:t>
      </w:r>
      <w:r w:rsidR="00484F02">
        <w:rPr>
          <w:rFonts w:ascii="Times New Roman" w:hAnsi="Times New Roman" w:cs="Times New Roman"/>
          <w:sz w:val="24"/>
          <w:szCs w:val="24"/>
          <w:lang w:val="en-US"/>
        </w:rPr>
        <w:t>(</w:t>
      </w:r>
      <w:r w:rsidRPr="00486F2D">
        <w:rPr>
          <w:rFonts w:ascii="Times New Roman" w:hAnsi="Times New Roman" w:cs="Times New Roman"/>
          <w:sz w:val="24"/>
          <w:szCs w:val="24"/>
          <w:lang w:val="en-US"/>
        </w:rPr>
        <w:t>see</w:t>
      </w:r>
      <w:r w:rsidR="00484F0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e.g.</w:t>
      </w:r>
      <w:r w:rsidR="00484F0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t>
      </w:r>
      <w:proofErr w:type="spellStart"/>
      <w:r w:rsidRPr="00486F2D">
        <w:rPr>
          <w:rFonts w:ascii="Times New Roman" w:hAnsi="Times New Roman" w:cs="Times New Roman"/>
          <w:sz w:val="24"/>
          <w:szCs w:val="24"/>
          <w:lang w:val="en-US"/>
        </w:rPr>
        <w:t>Sarig</w:t>
      </w:r>
      <w:proofErr w:type="spellEnd"/>
      <w:r w:rsidRPr="00486F2D">
        <w:rPr>
          <w:rFonts w:ascii="Times New Roman" w:hAnsi="Times New Roman" w:cs="Times New Roman"/>
          <w:sz w:val="24"/>
          <w:szCs w:val="24"/>
          <w:lang w:val="en-US"/>
        </w:rPr>
        <w:t xml:space="preserve"> and </w:t>
      </w:r>
      <w:proofErr w:type="spellStart"/>
      <w:r w:rsidRPr="00486F2D">
        <w:rPr>
          <w:rFonts w:ascii="Times New Roman" w:hAnsi="Times New Roman" w:cs="Times New Roman"/>
          <w:sz w:val="24"/>
          <w:szCs w:val="24"/>
          <w:lang w:val="en-US"/>
        </w:rPr>
        <w:t>Warga</w:t>
      </w:r>
      <w:proofErr w:type="spellEnd"/>
      <w:r w:rsidRPr="00486F2D">
        <w:rPr>
          <w:rFonts w:ascii="Times New Roman" w:hAnsi="Times New Roman" w:cs="Times New Roman"/>
          <w:sz w:val="24"/>
          <w:szCs w:val="24"/>
          <w:lang w:val="en-US"/>
        </w:rPr>
        <w:t> 1989</w:t>
      </w:r>
      <w:r w:rsidR="00484F02">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Crabbe and Turner 1995). In each month and for each company</w:t>
      </w:r>
      <w:r w:rsidR="00EF5149">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we use the following procedure:</w:t>
      </w:r>
    </w:p>
    <w:p w14:paraId="59CE380F" w14:textId="2D7CE968" w:rsidR="005269AF" w:rsidRPr="00486F2D" w:rsidRDefault="00FF1883" w:rsidP="0073245E">
      <w:pPr>
        <w:pStyle w:val="ListParagraph"/>
        <w:numPr>
          <w:ilvl w:val="0"/>
          <w:numId w:val="2"/>
        </w:numPr>
        <w:ind w:hanging="720"/>
        <w:rPr>
          <w:szCs w:val="24"/>
        </w:rPr>
      </w:pPr>
      <w:r>
        <w:rPr>
          <w:szCs w:val="24"/>
        </w:rPr>
        <w:t>We l</w:t>
      </w:r>
      <w:r w:rsidR="005269AF" w:rsidRPr="00486F2D">
        <w:rPr>
          <w:szCs w:val="24"/>
        </w:rPr>
        <w:t xml:space="preserve">imit the set of bonds of the company to bonds with an age of at most </w:t>
      </w:r>
      <w:r>
        <w:rPr>
          <w:szCs w:val="24"/>
        </w:rPr>
        <w:t>two</w:t>
      </w:r>
      <w:r w:rsidR="005269AF" w:rsidRPr="00486F2D">
        <w:rPr>
          <w:szCs w:val="24"/>
        </w:rPr>
        <w:t xml:space="preserve"> years. If no bonds are younger than </w:t>
      </w:r>
      <w:r>
        <w:rPr>
          <w:szCs w:val="24"/>
        </w:rPr>
        <w:t>two</w:t>
      </w:r>
      <w:r w:rsidR="005269AF" w:rsidRPr="00486F2D">
        <w:rPr>
          <w:szCs w:val="24"/>
        </w:rPr>
        <w:t xml:space="preserve"> years, </w:t>
      </w:r>
      <w:r>
        <w:rPr>
          <w:szCs w:val="24"/>
        </w:rPr>
        <w:t xml:space="preserve">we </w:t>
      </w:r>
      <w:r w:rsidR="005269AF" w:rsidRPr="00486F2D">
        <w:rPr>
          <w:szCs w:val="24"/>
        </w:rPr>
        <w:t xml:space="preserve">limit </w:t>
      </w:r>
      <w:r>
        <w:rPr>
          <w:szCs w:val="24"/>
        </w:rPr>
        <w:t xml:space="preserve">the set </w:t>
      </w:r>
      <w:r w:rsidR="005269AF" w:rsidRPr="00486F2D">
        <w:rPr>
          <w:szCs w:val="24"/>
        </w:rPr>
        <w:t xml:space="preserve">to bonds with an age of at most </w:t>
      </w:r>
      <w:r>
        <w:rPr>
          <w:szCs w:val="24"/>
        </w:rPr>
        <w:t>four</w:t>
      </w:r>
      <w:r w:rsidR="005269AF" w:rsidRPr="00486F2D">
        <w:rPr>
          <w:szCs w:val="24"/>
        </w:rPr>
        <w:t xml:space="preserve"> years. If no </w:t>
      </w:r>
      <w:r>
        <w:rPr>
          <w:szCs w:val="24"/>
        </w:rPr>
        <w:t xml:space="preserve">such </w:t>
      </w:r>
      <w:r w:rsidR="005269AF" w:rsidRPr="00486F2D">
        <w:rPr>
          <w:szCs w:val="24"/>
        </w:rPr>
        <w:t xml:space="preserve">bonds </w:t>
      </w:r>
      <w:r>
        <w:rPr>
          <w:szCs w:val="24"/>
        </w:rPr>
        <w:t>a</w:t>
      </w:r>
      <w:r w:rsidR="005269AF" w:rsidRPr="00486F2D">
        <w:rPr>
          <w:szCs w:val="24"/>
        </w:rPr>
        <w:t xml:space="preserve">re found, </w:t>
      </w:r>
      <w:r>
        <w:rPr>
          <w:szCs w:val="24"/>
        </w:rPr>
        <w:t xml:space="preserve">we </w:t>
      </w:r>
      <w:r w:rsidR="005269AF" w:rsidRPr="00486F2D">
        <w:rPr>
          <w:szCs w:val="24"/>
        </w:rPr>
        <w:t xml:space="preserve">select all bonds of the company. </w:t>
      </w:r>
    </w:p>
    <w:p w14:paraId="57497BC7" w14:textId="60F5206B" w:rsidR="005269AF" w:rsidRPr="00486F2D" w:rsidRDefault="005269AF" w:rsidP="0073245E">
      <w:pPr>
        <w:pStyle w:val="ListParagraph"/>
        <w:numPr>
          <w:ilvl w:val="0"/>
          <w:numId w:val="2"/>
        </w:numPr>
        <w:ind w:hanging="720"/>
        <w:rPr>
          <w:szCs w:val="24"/>
        </w:rPr>
      </w:pPr>
      <w:r w:rsidRPr="00486F2D">
        <w:rPr>
          <w:szCs w:val="24"/>
        </w:rPr>
        <w:t xml:space="preserve">Within the age-restricted set of bonds, </w:t>
      </w:r>
      <w:r w:rsidR="00FF1883">
        <w:rPr>
          <w:szCs w:val="24"/>
        </w:rPr>
        <w:t xml:space="preserve">we </w:t>
      </w:r>
      <w:r w:rsidRPr="00486F2D">
        <w:rPr>
          <w:szCs w:val="24"/>
        </w:rPr>
        <w:t>select the largest bond.</w:t>
      </w:r>
    </w:p>
    <w:p w14:paraId="391E6373" w14:textId="18A32C1A" w:rsidR="005269AF" w:rsidRPr="00486F2D" w:rsidRDefault="00DE4C5F" w:rsidP="00486F2D">
      <w:pPr>
        <w:spacing w:line="480" w:lineRule="auto"/>
        <w:rPr>
          <w:rFonts w:ascii="Times New Roman" w:hAnsi="Times New Roman" w:cs="Times New Roman"/>
          <w:sz w:val="24"/>
          <w:szCs w:val="24"/>
          <w:lang w:val="en-US"/>
        </w:rPr>
      </w:pPr>
      <w:r w:rsidRPr="00797458">
        <w:rPr>
          <w:rFonts w:ascii="Times New Roman" w:hAnsi="Times New Roman" w:cs="Times New Roman"/>
          <w:b/>
          <w:sz w:val="24"/>
          <w:szCs w:val="24"/>
          <w:lang w:val="en-US"/>
        </w:rPr>
        <w:t>Table A3</w:t>
      </w:r>
      <w:r w:rsidR="005269AF" w:rsidRPr="00486F2D">
        <w:rPr>
          <w:rFonts w:ascii="Times New Roman" w:hAnsi="Times New Roman" w:cs="Times New Roman"/>
          <w:sz w:val="24"/>
          <w:szCs w:val="24"/>
          <w:lang w:val="en-US"/>
        </w:rPr>
        <w:t xml:space="preserve"> shows performance statistics of the factor portfolios </w:t>
      </w:r>
      <w:r w:rsidR="002C66D1">
        <w:rPr>
          <w:rFonts w:ascii="Times New Roman" w:hAnsi="Times New Roman" w:cs="Times New Roman"/>
          <w:sz w:val="24"/>
          <w:szCs w:val="24"/>
          <w:lang w:val="en-US"/>
        </w:rPr>
        <w:t xml:space="preserve">constructed </w:t>
      </w:r>
      <w:r w:rsidR="005269AF" w:rsidRPr="00486F2D">
        <w:rPr>
          <w:rFonts w:ascii="Times New Roman" w:hAnsi="Times New Roman" w:cs="Times New Roman"/>
          <w:sz w:val="24"/>
          <w:szCs w:val="24"/>
          <w:lang w:val="en-US"/>
        </w:rPr>
        <w:t xml:space="preserve">on </w:t>
      </w:r>
      <w:r w:rsidR="002C66D1">
        <w:rPr>
          <w:rFonts w:ascii="Times New Roman" w:hAnsi="Times New Roman" w:cs="Times New Roman"/>
          <w:sz w:val="24"/>
          <w:szCs w:val="24"/>
          <w:lang w:val="en-US"/>
        </w:rPr>
        <w:t xml:space="preserve">both </w:t>
      </w:r>
      <w:r w:rsidR="005269AF" w:rsidRPr="00486F2D">
        <w:rPr>
          <w:rFonts w:ascii="Times New Roman" w:hAnsi="Times New Roman" w:cs="Times New Roman"/>
          <w:sz w:val="24"/>
          <w:szCs w:val="24"/>
          <w:lang w:val="en-US"/>
        </w:rPr>
        <w:t>the liquid subset and the full dataset</w:t>
      </w:r>
      <w:r w:rsidR="002C66D1">
        <w:rPr>
          <w:rFonts w:ascii="Times New Roman" w:hAnsi="Times New Roman" w:cs="Times New Roman"/>
          <w:sz w:val="24"/>
          <w:szCs w:val="24"/>
          <w:lang w:val="en-US"/>
        </w:rPr>
        <w:t xml:space="preserve"> for ease of</w:t>
      </w:r>
      <w:r w:rsidR="002C66D1" w:rsidRPr="00486F2D">
        <w:rPr>
          <w:rFonts w:ascii="Times New Roman" w:hAnsi="Times New Roman" w:cs="Times New Roman"/>
          <w:sz w:val="24"/>
          <w:szCs w:val="24"/>
          <w:lang w:val="en-US"/>
        </w:rPr>
        <w:t xml:space="preserve"> comparison</w:t>
      </w:r>
      <w:r w:rsidR="005269AF" w:rsidRPr="00486F2D">
        <w:rPr>
          <w:rFonts w:ascii="Times New Roman" w:hAnsi="Times New Roman" w:cs="Times New Roman"/>
          <w:sz w:val="24"/>
          <w:szCs w:val="24"/>
          <w:lang w:val="en-US"/>
        </w:rPr>
        <w:t xml:space="preserve">. For </w:t>
      </w:r>
      <w:r w:rsidR="00926EE8">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 xml:space="preserve">nvestment </w:t>
      </w:r>
      <w:r w:rsidR="00926EE8">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rade</w:t>
      </w:r>
      <w:r w:rsidR="00926EE8">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almost all </w:t>
      </w:r>
      <w:r w:rsidR="00400DC3" w:rsidRPr="00486F2D">
        <w:rPr>
          <w:rFonts w:ascii="Times New Roman" w:hAnsi="Times New Roman" w:cs="Times New Roman"/>
          <w:sz w:val="24"/>
          <w:szCs w:val="24"/>
          <w:lang w:val="en-US"/>
        </w:rPr>
        <w:t xml:space="preserve">Sharpe ratios and alphas remain statistically significant and are very similar to </w:t>
      </w:r>
      <w:r w:rsidR="00400DC3">
        <w:rPr>
          <w:rFonts w:ascii="Times New Roman" w:hAnsi="Times New Roman" w:cs="Times New Roman"/>
          <w:sz w:val="24"/>
          <w:szCs w:val="24"/>
          <w:lang w:val="en-US"/>
        </w:rPr>
        <w:t xml:space="preserve">those in </w:t>
      </w:r>
      <w:r w:rsidR="00400DC3" w:rsidRPr="00486F2D">
        <w:rPr>
          <w:rFonts w:ascii="Times New Roman" w:hAnsi="Times New Roman" w:cs="Times New Roman"/>
          <w:sz w:val="24"/>
          <w:szCs w:val="24"/>
          <w:lang w:val="en-US"/>
        </w:rPr>
        <w:t>the base case</w:t>
      </w:r>
      <w:r w:rsidR="00400DC3">
        <w:rPr>
          <w:rFonts w:ascii="Times New Roman" w:hAnsi="Times New Roman" w:cs="Times New Roman"/>
          <w:sz w:val="24"/>
          <w:szCs w:val="24"/>
          <w:lang w:val="en-US"/>
        </w:rPr>
        <w:t>;</w:t>
      </w:r>
      <w:r w:rsidR="00400DC3" w:rsidRPr="00486F2D">
        <w:rPr>
          <w:rFonts w:ascii="Times New Roman" w:hAnsi="Times New Roman" w:cs="Times New Roman"/>
          <w:sz w:val="24"/>
          <w:szCs w:val="24"/>
          <w:lang w:val="en-US"/>
        </w:rPr>
        <w:t xml:space="preserve"> </w:t>
      </w:r>
      <w:r w:rsidR="00400DC3">
        <w:rPr>
          <w:rFonts w:ascii="Times New Roman" w:hAnsi="Times New Roman" w:cs="Times New Roman"/>
          <w:sz w:val="24"/>
          <w:szCs w:val="24"/>
          <w:lang w:val="en-US"/>
        </w:rPr>
        <w:t xml:space="preserve">the same is true </w:t>
      </w:r>
      <w:r w:rsidR="005269AF" w:rsidRPr="00486F2D">
        <w:rPr>
          <w:rFonts w:ascii="Times New Roman" w:hAnsi="Times New Roman" w:cs="Times New Roman"/>
          <w:sz w:val="24"/>
          <w:szCs w:val="24"/>
          <w:lang w:val="en-US"/>
        </w:rPr>
        <w:t xml:space="preserve">for </w:t>
      </w:r>
      <w:r w:rsidR="00400DC3" w:rsidRPr="00080273">
        <w:rPr>
          <w:rFonts w:ascii="Times New Roman" w:hAnsi="Times New Roman" w:cs="Times New Roman"/>
          <w:i/>
          <w:sz w:val="24"/>
          <w:szCs w:val="24"/>
          <w:lang w:val="en-US"/>
        </w:rPr>
        <w:t>all</w:t>
      </w:r>
      <w:r w:rsidR="00400DC3">
        <w:rPr>
          <w:rFonts w:ascii="Times New Roman" w:hAnsi="Times New Roman" w:cs="Times New Roman"/>
          <w:sz w:val="24"/>
          <w:szCs w:val="24"/>
          <w:lang w:val="en-US"/>
        </w:rPr>
        <w:t xml:space="preserve"> </w:t>
      </w:r>
      <w:r w:rsidR="00080273">
        <w:rPr>
          <w:rFonts w:ascii="Times New Roman" w:hAnsi="Times New Roman" w:cs="Times New Roman"/>
          <w:sz w:val="24"/>
          <w:szCs w:val="24"/>
          <w:lang w:val="en-US"/>
        </w:rPr>
        <w:t>the</w:t>
      </w:r>
      <w:r w:rsidR="00400DC3">
        <w:rPr>
          <w:rFonts w:ascii="Times New Roman" w:hAnsi="Times New Roman" w:cs="Times New Roman"/>
          <w:sz w:val="24"/>
          <w:szCs w:val="24"/>
          <w:lang w:val="en-US"/>
        </w:rPr>
        <w:t xml:space="preserve"> </w:t>
      </w:r>
      <w:r w:rsidR="00926EE8">
        <w:rPr>
          <w:rFonts w:ascii="Times New Roman" w:hAnsi="Times New Roman" w:cs="Times New Roman"/>
          <w:sz w:val="24"/>
          <w:szCs w:val="24"/>
          <w:lang w:val="en-US"/>
        </w:rPr>
        <w:t>h</w:t>
      </w:r>
      <w:r w:rsidR="005269AF" w:rsidRPr="00486F2D">
        <w:rPr>
          <w:rFonts w:ascii="Times New Roman" w:hAnsi="Times New Roman" w:cs="Times New Roman"/>
          <w:sz w:val="24"/>
          <w:szCs w:val="24"/>
          <w:lang w:val="en-US"/>
        </w:rPr>
        <w:t>igh</w:t>
      </w:r>
      <w:r w:rsidR="00400DC3">
        <w:rPr>
          <w:rFonts w:ascii="Times New Roman" w:hAnsi="Times New Roman" w:cs="Times New Roman"/>
          <w:sz w:val="24"/>
          <w:szCs w:val="24"/>
          <w:lang w:val="en-US"/>
        </w:rPr>
        <w:t>-</w:t>
      </w:r>
      <w:r w:rsidR="00926EE8">
        <w:rPr>
          <w:rFonts w:ascii="Times New Roman" w:hAnsi="Times New Roman" w:cs="Times New Roman"/>
          <w:sz w:val="24"/>
          <w:szCs w:val="24"/>
          <w:lang w:val="en-US"/>
        </w:rPr>
        <w:t>y</w:t>
      </w:r>
      <w:r w:rsidR="005269AF" w:rsidRPr="00486F2D">
        <w:rPr>
          <w:rFonts w:ascii="Times New Roman" w:hAnsi="Times New Roman" w:cs="Times New Roman"/>
          <w:sz w:val="24"/>
          <w:szCs w:val="24"/>
          <w:lang w:val="en-US"/>
        </w:rPr>
        <w:t>ield</w:t>
      </w:r>
      <w:r w:rsidR="00400DC3">
        <w:rPr>
          <w:rFonts w:ascii="Times New Roman" w:hAnsi="Times New Roman" w:cs="Times New Roman"/>
          <w:sz w:val="24"/>
          <w:szCs w:val="24"/>
          <w:lang w:val="en-US"/>
        </w:rPr>
        <w:t xml:space="preserve"> statistics</w:t>
      </w:r>
      <w:r w:rsidR="005269AF" w:rsidRPr="00486F2D">
        <w:rPr>
          <w:rFonts w:ascii="Times New Roman" w:hAnsi="Times New Roman" w:cs="Times New Roman"/>
          <w:sz w:val="24"/>
          <w:szCs w:val="24"/>
          <w:lang w:val="en-US"/>
        </w:rPr>
        <w:t>. We th</w:t>
      </w:r>
      <w:r w:rsidR="00926EE8">
        <w:rPr>
          <w:rFonts w:ascii="Times New Roman" w:hAnsi="Times New Roman" w:cs="Times New Roman"/>
          <w:sz w:val="24"/>
          <w:szCs w:val="24"/>
          <w:lang w:val="en-US"/>
        </w:rPr>
        <w:t>us</w:t>
      </w:r>
      <w:r w:rsidR="005269AF" w:rsidRPr="00486F2D">
        <w:rPr>
          <w:rFonts w:ascii="Times New Roman" w:hAnsi="Times New Roman" w:cs="Times New Roman"/>
          <w:sz w:val="24"/>
          <w:szCs w:val="24"/>
          <w:lang w:val="en-US"/>
        </w:rPr>
        <w:t xml:space="preserve"> conclude that the performance of the factor portfolios is robust to liquidity effects.</w:t>
      </w:r>
    </w:p>
    <w:p w14:paraId="01B84A33" w14:textId="77777777" w:rsidR="00F949B9" w:rsidRPr="00EC0768" w:rsidRDefault="00F949B9" w:rsidP="00F949B9">
      <w:pPr>
        <w:spacing w:after="0" w:line="240" w:lineRule="auto"/>
        <w:rPr>
          <w:rFonts w:ascii="Times New Roman" w:hAnsi="Times New Roman" w:cs="Times New Roman"/>
          <w:b/>
          <w:bCs/>
          <w:sz w:val="20"/>
          <w:szCs w:val="20"/>
          <w:lang w:val="en-US"/>
        </w:rPr>
      </w:pPr>
      <w:bookmarkStart w:id="3" w:name="_Ref450642043"/>
      <w:r w:rsidRPr="00EC0768">
        <w:rPr>
          <w:rFonts w:ascii="Times New Roman" w:hAnsi="Times New Roman" w:cs="Times New Roman"/>
          <w:b/>
          <w:bCs/>
          <w:sz w:val="20"/>
          <w:szCs w:val="20"/>
          <w:lang w:val="en-US"/>
        </w:rPr>
        <w:t xml:space="preserve">Table </w:t>
      </w:r>
      <w:bookmarkEnd w:id="3"/>
      <w:r w:rsidRPr="00EC0768">
        <w:rPr>
          <w:rFonts w:ascii="Times New Roman" w:hAnsi="Times New Roman" w:cs="Times New Roman"/>
          <w:b/>
          <w:sz w:val="20"/>
          <w:szCs w:val="20"/>
          <w:lang w:val="en-US"/>
        </w:rPr>
        <w:t>A3</w:t>
      </w:r>
      <w:r>
        <w:rPr>
          <w:rFonts w:ascii="Times New Roman" w:hAnsi="Times New Roman" w:cs="Times New Roman"/>
          <w:b/>
          <w:sz w:val="20"/>
          <w:szCs w:val="20"/>
          <w:lang w:val="en-US"/>
        </w:rPr>
        <w:t>.</w:t>
      </w:r>
      <w:r w:rsidRPr="00EC0768">
        <w:rPr>
          <w:rFonts w:ascii="Times New Roman" w:hAnsi="Times New Roman" w:cs="Times New Roman"/>
          <w:b/>
          <w:bCs/>
          <w:sz w:val="20"/>
          <w:szCs w:val="20"/>
          <w:lang w:val="en-US"/>
        </w:rPr>
        <w:t xml:space="preserve"> Performance </w:t>
      </w:r>
      <w:r>
        <w:rPr>
          <w:rFonts w:ascii="Times New Roman" w:hAnsi="Times New Roman" w:cs="Times New Roman"/>
          <w:b/>
          <w:bCs/>
          <w:sz w:val="20"/>
          <w:szCs w:val="20"/>
          <w:lang w:val="en-US"/>
        </w:rPr>
        <w:t>S</w:t>
      </w:r>
      <w:r w:rsidRPr="00EC0768">
        <w:rPr>
          <w:rFonts w:ascii="Times New Roman" w:hAnsi="Times New Roman" w:cs="Times New Roman"/>
          <w:b/>
          <w:bCs/>
          <w:sz w:val="20"/>
          <w:szCs w:val="20"/>
          <w:lang w:val="en-US"/>
        </w:rPr>
        <w:t xml:space="preserve">tatistics of </w:t>
      </w:r>
      <w:r>
        <w:rPr>
          <w:rFonts w:ascii="Times New Roman" w:hAnsi="Times New Roman" w:cs="Times New Roman"/>
          <w:b/>
          <w:bCs/>
          <w:sz w:val="20"/>
          <w:szCs w:val="20"/>
          <w:lang w:val="en-US"/>
        </w:rPr>
        <w:t>L</w:t>
      </w:r>
      <w:r w:rsidRPr="00EC0768">
        <w:rPr>
          <w:rFonts w:ascii="Times New Roman" w:hAnsi="Times New Roman" w:cs="Times New Roman"/>
          <w:b/>
          <w:bCs/>
          <w:sz w:val="20"/>
          <w:szCs w:val="20"/>
          <w:lang w:val="en-US"/>
        </w:rPr>
        <w:t>ong-</w:t>
      </w:r>
      <w:r>
        <w:rPr>
          <w:rFonts w:ascii="Times New Roman" w:hAnsi="Times New Roman" w:cs="Times New Roman"/>
          <w:b/>
          <w:bCs/>
          <w:sz w:val="20"/>
          <w:szCs w:val="20"/>
          <w:lang w:val="en-US"/>
        </w:rPr>
        <w:t>O</w:t>
      </w:r>
      <w:r w:rsidRPr="00EC0768">
        <w:rPr>
          <w:rFonts w:ascii="Times New Roman" w:hAnsi="Times New Roman" w:cs="Times New Roman"/>
          <w:b/>
          <w:bCs/>
          <w:sz w:val="20"/>
          <w:szCs w:val="20"/>
          <w:lang w:val="en-US"/>
        </w:rPr>
        <w:t xml:space="preserve">nly </w:t>
      </w:r>
      <w:r>
        <w:rPr>
          <w:rFonts w:ascii="Times New Roman" w:hAnsi="Times New Roman" w:cs="Times New Roman"/>
          <w:b/>
          <w:bCs/>
          <w:sz w:val="20"/>
          <w:szCs w:val="20"/>
          <w:lang w:val="en-US"/>
        </w:rPr>
        <w:t>F</w:t>
      </w:r>
      <w:r w:rsidRPr="00EC0768">
        <w:rPr>
          <w:rFonts w:ascii="Times New Roman" w:hAnsi="Times New Roman" w:cs="Times New Roman"/>
          <w:b/>
          <w:bCs/>
          <w:sz w:val="20"/>
          <w:szCs w:val="20"/>
          <w:lang w:val="en-US"/>
        </w:rPr>
        <w:t xml:space="preserve">actor </w:t>
      </w:r>
      <w:r>
        <w:rPr>
          <w:rFonts w:ascii="Times New Roman" w:hAnsi="Times New Roman" w:cs="Times New Roman"/>
          <w:b/>
          <w:bCs/>
          <w:sz w:val="20"/>
          <w:szCs w:val="20"/>
          <w:lang w:val="en-US"/>
        </w:rPr>
        <w:t>P</w:t>
      </w:r>
      <w:r w:rsidRPr="00EC0768">
        <w:rPr>
          <w:rFonts w:ascii="Times New Roman" w:hAnsi="Times New Roman" w:cs="Times New Roman"/>
          <w:b/>
          <w:bCs/>
          <w:sz w:val="20"/>
          <w:szCs w:val="20"/>
          <w:lang w:val="en-US"/>
        </w:rPr>
        <w:t xml:space="preserve">ortfolios on </w:t>
      </w:r>
      <w:r>
        <w:rPr>
          <w:rFonts w:ascii="Times New Roman" w:hAnsi="Times New Roman" w:cs="Times New Roman"/>
          <w:b/>
          <w:bCs/>
          <w:sz w:val="20"/>
          <w:szCs w:val="20"/>
          <w:lang w:val="en-US"/>
        </w:rPr>
        <w:t>L</w:t>
      </w:r>
      <w:r w:rsidRPr="00EC0768">
        <w:rPr>
          <w:rFonts w:ascii="Times New Roman" w:hAnsi="Times New Roman" w:cs="Times New Roman"/>
          <w:b/>
          <w:bCs/>
          <w:sz w:val="20"/>
          <w:szCs w:val="20"/>
          <w:lang w:val="en-US"/>
        </w:rPr>
        <w:t xml:space="preserve">iquid </w:t>
      </w:r>
      <w:r>
        <w:rPr>
          <w:rFonts w:ascii="Times New Roman" w:hAnsi="Times New Roman" w:cs="Times New Roman"/>
          <w:b/>
          <w:bCs/>
          <w:sz w:val="20"/>
          <w:szCs w:val="20"/>
          <w:lang w:val="en-US"/>
        </w:rPr>
        <w:t>S</w:t>
      </w:r>
      <w:r w:rsidRPr="00EC0768">
        <w:rPr>
          <w:rFonts w:ascii="Times New Roman" w:hAnsi="Times New Roman" w:cs="Times New Roman"/>
          <w:b/>
          <w:bCs/>
          <w:sz w:val="20"/>
          <w:szCs w:val="20"/>
          <w:lang w:val="en-US"/>
        </w:rPr>
        <w:t>ubsample</w:t>
      </w:r>
      <w:r>
        <w:rPr>
          <w:rFonts w:ascii="Times New Roman" w:hAnsi="Times New Roman" w:cs="Times New Roman"/>
          <w:b/>
          <w:bCs/>
          <w:sz w:val="20"/>
          <w:szCs w:val="20"/>
          <w:lang w:val="en-US"/>
        </w:rPr>
        <w:t xml:space="preserve">, </w:t>
      </w:r>
      <w:r w:rsidRPr="001E1444">
        <w:rPr>
          <w:rFonts w:ascii="Times New Roman" w:hAnsi="Times New Roman" w:cs="Times New Roman"/>
          <w:b/>
          <w:sz w:val="20"/>
          <w:lang w:val="en-US"/>
        </w:rPr>
        <w:t>January 1994</w:t>
      </w:r>
      <w:r>
        <w:rPr>
          <w:rFonts w:ascii="Times New Roman" w:hAnsi="Times New Roman" w:cs="Times New Roman"/>
          <w:b/>
          <w:sz w:val="20"/>
          <w:lang w:val="en-US"/>
        </w:rPr>
        <w:t>–</w:t>
      </w:r>
      <w:r w:rsidRPr="001E1444">
        <w:rPr>
          <w:rFonts w:ascii="Times New Roman" w:hAnsi="Times New Roman" w:cs="Times New Roman"/>
          <w:b/>
          <w:sz w:val="20"/>
          <w:lang w:val="en-US"/>
        </w:rPr>
        <w:t>June 2015</w:t>
      </w:r>
    </w:p>
    <w:tbl>
      <w:tblPr>
        <w:tblW w:w="12716" w:type="dxa"/>
        <w:tblInd w:w="93" w:type="dxa"/>
        <w:tblLook w:val="04A0" w:firstRow="1" w:lastRow="0" w:firstColumn="1" w:lastColumn="0" w:noHBand="0" w:noVBand="1"/>
      </w:tblPr>
      <w:tblGrid>
        <w:gridCol w:w="2540"/>
        <w:gridCol w:w="1240"/>
        <w:gridCol w:w="1240"/>
        <w:gridCol w:w="1240"/>
        <w:gridCol w:w="1240"/>
        <w:gridCol w:w="256"/>
        <w:gridCol w:w="1240"/>
        <w:gridCol w:w="1240"/>
        <w:gridCol w:w="1240"/>
        <w:gridCol w:w="1240"/>
      </w:tblGrid>
      <w:tr w:rsidR="00F949B9" w:rsidRPr="00486F2D" w14:paraId="5C68455D" w14:textId="77777777" w:rsidTr="006019F0">
        <w:trPr>
          <w:trHeight w:hRule="exact" w:val="227"/>
        </w:trPr>
        <w:tc>
          <w:tcPr>
            <w:tcW w:w="2540" w:type="dxa"/>
            <w:tcBorders>
              <w:top w:val="single" w:sz="4" w:space="0" w:color="auto"/>
              <w:left w:val="nil"/>
              <w:right w:val="nil"/>
            </w:tcBorders>
            <w:shd w:val="clear" w:color="auto" w:fill="auto"/>
            <w:noWrap/>
            <w:vAlign w:val="bottom"/>
            <w:hideMark/>
          </w:tcPr>
          <w:p w14:paraId="16032F84" w14:textId="77777777" w:rsidR="00F949B9" w:rsidRPr="00486F2D" w:rsidRDefault="00F949B9" w:rsidP="006019F0">
            <w:pPr>
              <w:spacing w:after="0" w:line="240" w:lineRule="auto"/>
              <w:rPr>
                <w:rFonts w:ascii="Times New Roman" w:hAnsi="Times New Roman" w:cs="Times New Roman"/>
                <w:i/>
                <w:color w:val="000000"/>
                <w:sz w:val="16"/>
                <w:szCs w:val="16"/>
                <w:lang w:val="en-US" w:eastAsia="en-GB"/>
              </w:rPr>
            </w:pPr>
            <w:r w:rsidRPr="00486F2D">
              <w:rPr>
                <w:rFonts w:ascii="Times New Roman" w:hAnsi="Times New Roman" w:cs="Times New Roman"/>
                <w:i/>
                <w:color w:val="000000"/>
                <w:sz w:val="16"/>
                <w:szCs w:val="16"/>
                <w:lang w:val="en-US" w:eastAsia="en-GB"/>
              </w:rPr>
              <w:t> </w:t>
            </w:r>
          </w:p>
        </w:tc>
        <w:tc>
          <w:tcPr>
            <w:tcW w:w="4960" w:type="dxa"/>
            <w:gridSpan w:val="4"/>
            <w:tcBorders>
              <w:top w:val="single" w:sz="4" w:space="0" w:color="auto"/>
              <w:left w:val="nil"/>
              <w:bottom w:val="single" w:sz="4" w:space="0" w:color="auto"/>
              <w:right w:val="nil"/>
            </w:tcBorders>
            <w:shd w:val="clear" w:color="auto" w:fill="auto"/>
            <w:noWrap/>
            <w:vAlign w:val="bottom"/>
            <w:hideMark/>
          </w:tcPr>
          <w:p w14:paraId="13429C25" w14:textId="77777777" w:rsidR="00F949B9" w:rsidRPr="00443F4C" w:rsidRDefault="00F949B9" w:rsidP="006019F0">
            <w:pPr>
              <w:spacing w:after="0" w:line="240" w:lineRule="auto"/>
              <w:jc w:val="center"/>
              <w:rPr>
                <w:rFonts w:ascii="Times New Roman" w:hAnsi="Times New Roman" w:cs="Times New Roman"/>
                <w:color w:val="000000"/>
                <w:sz w:val="16"/>
                <w:szCs w:val="16"/>
                <w:lang w:eastAsia="en-GB"/>
              </w:rPr>
            </w:pPr>
            <w:r w:rsidRPr="00443F4C">
              <w:rPr>
                <w:rFonts w:ascii="Times New Roman" w:hAnsi="Times New Roman" w:cs="Times New Roman"/>
                <w:color w:val="000000"/>
                <w:sz w:val="16"/>
                <w:szCs w:val="16"/>
                <w:lang w:eastAsia="en-GB"/>
              </w:rPr>
              <w:t>Investment Grade</w:t>
            </w:r>
          </w:p>
        </w:tc>
        <w:tc>
          <w:tcPr>
            <w:tcW w:w="256" w:type="dxa"/>
            <w:tcBorders>
              <w:top w:val="single" w:sz="4" w:space="0" w:color="auto"/>
              <w:left w:val="nil"/>
              <w:right w:val="nil"/>
            </w:tcBorders>
            <w:shd w:val="clear" w:color="auto" w:fill="auto"/>
            <w:noWrap/>
            <w:vAlign w:val="bottom"/>
            <w:hideMark/>
          </w:tcPr>
          <w:p w14:paraId="7D6D02F7" w14:textId="77777777" w:rsidR="00F949B9" w:rsidRPr="00486F2D" w:rsidRDefault="00F949B9" w:rsidP="006019F0">
            <w:pPr>
              <w:spacing w:after="0" w:line="240" w:lineRule="auto"/>
              <w:rPr>
                <w:rFonts w:ascii="Times New Roman" w:hAnsi="Times New Roman" w:cs="Times New Roman"/>
                <w:i/>
                <w:color w:val="000000"/>
                <w:sz w:val="16"/>
                <w:szCs w:val="16"/>
                <w:lang w:eastAsia="en-GB"/>
              </w:rPr>
            </w:pPr>
            <w:r w:rsidRPr="00486F2D">
              <w:rPr>
                <w:rFonts w:ascii="Times New Roman" w:hAnsi="Times New Roman" w:cs="Times New Roman"/>
                <w:i/>
                <w:color w:val="000000"/>
                <w:sz w:val="16"/>
                <w:szCs w:val="16"/>
                <w:lang w:eastAsia="en-GB"/>
              </w:rPr>
              <w:t> </w:t>
            </w:r>
          </w:p>
        </w:tc>
        <w:tc>
          <w:tcPr>
            <w:tcW w:w="4960" w:type="dxa"/>
            <w:gridSpan w:val="4"/>
            <w:tcBorders>
              <w:top w:val="single" w:sz="4" w:space="0" w:color="auto"/>
              <w:left w:val="nil"/>
              <w:bottom w:val="single" w:sz="4" w:space="0" w:color="auto"/>
              <w:right w:val="nil"/>
            </w:tcBorders>
            <w:shd w:val="clear" w:color="auto" w:fill="auto"/>
            <w:noWrap/>
            <w:vAlign w:val="bottom"/>
            <w:hideMark/>
          </w:tcPr>
          <w:p w14:paraId="5A17C187" w14:textId="77777777" w:rsidR="00F949B9" w:rsidRPr="00443F4C" w:rsidRDefault="00F949B9" w:rsidP="006019F0">
            <w:pPr>
              <w:spacing w:after="0" w:line="240" w:lineRule="auto"/>
              <w:jc w:val="center"/>
              <w:rPr>
                <w:rFonts w:ascii="Times New Roman" w:hAnsi="Times New Roman" w:cs="Times New Roman"/>
                <w:color w:val="000000"/>
                <w:sz w:val="16"/>
                <w:szCs w:val="16"/>
                <w:lang w:eastAsia="en-GB"/>
              </w:rPr>
            </w:pPr>
            <w:r w:rsidRPr="00443F4C">
              <w:rPr>
                <w:rFonts w:ascii="Times New Roman" w:hAnsi="Times New Roman" w:cs="Times New Roman"/>
                <w:color w:val="000000"/>
                <w:sz w:val="16"/>
                <w:szCs w:val="16"/>
                <w:lang w:eastAsia="en-GB"/>
              </w:rPr>
              <w:t>High Yield</w:t>
            </w:r>
          </w:p>
        </w:tc>
      </w:tr>
      <w:tr w:rsidR="00F949B9" w:rsidRPr="00486F2D" w14:paraId="0D91AF8C" w14:textId="77777777" w:rsidTr="006019F0">
        <w:trPr>
          <w:trHeight w:hRule="exact" w:val="227"/>
        </w:trPr>
        <w:tc>
          <w:tcPr>
            <w:tcW w:w="2540" w:type="dxa"/>
            <w:tcBorders>
              <w:top w:val="nil"/>
              <w:left w:val="nil"/>
              <w:bottom w:val="single" w:sz="4" w:space="0" w:color="auto"/>
              <w:right w:val="nil"/>
            </w:tcBorders>
            <w:shd w:val="clear" w:color="auto" w:fill="auto"/>
            <w:noWrap/>
            <w:vAlign w:val="bottom"/>
            <w:hideMark/>
          </w:tcPr>
          <w:p w14:paraId="2739DB2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w:t>
            </w:r>
          </w:p>
        </w:tc>
        <w:tc>
          <w:tcPr>
            <w:tcW w:w="1240" w:type="dxa"/>
            <w:tcBorders>
              <w:top w:val="nil"/>
              <w:left w:val="nil"/>
              <w:bottom w:val="single" w:sz="4" w:space="0" w:color="auto"/>
              <w:right w:val="nil"/>
            </w:tcBorders>
            <w:shd w:val="clear" w:color="auto" w:fill="auto"/>
            <w:noWrap/>
            <w:vAlign w:val="bottom"/>
            <w:hideMark/>
          </w:tcPr>
          <w:p w14:paraId="71991CE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Mean</w:t>
            </w:r>
          </w:p>
        </w:tc>
        <w:tc>
          <w:tcPr>
            <w:tcW w:w="1240" w:type="dxa"/>
            <w:tcBorders>
              <w:top w:val="nil"/>
              <w:left w:val="nil"/>
              <w:bottom w:val="single" w:sz="4" w:space="0" w:color="auto"/>
              <w:right w:val="nil"/>
            </w:tcBorders>
            <w:shd w:val="clear" w:color="auto" w:fill="auto"/>
            <w:noWrap/>
            <w:vAlign w:val="bottom"/>
            <w:hideMark/>
          </w:tcPr>
          <w:p w14:paraId="19F639B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Volatility</w:t>
            </w:r>
          </w:p>
        </w:tc>
        <w:tc>
          <w:tcPr>
            <w:tcW w:w="1240" w:type="dxa"/>
            <w:tcBorders>
              <w:top w:val="nil"/>
              <w:left w:val="nil"/>
              <w:bottom w:val="single" w:sz="4" w:space="0" w:color="auto"/>
              <w:right w:val="nil"/>
            </w:tcBorders>
            <w:shd w:val="clear" w:color="auto" w:fill="auto"/>
            <w:noWrap/>
            <w:vAlign w:val="bottom"/>
            <w:hideMark/>
          </w:tcPr>
          <w:p w14:paraId="1611B22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xml:space="preserve">Sharpe </w:t>
            </w:r>
            <w:r>
              <w:rPr>
                <w:rFonts w:ascii="Times New Roman" w:hAnsi="Times New Roman" w:cs="Times New Roman"/>
                <w:color w:val="000000"/>
                <w:sz w:val="16"/>
                <w:szCs w:val="16"/>
                <w:lang w:eastAsia="en-GB"/>
              </w:rPr>
              <w:t>R</w:t>
            </w:r>
            <w:r w:rsidRPr="00486F2D">
              <w:rPr>
                <w:rFonts w:ascii="Times New Roman" w:hAnsi="Times New Roman" w:cs="Times New Roman"/>
                <w:color w:val="000000"/>
                <w:sz w:val="16"/>
                <w:szCs w:val="16"/>
                <w:lang w:eastAsia="en-GB"/>
              </w:rPr>
              <w:t>atio</w:t>
            </w:r>
          </w:p>
        </w:tc>
        <w:tc>
          <w:tcPr>
            <w:tcW w:w="1240" w:type="dxa"/>
            <w:tcBorders>
              <w:top w:val="nil"/>
              <w:left w:val="nil"/>
              <w:bottom w:val="single" w:sz="4" w:space="0" w:color="auto"/>
              <w:right w:val="nil"/>
            </w:tcBorders>
            <w:shd w:val="clear" w:color="auto" w:fill="auto"/>
            <w:noWrap/>
            <w:vAlign w:val="bottom"/>
            <w:hideMark/>
          </w:tcPr>
          <w:p w14:paraId="3FEC0EE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CAPM</w:t>
            </w:r>
            <w:r>
              <w:rPr>
                <w:rFonts w:ascii="Times New Roman" w:hAnsi="Times New Roman" w:cs="Times New Roman"/>
                <w:color w:val="000000"/>
                <w:sz w:val="16"/>
                <w:szCs w:val="16"/>
                <w:lang w:eastAsia="en-GB"/>
              </w:rPr>
              <w:t xml:space="preserve"> A</w:t>
            </w:r>
            <w:r w:rsidRPr="00486F2D">
              <w:rPr>
                <w:rFonts w:ascii="Times New Roman" w:hAnsi="Times New Roman" w:cs="Times New Roman"/>
                <w:color w:val="000000"/>
                <w:sz w:val="16"/>
                <w:szCs w:val="16"/>
                <w:lang w:eastAsia="en-GB"/>
              </w:rPr>
              <w:t>lpha</w:t>
            </w:r>
          </w:p>
        </w:tc>
        <w:tc>
          <w:tcPr>
            <w:tcW w:w="256" w:type="dxa"/>
            <w:tcBorders>
              <w:left w:val="nil"/>
              <w:bottom w:val="single" w:sz="4" w:space="0" w:color="auto"/>
              <w:right w:val="nil"/>
            </w:tcBorders>
            <w:shd w:val="clear" w:color="auto" w:fill="auto"/>
            <w:noWrap/>
            <w:vAlign w:val="bottom"/>
            <w:hideMark/>
          </w:tcPr>
          <w:p w14:paraId="5E04AF7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w:t>
            </w:r>
          </w:p>
        </w:tc>
        <w:tc>
          <w:tcPr>
            <w:tcW w:w="1240" w:type="dxa"/>
            <w:tcBorders>
              <w:top w:val="nil"/>
              <w:left w:val="nil"/>
              <w:bottom w:val="single" w:sz="4" w:space="0" w:color="auto"/>
              <w:right w:val="nil"/>
            </w:tcBorders>
            <w:shd w:val="clear" w:color="auto" w:fill="auto"/>
            <w:noWrap/>
            <w:vAlign w:val="bottom"/>
            <w:hideMark/>
          </w:tcPr>
          <w:p w14:paraId="74CCA2F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Mean</w:t>
            </w:r>
          </w:p>
        </w:tc>
        <w:tc>
          <w:tcPr>
            <w:tcW w:w="1240" w:type="dxa"/>
            <w:tcBorders>
              <w:top w:val="nil"/>
              <w:left w:val="nil"/>
              <w:bottom w:val="single" w:sz="4" w:space="0" w:color="auto"/>
              <w:right w:val="nil"/>
            </w:tcBorders>
            <w:shd w:val="clear" w:color="auto" w:fill="auto"/>
            <w:noWrap/>
            <w:vAlign w:val="bottom"/>
            <w:hideMark/>
          </w:tcPr>
          <w:p w14:paraId="699436F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Volatility</w:t>
            </w:r>
          </w:p>
        </w:tc>
        <w:tc>
          <w:tcPr>
            <w:tcW w:w="1240" w:type="dxa"/>
            <w:tcBorders>
              <w:top w:val="nil"/>
              <w:left w:val="nil"/>
              <w:bottom w:val="single" w:sz="4" w:space="0" w:color="auto"/>
              <w:right w:val="nil"/>
            </w:tcBorders>
            <w:shd w:val="clear" w:color="auto" w:fill="auto"/>
            <w:noWrap/>
            <w:vAlign w:val="bottom"/>
            <w:hideMark/>
          </w:tcPr>
          <w:p w14:paraId="760E8BB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 xml:space="preserve">Sharpe </w:t>
            </w:r>
            <w:r>
              <w:rPr>
                <w:rFonts w:ascii="Times New Roman" w:hAnsi="Times New Roman" w:cs="Times New Roman"/>
                <w:color w:val="000000"/>
                <w:sz w:val="16"/>
                <w:szCs w:val="16"/>
                <w:lang w:eastAsia="en-GB"/>
              </w:rPr>
              <w:t>R</w:t>
            </w:r>
            <w:r w:rsidRPr="00486F2D">
              <w:rPr>
                <w:rFonts w:ascii="Times New Roman" w:hAnsi="Times New Roman" w:cs="Times New Roman"/>
                <w:color w:val="000000"/>
                <w:sz w:val="16"/>
                <w:szCs w:val="16"/>
                <w:lang w:eastAsia="en-GB"/>
              </w:rPr>
              <w:t>atio</w:t>
            </w:r>
          </w:p>
        </w:tc>
        <w:tc>
          <w:tcPr>
            <w:tcW w:w="1240" w:type="dxa"/>
            <w:tcBorders>
              <w:top w:val="nil"/>
              <w:left w:val="nil"/>
              <w:bottom w:val="single" w:sz="4" w:space="0" w:color="auto"/>
              <w:right w:val="nil"/>
            </w:tcBorders>
            <w:shd w:val="clear" w:color="auto" w:fill="auto"/>
            <w:noWrap/>
            <w:vAlign w:val="bottom"/>
            <w:hideMark/>
          </w:tcPr>
          <w:p w14:paraId="27128C0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CAPM</w:t>
            </w:r>
            <w:r>
              <w:rPr>
                <w:rFonts w:ascii="Times New Roman" w:hAnsi="Times New Roman" w:cs="Times New Roman"/>
                <w:color w:val="000000"/>
                <w:sz w:val="16"/>
                <w:szCs w:val="16"/>
                <w:lang w:eastAsia="en-GB"/>
              </w:rPr>
              <w:t xml:space="preserve"> A</w:t>
            </w:r>
            <w:r w:rsidRPr="00486F2D">
              <w:rPr>
                <w:rFonts w:ascii="Times New Roman" w:hAnsi="Times New Roman" w:cs="Times New Roman"/>
                <w:color w:val="000000"/>
                <w:sz w:val="16"/>
                <w:szCs w:val="16"/>
                <w:lang w:eastAsia="en-GB"/>
              </w:rPr>
              <w:t>lpha</w:t>
            </w:r>
          </w:p>
        </w:tc>
      </w:tr>
      <w:tr w:rsidR="00F949B9" w:rsidRPr="00486F2D" w14:paraId="5C427796" w14:textId="77777777" w:rsidTr="006019F0">
        <w:trPr>
          <w:trHeight w:hRule="exact" w:val="227"/>
        </w:trPr>
        <w:tc>
          <w:tcPr>
            <w:tcW w:w="2540" w:type="dxa"/>
            <w:tcBorders>
              <w:top w:val="single" w:sz="4" w:space="0" w:color="auto"/>
              <w:left w:val="nil"/>
              <w:right w:val="nil"/>
            </w:tcBorders>
            <w:shd w:val="clear" w:color="auto" w:fill="auto"/>
            <w:noWrap/>
            <w:vAlign w:val="bottom"/>
            <w:hideMark/>
          </w:tcPr>
          <w:p w14:paraId="290855A4" w14:textId="77777777" w:rsidR="00F949B9" w:rsidRPr="00B44F4A" w:rsidRDefault="00F949B9" w:rsidP="006019F0">
            <w:pPr>
              <w:spacing w:after="0" w:line="240" w:lineRule="auto"/>
              <w:rPr>
                <w:rFonts w:ascii="Times New Roman" w:hAnsi="Times New Roman" w:cs="Times New Roman"/>
                <w:i/>
                <w:color w:val="000000"/>
                <w:sz w:val="16"/>
                <w:szCs w:val="16"/>
                <w:lang w:eastAsia="en-GB"/>
              </w:rPr>
            </w:pPr>
            <w:r w:rsidRPr="00B44F4A">
              <w:rPr>
                <w:rFonts w:ascii="Times New Roman" w:hAnsi="Times New Roman" w:cs="Times New Roman"/>
                <w:i/>
                <w:color w:val="000000"/>
                <w:sz w:val="16"/>
                <w:szCs w:val="16"/>
                <w:lang w:eastAsia="en-GB"/>
              </w:rPr>
              <w:t>A. Size</w:t>
            </w:r>
          </w:p>
        </w:tc>
        <w:tc>
          <w:tcPr>
            <w:tcW w:w="1240" w:type="dxa"/>
            <w:tcBorders>
              <w:top w:val="single" w:sz="4" w:space="0" w:color="auto"/>
              <w:left w:val="nil"/>
              <w:right w:val="nil"/>
            </w:tcBorders>
            <w:shd w:val="clear" w:color="auto" w:fill="auto"/>
            <w:noWrap/>
            <w:vAlign w:val="bottom"/>
            <w:hideMark/>
          </w:tcPr>
          <w:p w14:paraId="3FCA4EDE"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4F406FC4"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760C993A"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5C5F3CE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single" w:sz="4" w:space="0" w:color="auto"/>
              <w:left w:val="nil"/>
              <w:right w:val="nil"/>
            </w:tcBorders>
            <w:shd w:val="clear" w:color="auto" w:fill="auto"/>
            <w:noWrap/>
            <w:vAlign w:val="bottom"/>
            <w:hideMark/>
          </w:tcPr>
          <w:p w14:paraId="4CB06D6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2762733F"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06EBF56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25324F21"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single" w:sz="4" w:space="0" w:color="auto"/>
              <w:left w:val="nil"/>
              <w:right w:val="nil"/>
            </w:tcBorders>
            <w:shd w:val="clear" w:color="auto" w:fill="auto"/>
            <w:noWrap/>
            <w:vAlign w:val="bottom"/>
            <w:hideMark/>
          </w:tcPr>
          <w:p w14:paraId="16126F3F"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59A14E3C" w14:textId="77777777" w:rsidTr="006019F0">
        <w:trPr>
          <w:trHeight w:hRule="exact" w:val="227"/>
        </w:trPr>
        <w:tc>
          <w:tcPr>
            <w:tcW w:w="2540" w:type="dxa"/>
            <w:tcBorders>
              <w:top w:val="nil"/>
              <w:left w:val="nil"/>
              <w:right w:val="nil"/>
            </w:tcBorders>
            <w:shd w:val="clear" w:color="auto" w:fill="auto"/>
            <w:noWrap/>
            <w:vAlign w:val="bottom"/>
            <w:hideMark/>
          </w:tcPr>
          <w:p w14:paraId="7CF29C1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A</w:t>
            </w:r>
            <w:r w:rsidRPr="00486F2D">
              <w:rPr>
                <w:rFonts w:ascii="Times New Roman" w:hAnsi="Times New Roman" w:cs="Times New Roman"/>
                <w:color w:val="000000"/>
                <w:sz w:val="16"/>
                <w:szCs w:val="16"/>
                <w:lang w:eastAsia="en-GB"/>
              </w:rPr>
              <w:t>ll bonds</w:t>
            </w:r>
          </w:p>
        </w:tc>
        <w:tc>
          <w:tcPr>
            <w:tcW w:w="1240" w:type="dxa"/>
            <w:tcBorders>
              <w:top w:val="nil"/>
              <w:left w:val="nil"/>
              <w:right w:val="nil"/>
            </w:tcBorders>
            <w:shd w:val="clear" w:color="auto" w:fill="auto"/>
            <w:noWrap/>
            <w:vAlign w:val="center"/>
            <w:hideMark/>
          </w:tcPr>
          <w:p w14:paraId="025A2B9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1.25%</w:t>
            </w:r>
          </w:p>
        </w:tc>
        <w:tc>
          <w:tcPr>
            <w:tcW w:w="1240" w:type="dxa"/>
            <w:tcBorders>
              <w:top w:val="nil"/>
              <w:left w:val="nil"/>
              <w:right w:val="nil"/>
            </w:tcBorders>
            <w:shd w:val="clear" w:color="auto" w:fill="auto"/>
            <w:noWrap/>
            <w:vAlign w:val="center"/>
            <w:hideMark/>
          </w:tcPr>
          <w:p w14:paraId="5846290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4.02%</w:t>
            </w:r>
          </w:p>
        </w:tc>
        <w:tc>
          <w:tcPr>
            <w:tcW w:w="1240" w:type="dxa"/>
            <w:tcBorders>
              <w:top w:val="nil"/>
              <w:left w:val="nil"/>
              <w:right w:val="nil"/>
            </w:tcBorders>
            <w:shd w:val="clear" w:color="auto" w:fill="auto"/>
            <w:noWrap/>
            <w:vAlign w:val="center"/>
            <w:hideMark/>
          </w:tcPr>
          <w:p w14:paraId="16A0B2B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0.31*</w:t>
            </w:r>
          </w:p>
        </w:tc>
        <w:tc>
          <w:tcPr>
            <w:tcW w:w="1240" w:type="dxa"/>
            <w:tcBorders>
              <w:top w:val="nil"/>
              <w:left w:val="nil"/>
              <w:right w:val="nil"/>
            </w:tcBorders>
            <w:shd w:val="clear" w:color="auto" w:fill="auto"/>
            <w:noWrap/>
            <w:vAlign w:val="center"/>
            <w:hideMark/>
          </w:tcPr>
          <w:p w14:paraId="2DF5A1D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1.25%*</w:t>
            </w:r>
          </w:p>
        </w:tc>
        <w:tc>
          <w:tcPr>
            <w:tcW w:w="256" w:type="dxa"/>
            <w:tcBorders>
              <w:top w:val="nil"/>
              <w:left w:val="nil"/>
              <w:right w:val="nil"/>
            </w:tcBorders>
            <w:shd w:val="clear" w:color="auto" w:fill="auto"/>
            <w:noWrap/>
            <w:vAlign w:val="center"/>
            <w:hideMark/>
          </w:tcPr>
          <w:p w14:paraId="434DF91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center"/>
            <w:hideMark/>
          </w:tcPr>
          <w:p w14:paraId="2159AE3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7.89%</w:t>
            </w:r>
          </w:p>
        </w:tc>
        <w:tc>
          <w:tcPr>
            <w:tcW w:w="1240" w:type="dxa"/>
            <w:tcBorders>
              <w:top w:val="nil"/>
              <w:left w:val="nil"/>
              <w:right w:val="nil"/>
            </w:tcBorders>
            <w:shd w:val="clear" w:color="auto" w:fill="auto"/>
            <w:noWrap/>
            <w:vAlign w:val="center"/>
            <w:hideMark/>
          </w:tcPr>
          <w:p w14:paraId="087E2D8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12.40%</w:t>
            </w:r>
          </w:p>
        </w:tc>
        <w:tc>
          <w:tcPr>
            <w:tcW w:w="1240" w:type="dxa"/>
            <w:tcBorders>
              <w:top w:val="nil"/>
              <w:left w:val="nil"/>
              <w:right w:val="nil"/>
            </w:tcBorders>
            <w:shd w:val="clear" w:color="auto" w:fill="auto"/>
            <w:noWrap/>
            <w:vAlign w:val="center"/>
            <w:hideMark/>
          </w:tcPr>
          <w:p w14:paraId="6BA680C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0.64**</w:t>
            </w:r>
          </w:p>
        </w:tc>
        <w:tc>
          <w:tcPr>
            <w:tcW w:w="1240" w:type="dxa"/>
            <w:tcBorders>
              <w:top w:val="nil"/>
              <w:left w:val="nil"/>
              <w:right w:val="nil"/>
            </w:tcBorders>
            <w:shd w:val="clear" w:color="auto" w:fill="auto"/>
            <w:noWrap/>
            <w:vAlign w:val="center"/>
            <w:hideMark/>
          </w:tcPr>
          <w:p w14:paraId="6DA7CE4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sz w:val="16"/>
                <w:szCs w:val="16"/>
                <w:lang w:eastAsia="nl-NL"/>
              </w:rPr>
              <w:t>5.71%*</w:t>
            </w:r>
          </w:p>
        </w:tc>
      </w:tr>
      <w:tr w:rsidR="00F949B9" w:rsidRPr="00486F2D" w14:paraId="208EF8AB" w14:textId="77777777" w:rsidTr="006019F0">
        <w:trPr>
          <w:trHeight w:hRule="exact" w:val="227"/>
        </w:trPr>
        <w:tc>
          <w:tcPr>
            <w:tcW w:w="2540" w:type="dxa"/>
            <w:tcBorders>
              <w:top w:val="nil"/>
              <w:left w:val="nil"/>
              <w:right w:val="nil"/>
            </w:tcBorders>
            <w:shd w:val="clear" w:color="auto" w:fill="auto"/>
            <w:noWrap/>
            <w:vAlign w:val="bottom"/>
            <w:hideMark/>
          </w:tcPr>
          <w:p w14:paraId="1C4348E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L</w:t>
            </w:r>
            <w:r w:rsidRPr="00486F2D">
              <w:rPr>
                <w:rFonts w:ascii="Times New Roman" w:hAnsi="Times New Roman" w:cs="Times New Roman"/>
                <w:color w:val="000000"/>
                <w:sz w:val="16"/>
                <w:szCs w:val="16"/>
                <w:lang w:eastAsia="en-GB"/>
              </w:rPr>
              <w:t>iquid subsample</w:t>
            </w:r>
          </w:p>
        </w:tc>
        <w:tc>
          <w:tcPr>
            <w:tcW w:w="1240" w:type="dxa"/>
            <w:tcBorders>
              <w:top w:val="nil"/>
              <w:left w:val="nil"/>
              <w:right w:val="nil"/>
            </w:tcBorders>
            <w:shd w:val="clear" w:color="auto" w:fill="auto"/>
            <w:noWrap/>
            <w:vAlign w:val="center"/>
          </w:tcPr>
          <w:p w14:paraId="5C50E8D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1.49</w:t>
            </w:r>
          </w:p>
        </w:tc>
        <w:tc>
          <w:tcPr>
            <w:tcW w:w="1240" w:type="dxa"/>
            <w:tcBorders>
              <w:top w:val="nil"/>
              <w:left w:val="nil"/>
              <w:right w:val="nil"/>
            </w:tcBorders>
            <w:shd w:val="clear" w:color="auto" w:fill="auto"/>
            <w:noWrap/>
            <w:vAlign w:val="center"/>
          </w:tcPr>
          <w:p w14:paraId="2700490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3.85</w:t>
            </w:r>
          </w:p>
        </w:tc>
        <w:tc>
          <w:tcPr>
            <w:tcW w:w="1240" w:type="dxa"/>
            <w:tcBorders>
              <w:top w:val="nil"/>
              <w:left w:val="nil"/>
              <w:right w:val="nil"/>
            </w:tcBorders>
            <w:shd w:val="clear" w:color="auto" w:fill="auto"/>
            <w:noWrap/>
            <w:vAlign w:val="center"/>
          </w:tcPr>
          <w:p w14:paraId="50FF819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0.39*</w:t>
            </w:r>
          </w:p>
        </w:tc>
        <w:tc>
          <w:tcPr>
            <w:tcW w:w="1240" w:type="dxa"/>
            <w:tcBorders>
              <w:top w:val="nil"/>
              <w:left w:val="nil"/>
              <w:right w:val="nil"/>
            </w:tcBorders>
            <w:shd w:val="clear" w:color="auto" w:fill="auto"/>
            <w:noWrap/>
            <w:vAlign w:val="center"/>
          </w:tcPr>
          <w:p w14:paraId="751B601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1.11</w:t>
            </w:r>
          </w:p>
        </w:tc>
        <w:tc>
          <w:tcPr>
            <w:tcW w:w="256" w:type="dxa"/>
            <w:tcBorders>
              <w:top w:val="nil"/>
              <w:left w:val="nil"/>
              <w:right w:val="nil"/>
            </w:tcBorders>
            <w:shd w:val="clear" w:color="auto" w:fill="auto"/>
            <w:noWrap/>
            <w:vAlign w:val="bottom"/>
          </w:tcPr>
          <w:p w14:paraId="36420AD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center"/>
          </w:tcPr>
          <w:p w14:paraId="1EA7258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8.04</w:t>
            </w:r>
          </w:p>
        </w:tc>
        <w:tc>
          <w:tcPr>
            <w:tcW w:w="1240" w:type="dxa"/>
            <w:tcBorders>
              <w:top w:val="nil"/>
              <w:left w:val="nil"/>
              <w:right w:val="nil"/>
            </w:tcBorders>
            <w:shd w:val="clear" w:color="auto" w:fill="auto"/>
            <w:noWrap/>
            <w:vAlign w:val="center"/>
          </w:tcPr>
          <w:p w14:paraId="0D57D88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12.42</w:t>
            </w:r>
          </w:p>
        </w:tc>
        <w:tc>
          <w:tcPr>
            <w:tcW w:w="1240" w:type="dxa"/>
            <w:tcBorders>
              <w:top w:val="nil"/>
              <w:left w:val="nil"/>
              <w:right w:val="nil"/>
            </w:tcBorders>
            <w:shd w:val="clear" w:color="auto" w:fill="auto"/>
            <w:noWrap/>
            <w:vAlign w:val="center"/>
          </w:tcPr>
          <w:p w14:paraId="7E1A922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0.65**</w:t>
            </w:r>
          </w:p>
        </w:tc>
        <w:tc>
          <w:tcPr>
            <w:tcW w:w="1240" w:type="dxa"/>
            <w:tcBorders>
              <w:top w:val="nil"/>
              <w:left w:val="nil"/>
              <w:right w:val="nil"/>
            </w:tcBorders>
            <w:shd w:val="clear" w:color="auto" w:fill="auto"/>
            <w:noWrap/>
            <w:vAlign w:val="center"/>
          </w:tcPr>
          <w:p w14:paraId="5C64C2B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5.85*</w:t>
            </w:r>
          </w:p>
        </w:tc>
      </w:tr>
      <w:tr w:rsidR="00F949B9" w:rsidRPr="00486F2D" w14:paraId="2108F9AE" w14:textId="77777777" w:rsidTr="006019F0">
        <w:trPr>
          <w:trHeight w:hRule="exact" w:val="227"/>
        </w:trPr>
        <w:tc>
          <w:tcPr>
            <w:tcW w:w="2540" w:type="dxa"/>
            <w:tcBorders>
              <w:top w:val="nil"/>
              <w:left w:val="nil"/>
              <w:right w:val="nil"/>
            </w:tcBorders>
            <w:shd w:val="clear" w:color="auto" w:fill="auto"/>
            <w:noWrap/>
            <w:vAlign w:val="bottom"/>
          </w:tcPr>
          <w:p w14:paraId="27E67A3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4FEB250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0AF8A5B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7FF8F52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0CE0C29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right w:val="nil"/>
            </w:tcBorders>
            <w:shd w:val="clear" w:color="auto" w:fill="auto"/>
            <w:noWrap/>
            <w:vAlign w:val="bottom"/>
          </w:tcPr>
          <w:p w14:paraId="2594E48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5C10F80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208C3B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754A32A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3A8525D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616F6EC2" w14:textId="77777777" w:rsidTr="006019F0">
        <w:trPr>
          <w:trHeight w:hRule="exact" w:val="227"/>
        </w:trPr>
        <w:tc>
          <w:tcPr>
            <w:tcW w:w="2540" w:type="dxa"/>
            <w:tcBorders>
              <w:top w:val="nil"/>
              <w:left w:val="nil"/>
              <w:right w:val="nil"/>
            </w:tcBorders>
            <w:shd w:val="clear" w:color="auto" w:fill="auto"/>
            <w:noWrap/>
            <w:vAlign w:val="bottom"/>
            <w:hideMark/>
          </w:tcPr>
          <w:p w14:paraId="705F3C82" w14:textId="77777777" w:rsidR="00F949B9" w:rsidRPr="00B44F4A" w:rsidRDefault="00F949B9" w:rsidP="006019F0">
            <w:pPr>
              <w:spacing w:after="0" w:line="240" w:lineRule="auto"/>
              <w:rPr>
                <w:rFonts w:ascii="Times New Roman" w:hAnsi="Times New Roman" w:cs="Times New Roman"/>
                <w:i/>
                <w:color w:val="000000"/>
                <w:sz w:val="16"/>
                <w:szCs w:val="16"/>
                <w:lang w:eastAsia="en-GB"/>
              </w:rPr>
            </w:pPr>
            <w:r w:rsidRPr="00B44F4A">
              <w:rPr>
                <w:rFonts w:ascii="Times New Roman" w:hAnsi="Times New Roman" w:cs="Times New Roman"/>
                <w:i/>
                <w:color w:val="000000"/>
                <w:sz w:val="16"/>
                <w:szCs w:val="16"/>
                <w:lang w:eastAsia="en-GB"/>
              </w:rPr>
              <w:t>B. Low risk</w:t>
            </w:r>
          </w:p>
        </w:tc>
        <w:tc>
          <w:tcPr>
            <w:tcW w:w="1240" w:type="dxa"/>
            <w:tcBorders>
              <w:top w:val="nil"/>
              <w:left w:val="nil"/>
              <w:right w:val="nil"/>
            </w:tcBorders>
            <w:shd w:val="clear" w:color="auto" w:fill="auto"/>
            <w:noWrap/>
            <w:vAlign w:val="bottom"/>
            <w:hideMark/>
          </w:tcPr>
          <w:p w14:paraId="10A13F31"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501E6F0"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5053825"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34478456"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nil"/>
              <w:left w:val="nil"/>
              <w:right w:val="nil"/>
            </w:tcBorders>
            <w:shd w:val="clear" w:color="auto" w:fill="auto"/>
            <w:noWrap/>
            <w:vAlign w:val="bottom"/>
            <w:hideMark/>
          </w:tcPr>
          <w:p w14:paraId="36ACA71E"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893F581"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F3E13E6"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B8E6E0C"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2206FD7"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52CF4EE7" w14:textId="77777777" w:rsidTr="006019F0">
        <w:trPr>
          <w:trHeight w:hRule="exact" w:val="227"/>
        </w:trPr>
        <w:tc>
          <w:tcPr>
            <w:tcW w:w="2540" w:type="dxa"/>
            <w:tcBorders>
              <w:top w:val="nil"/>
              <w:left w:val="nil"/>
              <w:right w:val="nil"/>
            </w:tcBorders>
            <w:shd w:val="clear" w:color="auto" w:fill="auto"/>
            <w:noWrap/>
            <w:vAlign w:val="bottom"/>
            <w:hideMark/>
          </w:tcPr>
          <w:p w14:paraId="0AF8F8C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A</w:t>
            </w:r>
            <w:r w:rsidRPr="00486F2D">
              <w:rPr>
                <w:rFonts w:ascii="Times New Roman" w:hAnsi="Times New Roman" w:cs="Times New Roman"/>
                <w:color w:val="000000"/>
                <w:sz w:val="16"/>
                <w:szCs w:val="16"/>
                <w:lang w:eastAsia="en-GB"/>
              </w:rPr>
              <w:t>ll bonds</w:t>
            </w:r>
          </w:p>
        </w:tc>
        <w:tc>
          <w:tcPr>
            <w:tcW w:w="1240" w:type="dxa"/>
            <w:tcBorders>
              <w:top w:val="nil"/>
              <w:left w:val="nil"/>
              <w:right w:val="nil"/>
            </w:tcBorders>
            <w:shd w:val="clear" w:color="auto" w:fill="auto"/>
            <w:noWrap/>
            <w:vAlign w:val="bottom"/>
            <w:hideMark/>
          </w:tcPr>
          <w:p w14:paraId="0C6D684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0.91%</w:t>
            </w:r>
          </w:p>
        </w:tc>
        <w:tc>
          <w:tcPr>
            <w:tcW w:w="1240" w:type="dxa"/>
            <w:tcBorders>
              <w:top w:val="nil"/>
              <w:left w:val="nil"/>
              <w:right w:val="nil"/>
            </w:tcBorders>
            <w:shd w:val="clear" w:color="auto" w:fill="auto"/>
            <w:noWrap/>
            <w:vAlign w:val="bottom"/>
            <w:hideMark/>
          </w:tcPr>
          <w:p w14:paraId="5C4722A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2.24%</w:t>
            </w:r>
          </w:p>
        </w:tc>
        <w:tc>
          <w:tcPr>
            <w:tcW w:w="1240" w:type="dxa"/>
            <w:tcBorders>
              <w:top w:val="nil"/>
              <w:left w:val="nil"/>
              <w:right w:val="nil"/>
            </w:tcBorders>
            <w:shd w:val="clear" w:color="auto" w:fill="auto"/>
            <w:noWrap/>
            <w:vAlign w:val="bottom"/>
            <w:hideMark/>
          </w:tcPr>
          <w:p w14:paraId="3009EC0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0.41*</w:t>
            </w:r>
          </w:p>
        </w:tc>
        <w:tc>
          <w:tcPr>
            <w:tcW w:w="1240" w:type="dxa"/>
            <w:tcBorders>
              <w:top w:val="nil"/>
              <w:left w:val="nil"/>
              <w:right w:val="nil"/>
            </w:tcBorders>
            <w:shd w:val="clear" w:color="auto" w:fill="auto"/>
            <w:noWrap/>
            <w:vAlign w:val="bottom"/>
            <w:hideMark/>
          </w:tcPr>
          <w:p w14:paraId="07B00C8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0.70%**</w:t>
            </w:r>
          </w:p>
        </w:tc>
        <w:tc>
          <w:tcPr>
            <w:tcW w:w="256" w:type="dxa"/>
            <w:tcBorders>
              <w:top w:val="nil"/>
              <w:left w:val="nil"/>
              <w:right w:val="nil"/>
            </w:tcBorders>
            <w:shd w:val="clear" w:color="auto" w:fill="auto"/>
            <w:noWrap/>
            <w:vAlign w:val="bottom"/>
            <w:hideMark/>
          </w:tcPr>
          <w:p w14:paraId="07DD5DE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5269207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3.78%</w:t>
            </w:r>
          </w:p>
        </w:tc>
        <w:tc>
          <w:tcPr>
            <w:tcW w:w="1240" w:type="dxa"/>
            <w:tcBorders>
              <w:top w:val="nil"/>
              <w:left w:val="nil"/>
              <w:right w:val="nil"/>
            </w:tcBorders>
            <w:shd w:val="clear" w:color="auto" w:fill="auto"/>
            <w:noWrap/>
            <w:vAlign w:val="bottom"/>
            <w:hideMark/>
          </w:tcPr>
          <w:p w14:paraId="261061F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6.69%</w:t>
            </w:r>
          </w:p>
        </w:tc>
        <w:tc>
          <w:tcPr>
            <w:tcW w:w="1240" w:type="dxa"/>
            <w:tcBorders>
              <w:top w:val="nil"/>
              <w:left w:val="nil"/>
              <w:right w:val="nil"/>
            </w:tcBorders>
            <w:shd w:val="clear" w:color="auto" w:fill="auto"/>
            <w:noWrap/>
            <w:vAlign w:val="bottom"/>
            <w:hideMark/>
          </w:tcPr>
          <w:p w14:paraId="5D8BBCB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0.56**</w:t>
            </w:r>
          </w:p>
        </w:tc>
        <w:tc>
          <w:tcPr>
            <w:tcW w:w="1240" w:type="dxa"/>
            <w:tcBorders>
              <w:top w:val="nil"/>
              <w:left w:val="nil"/>
              <w:right w:val="nil"/>
            </w:tcBorders>
            <w:shd w:val="clear" w:color="auto" w:fill="auto"/>
            <w:noWrap/>
            <w:vAlign w:val="bottom"/>
            <w:hideMark/>
          </w:tcPr>
          <w:p w14:paraId="54D38CD9"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2.39%**</w:t>
            </w:r>
          </w:p>
        </w:tc>
      </w:tr>
      <w:tr w:rsidR="00F949B9" w:rsidRPr="00486F2D" w14:paraId="7791E6AD" w14:textId="77777777" w:rsidTr="006019F0">
        <w:trPr>
          <w:trHeight w:hRule="exact" w:val="227"/>
        </w:trPr>
        <w:tc>
          <w:tcPr>
            <w:tcW w:w="2540" w:type="dxa"/>
            <w:tcBorders>
              <w:top w:val="nil"/>
              <w:left w:val="nil"/>
              <w:right w:val="nil"/>
            </w:tcBorders>
            <w:shd w:val="clear" w:color="auto" w:fill="auto"/>
            <w:noWrap/>
            <w:vAlign w:val="bottom"/>
            <w:hideMark/>
          </w:tcPr>
          <w:p w14:paraId="7612C73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L</w:t>
            </w:r>
            <w:r w:rsidRPr="00486F2D">
              <w:rPr>
                <w:rFonts w:ascii="Times New Roman" w:hAnsi="Times New Roman" w:cs="Times New Roman"/>
                <w:color w:val="000000"/>
                <w:sz w:val="16"/>
                <w:szCs w:val="16"/>
                <w:lang w:eastAsia="en-GB"/>
              </w:rPr>
              <w:t>iquid subsample</w:t>
            </w:r>
          </w:p>
        </w:tc>
        <w:tc>
          <w:tcPr>
            <w:tcW w:w="1240" w:type="dxa"/>
            <w:tcBorders>
              <w:top w:val="nil"/>
              <w:left w:val="nil"/>
              <w:right w:val="nil"/>
            </w:tcBorders>
            <w:shd w:val="clear" w:color="auto" w:fill="auto"/>
            <w:noWrap/>
            <w:vAlign w:val="center"/>
          </w:tcPr>
          <w:p w14:paraId="4972486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0.95</w:t>
            </w:r>
          </w:p>
        </w:tc>
        <w:tc>
          <w:tcPr>
            <w:tcW w:w="1240" w:type="dxa"/>
            <w:tcBorders>
              <w:top w:val="nil"/>
              <w:left w:val="nil"/>
              <w:right w:val="nil"/>
            </w:tcBorders>
            <w:shd w:val="clear" w:color="auto" w:fill="auto"/>
            <w:noWrap/>
            <w:vAlign w:val="center"/>
          </w:tcPr>
          <w:p w14:paraId="405057C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2.23</w:t>
            </w:r>
          </w:p>
        </w:tc>
        <w:tc>
          <w:tcPr>
            <w:tcW w:w="1240" w:type="dxa"/>
            <w:tcBorders>
              <w:top w:val="nil"/>
              <w:left w:val="nil"/>
              <w:right w:val="nil"/>
            </w:tcBorders>
            <w:shd w:val="clear" w:color="auto" w:fill="auto"/>
            <w:noWrap/>
            <w:vAlign w:val="center"/>
          </w:tcPr>
          <w:p w14:paraId="65446E9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0.43**</w:t>
            </w:r>
          </w:p>
        </w:tc>
        <w:tc>
          <w:tcPr>
            <w:tcW w:w="1240" w:type="dxa"/>
            <w:tcBorders>
              <w:top w:val="nil"/>
              <w:left w:val="nil"/>
              <w:right w:val="nil"/>
            </w:tcBorders>
            <w:shd w:val="clear" w:color="auto" w:fill="auto"/>
            <w:noWrap/>
            <w:vAlign w:val="center"/>
          </w:tcPr>
          <w:p w14:paraId="0D5490D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0.72**</w:t>
            </w:r>
          </w:p>
        </w:tc>
        <w:tc>
          <w:tcPr>
            <w:tcW w:w="256" w:type="dxa"/>
            <w:tcBorders>
              <w:top w:val="nil"/>
              <w:left w:val="nil"/>
              <w:right w:val="nil"/>
            </w:tcBorders>
            <w:shd w:val="clear" w:color="auto" w:fill="auto"/>
            <w:noWrap/>
            <w:vAlign w:val="center"/>
          </w:tcPr>
          <w:p w14:paraId="00467CF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center"/>
          </w:tcPr>
          <w:p w14:paraId="2B344A2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3.60</w:t>
            </w:r>
          </w:p>
        </w:tc>
        <w:tc>
          <w:tcPr>
            <w:tcW w:w="1240" w:type="dxa"/>
            <w:tcBorders>
              <w:top w:val="nil"/>
              <w:left w:val="nil"/>
              <w:right w:val="nil"/>
            </w:tcBorders>
            <w:shd w:val="clear" w:color="auto" w:fill="auto"/>
            <w:noWrap/>
            <w:vAlign w:val="center"/>
          </w:tcPr>
          <w:p w14:paraId="100C6AE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6.95</w:t>
            </w:r>
          </w:p>
        </w:tc>
        <w:tc>
          <w:tcPr>
            <w:tcW w:w="1240" w:type="dxa"/>
            <w:tcBorders>
              <w:top w:val="nil"/>
              <w:left w:val="nil"/>
              <w:right w:val="nil"/>
            </w:tcBorders>
            <w:shd w:val="clear" w:color="auto" w:fill="auto"/>
            <w:noWrap/>
            <w:vAlign w:val="center"/>
          </w:tcPr>
          <w:p w14:paraId="476E919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0.52**</w:t>
            </w:r>
          </w:p>
        </w:tc>
        <w:tc>
          <w:tcPr>
            <w:tcW w:w="1240" w:type="dxa"/>
            <w:tcBorders>
              <w:top w:val="nil"/>
              <w:left w:val="nil"/>
              <w:right w:val="nil"/>
            </w:tcBorders>
            <w:shd w:val="clear" w:color="auto" w:fill="auto"/>
            <w:noWrap/>
            <w:vAlign w:val="center"/>
          </w:tcPr>
          <w:p w14:paraId="77D3132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2.14**</w:t>
            </w:r>
          </w:p>
        </w:tc>
      </w:tr>
      <w:tr w:rsidR="00F949B9" w:rsidRPr="00486F2D" w14:paraId="342576F2" w14:textId="77777777" w:rsidTr="006019F0">
        <w:trPr>
          <w:trHeight w:hRule="exact" w:val="227"/>
        </w:trPr>
        <w:tc>
          <w:tcPr>
            <w:tcW w:w="2540" w:type="dxa"/>
            <w:tcBorders>
              <w:top w:val="nil"/>
              <w:left w:val="nil"/>
              <w:right w:val="nil"/>
            </w:tcBorders>
            <w:shd w:val="clear" w:color="auto" w:fill="auto"/>
            <w:noWrap/>
            <w:vAlign w:val="bottom"/>
          </w:tcPr>
          <w:p w14:paraId="334B674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EC5959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D096FD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5E137F5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D09F5D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right w:val="nil"/>
            </w:tcBorders>
            <w:shd w:val="clear" w:color="auto" w:fill="auto"/>
            <w:noWrap/>
            <w:vAlign w:val="bottom"/>
          </w:tcPr>
          <w:p w14:paraId="722917E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D86570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5C663A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76EA57B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733AAA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01B1041C" w14:textId="77777777" w:rsidTr="006019F0">
        <w:trPr>
          <w:trHeight w:hRule="exact" w:val="227"/>
        </w:trPr>
        <w:tc>
          <w:tcPr>
            <w:tcW w:w="2540" w:type="dxa"/>
            <w:tcBorders>
              <w:top w:val="nil"/>
              <w:left w:val="nil"/>
              <w:right w:val="nil"/>
            </w:tcBorders>
            <w:shd w:val="clear" w:color="auto" w:fill="auto"/>
            <w:noWrap/>
            <w:vAlign w:val="bottom"/>
            <w:hideMark/>
          </w:tcPr>
          <w:p w14:paraId="1C50EBF2" w14:textId="77777777" w:rsidR="00F949B9" w:rsidRPr="00EB50CD" w:rsidRDefault="00F949B9" w:rsidP="006019F0">
            <w:pPr>
              <w:spacing w:after="0" w:line="240" w:lineRule="auto"/>
              <w:rPr>
                <w:rFonts w:ascii="Times New Roman" w:hAnsi="Times New Roman" w:cs="Times New Roman"/>
                <w:i/>
                <w:color w:val="000000"/>
                <w:sz w:val="16"/>
                <w:szCs w:val="16"/>
                <w:lang w:eastAsia="en-GB"/>
              </w:rPr>
            </w:pPr>
            <w:r w:rsidRPr="00EB50CD">
              <w:rPr>
                <w:rFonts w:ascii="Times New Roman" w:hAnsi="Times New Roman" w:cs="Times New Roman"/>
                <w:i/>
                <w:color w:val="000000"/>
                <w:sz w:val="16"/>
                <w:szCs w:val="16"/>
                <w:lang w:eastAsia="en-GB"/>
              </w:rPr>
              <w:t>C</w:t>
            </w:r>
            <w:r>
              <w:rPr>
                <w:rFonts w:ascii="Times New Roman" w:hAnsi="Times New Roman" w:cs="Times New Roman"/>
                <w:i/>
                <w:color w:val="000000"/>
                <w:sz w:val="16"/>
                <w:szCs w:val="16"/>
                <w:lang w:eastAsia="en-GB"/>
              </w:rPr>
              <w:t>.</w:t>
            </w:r>
            <w:r w:rsidRPr="00EB50CD">
              <w:rPr>
                <w:rFonts w:ascii="Times New Roman" w:hAnsi="Times New Roman" w:cs="Times New Roman"/>
                <w:i/>
                <w:color w:val="000000"/>
                <w:sz w:val="16"/>
                <w:szCs w:val="16"/>
                <w:lang w:eastAsia="en-GB"/>
              </w:rPr>
              <w:t xml:space="preserve"> Value</w:t>
            </w:r>
          </w:p>
        </w:tc>
        <w:tc>
          <w:tcPr>
            <w:tcW w:w="1240" w:type="dxa"/>
            <w:tcBorders>
              <w:top w:val="nil"/>
              <w:left w:val="nil"/>
              <w:right w:val="nil"/>
            </w:tcBorders>
            <w:shd w:val="clear" w:color="auto" w:fill="auto"/>
            <w:noWrap/>
            <w:vAlign w:val="bottom"/>
            <w:hideMark/>
          </w:tcPr>
          <w:p w14:paraId="67786812"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13D6D7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C9DD395"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4DCAFB6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nil"/>
              <w:left w:val="nil"/>
              <w:right w:val="nil"/>
            </w:tcBorders>
            <w:shd w:val="clear" w:color="auto" w:fill="auto"/>
            <w:noWrap/>
            <w:vAlign w:val="bottom"/>
            <w:hideMark/>
          </w:tcPr>
          <w:p w14:paraId="7F1B9D6B"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61730D80"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15D9DC9E"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61F14933"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00922563"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4455F6CB" w14:textId="77777777" w:rsidTr="006019F0">
        <w:trPr>
          <w:trHeight w:hRule="exact" w:val="227"/>
        </w:trPr>
        <w:tc>
          <w:tcPr>
            <w:tcW w:w="2540" w:type="dxa"/>
            <w:tcBorders>
              <w:top w:val="nil"/>
              <w:left w:val="nil"/>
              <w:right w:val="nil"/>
            </w:tcBorders>
            <w:shd w:val="clear" w:color="auto" w:fill="auto"/>
            <w:noWrap/>
            <w:vAlign w:val="bottom"/>
            <w:hideMark/>
          </w:tcPr>
          <w:p w14:paraId="7EF7620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A</w:t>
            </w:r>
            <w:r w:rsidRPr="00486F2D">
              <w:rPr>
                <w:rFonts w:ascii="Times New Roman" w:hAnsi="Times New Roman" w:cs="Times New Roman"/>
                <w:color w:val="000000"/>
                <w:sz w:val="16"/>
                <w:szCs w:val="16"/>
                <w:lang w:eastAsia="en-GB"/>
              </w:rPr>
              <w:t>ll bonds</w:t>
            </w:r>
          </w:p>
        </w:tc>
        <w:tc>
          <w:tcPr>
            <w:tcW w:w="1240" w:type="dxa"/>
            <w:tcBorders>
              <w:top w:val="nil"/>
              <w:left w:val="nil"/>
              <w:right w:val="nil"/>
            </w:tcBorders>
            <w:shd w:val="clear" w:color="auto" w:fill="auto"/>
            <w:noWrap/>
            <w:vAlign w:val="bottom"/>
            <w:hideMark/>
          </w:tcPr>
          <w:p w14:paraId="737903F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1.79%</w:t>
            </w:r>
          </w:p>
        </w:tc>
        <w:tc>
          <w:tcPr>
            <w:tcW w:w="1240" w:type="dxa"/>
            <w:tcBorders>
              <w:top w:val="nil"/>
              <w:left w:val="nil"/>
              <w:right w:val="nil"/>
            </w:tcBorders>
            <w:shd w:val="clear" w:color="auto" w:fill="auto"/>
            <w:noWrap/>
            <w:vAlign w:val="bottom"/>
            <w:hideMark/>
          </w:tcPr>
          <w:p w14:paraId="049AF73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6.76%</w:t>
            </w:r>
          </w:p>
        </w:tc>
        <w:tc>
          <w:tcPr>
            <w:tcW w:w="1240" w:type="dxa"/>
            <w:tcBorders>
              <w:top w:val="nil"/>
              <w:left w:val="nil"/>
              <w:right w:val="nil"/>
            </w:tcBorders>
            <w:shd w:val="clear" w:color="auto" w:fill="auto"/>
            <w:noWrap/>
            <w:vAlign w:val="bottom"/>
            <w:hideMark/>
          </w:tcPr>
          <w:p w14:paraId="480B185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0.27*</w:t>
            </w:r>
          </w:p>
        </w:tc>
        <w:tc>
          <w:tcPr>
            <w:tcW w:w="1240" w:type="dxa"/>
            <w:tcBorders>
              <w:top w:val="nil"/>
              <w:left w:val="nil"/>
              <w:right w:val="nil"/>
            </w:tcBorders>
            <w:shd w:val="clear" w:color="auto" w:fill="auto"/>
            <w:noWrap/>
            <w:vAlign w:val="bottom"/>
            <w:hideMark/>
          </w:tcPr>
          <w:p w14:paraId="6CB21BF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1.06%</w:t>
            </w:r>
          </w:p>
        </w:tc>
        <w:tc>
          <w:tcPr>
            <w:tcW w:w="256" w:type="dxa"/>
            <w:tcBorders>
              <w:top w:val="nil"/>
              <w:left w:val="nil"/>
              <w:right w:val="nil"/>
            </w:tcBorders>
            <w:shd w:val="clear" w:color="auto" w:fill="auto"/>
            <w:noWrap/>
            <w:vAlign w:val="bottom"/>
            <w:hideMark/>
          </w:tcPr>
          <w:p w14:paraId="07E6F84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42D025F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6.58%</w:t>
            </w:r>
          </w:p>
        </w:tc>
        <w:tc>
          <w:tcPr>
            <w:tcW w:w="1240" w:type="dxa"/>
            <w:tcBorders>
              <w:top w:val="nil"/>
              <w:left w:val="nil"/>
              <w:right w:val="nil"/>
            </w:tcBorders>
            <w:shd w:val="clear" w:color="auto" w:fill="auto"/>
            <w:noWrap/>
            <w:vAlign w:val="bottom"/>
            <w:hideMark/>
          </w:tcPr>
          <w:p w14:paraId="464C807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13.37%</w:t>
            </w:r>
          </w:p>
        </w:tc>
        <w:tc>
          <w:tcPr>
            <w:tcW w:w="1240" w:type="dxa"/>
            <w:tcBorders>
              <w:top w:val="nil"/>
              <w:left w:val="nil"/>
              <w:right w:val="nil"/>
            </w:tcBorders>
            <w:shd w:val="clear" w:color="auto" w:fill="auto"/>
            <w:noWrap/>
            <w:vAlign w:val="bottom"/>
            <w:hideMark/>
          </w:tcPr>
          <w:p w14:paraId="7FE84C7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0.49**</w:t>
            </w:r>
          </w:p>
        </w:tc>
        <w:tc>
          <w:tcPr>
            <w:tcW w:w="1240" w:type="dxa"/>
            <w:tcBorders>
              <w:top w:val="nil"/>
              <w:left w:val="nil"/>
              <w:right w:val="nil"/>
            </w:tcBorders>
            <w:shd w:val="clear" w:color="auto" w:fill="auto"/>
            <w:noWrap/>
            <w:vAlign w:val="bottom"/>
            <w:hideMark/>
          </w:tcPr>
          <w:p w14:paraId="0DCB1E4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3.72%*</w:t>
            </w:r>
          </w:p>
        </w:tc>
      </w:tr>
      <w:tr w:rsidR="00F949B9" w:rsidRPr="00486F2D" w14:paraId="14BE64EC" w14:textId="77777777" w:rsidTr="006019F0">
        <w:trPr>
          <w:trHeight w:hRule="exact" w:val="227"/>
        </w:trPr>
        <w:tc>
          <w:tcPr>
            <w:tcW w:w="2540" w:type="dxa"/>
            <w:tcBorders>
              <w:top w:val="nil"/>
              <w:left w:val="nil"/>
              <w:right w:val="nil"/>
            </w:tcBorders>
            <w:shd w:val="clear" w:color="auto" w:fill="auto"/>
            <w:noWrap/>
            <w:vAlign w:val="bottom"/>
            <w:hideMark/>
          </w:tcPr>
          <w:p w14:paraId="30E9918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L</w:t>
            </w:r>
            <w:r w:rsidRPr="00486F2D">
              <w:rPr>
                <w:rFonts w:ascii="Times New Roman" w:hAnsi="Times New Roman" w:cs="Times New Roman"/>
                <w:color w:val="000000"/>
                <w:sz w:val="16"/>
                <w:szCs w:val="16"/>
                <w:lang w:eastAsia="en-GB"/>
              </w:rPr>
              <w:t>iquid subsample</w:t>
            </w:r>
          </w:p>
        </w:tc>
        <w:tc>
          <w:tcPr>
            <w:tcW w:w="1240" w:type="dxa"/>
            <w:tcBorders>
              <w:top w:val="nil"/>
              <w:left w:val="nil"/>
              <w:right w:val="nil"/>
            </w:tcBorders>
            <w:shd w:val="clear" w:color="auto" w:fill="auto"/>
            <w:noWrap/>
            <w:vAlign w:val="center"/>
          </w:tcPr>
          <w:p w14:paraId="0B80C25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2.11</w:t>
            </w:r>
          </w:p>
        </w:tc>
        <w:tc>
          <w:tcPr>
            <w:tcW w:w="1240" w:type="dxa"/>
            <w:tcBorders>
              <w:top w:val="nil"/>
              <w:left w:val="nil"/>
              <w:right w:val="nil"/>
            </w:tcBorders>
            <w:shd w:val="clear" w:color="auto" w:fill="auto"/>
            <w:noWrap/>
            <w:vAlign w:val="center"/>
          </w:tcPr>
          <w:p w14:paraId="65AC0BF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6.92</w:t>
            </w:r>
          </w:p>
        </w:tc>
        <w:tc>
          <w:tcPr>
            <w:tcW w:w="1240" w:type="dxa"/>
            <w:tcBorders>
              <w:top w:val="nil"/>
              <w:left w:val="nil"/>
              <w:right w:val="nil"/>
            </w:tcBorders>
            <w:shd w:val="clear" w:color="auto" w:fill="auto"/>
            <w:noWrap/>
            <w:vAlign w:val="center"/>
          </w:tcPr>
          <w:p w14:paraId="14551CA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0.31</w:t>
            </w:r>
          </w:p>
        </w:tc>
        <w:tc>
          <w:tcPr>
            <w:tcW w:w="1240" w:type="dxa"/>
            <w:tcBorders>
              <w:top w:val="nil"/>
              <w:left w:val="nil"/>
              <w:right w:val="nil"/>
            </w:tcBorders>
            <w:shd w:val="clear" w:color="auto" w:fill="auto"/>
            <w:noWrap/>
            <w:vAlign w:val="center"/>
          </w:tcPr>
          <w:p w14:paraId="2039763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1.43</w:t>
            </w:r>
          </w:p>
        </w:tc>
        <w:tc>
          <w:tcPr>
            <w:tcW w:w="256" w:type="dxa"/>
            <w:tcBorders>
              <w:top w:val="nil"/>
              <w:left w:val="nil"/>
              <w:right w:val="nil"/>
            </w:tcBorders>
            <w:shd w:val="clear" w:color="auto" w:fill="auto"/>
            <w:noWrap/>
            <w:vAlign w:val="center"/>
          </w:tcPr>
          <w:p w14:paraId="5779926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center"/>
          </w:tcPr>
          <w:p w14:paraId="6DF2FCA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7.15</w:t>
            </w:r>
          </w:p>
        </w:tc>
        <w:tc>
          <w:tcPr>
            <w:tcW w:w="1240" w:type="dxa"/>
            <w:tcBorders>
              <w:top w:val="nil"/>
              <w:left w:val="nil"/>
              <w:right w:val="nil"/>
            </w:tcBorders>
            <w:shd w:val="clear" w:color="auto" w:fill="auto"/>
            <w:noWrap/>
            <w:vAlign w:val="center"/>
          </w:tcPr>
          <w:p w14:paraId="1DD4183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13.09</w:t>
            </w:r>
          </w:p>
        </w:tc>
        <w:tc>
          <w:tcPr>
            <w:tcW w:w="1240" w:type="dxa"/>
            <w:tcBorders>
              <w:top w:val="nil"/>
              <w:left w:val="nil"/>
              <w:right w:val="nil"/>
            </w:tcBorders>
            <w:shd w:val="clear" w:color="auto" w:fill="auto"/>
            <w:noWrap/>
            <w:vAlign w:val="center"/>
          </w:tcPr>
          <w:p w14:paraId="6CB2E08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0.55**</w:t>
            </w:r>
          </w:p>
        </w:tc>
        <w:tc>
          <w:tcPr>
            <w:tcW w:w="1240" w:type="dxa"/>
            <w:tcBorders>
              <w:top w:val="nil"/>
              <w:left w:val="nil"/>
              <w:right w:val="nil"/>
            </w:tcBorders>
            <w:shd w:val="clear" w:color="auto" w:fill="auto"/>
            <w:noWrap/>
            <w:vAlign w:val="center"/>
          </w:tcPr>
          <w:p w14:paraId="255DA63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4.47*</w:t>
            </w:r>
          </w:p>
        </w:tc>
      </w:tr>
      <w:tr w:rsidR="00F949B9" w:rsidRPr="00486F2D" w14:paraId="57D230E5" w14:textId="77777777" w:rsidTr="006019F0">
        <w:trPr>
          <w:trHeight w:hRule="exact" w:val="227"/>
        </w:trPr>
        <w:tc>
          <w:tcPr>
            <w:tcW w:w="2540" w:type="dxa"/>
            <w:tcBorders>
              <w:top w:val="nil"/>
              <w:left w:val="nil"/>
              <w:right w:val="nil"/>
            </w:tcBorders>
            <w:shd w:val="clear" w:color="auto" w:fill="auto"/>
            <w:noWrap/>
            <w:vAlign w:val="bottom"/>
          </w:tcPr>
          <w:p w14:paraId="67327C8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6DF921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9F3864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E72D4B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06574D8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right w:val="nil"/>
            </w:tcBorders>
            <w:shd w:val="clear" w:color="auto" w:fill="auto"/>
            <w:noWrap/>
            <w:vAlign w:val="bottom"/>
          </w:tcPr>
          <w:p w14:paraId="5E4697E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553E3A8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4F5937E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2CC3268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55A937E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2D6B666F" w14:textId="77777777" w:rsidTr="006019F0">
        <w:trPr>
          <w:trHeight w:hRule="exact" w:val="227"/>
        </w:trPr>
        <w:tc>
          <w:tcPr>
            <w:tcW w:w="2540" w:type="dxa"/>
            <w:tcBorders>
              <w:top w:val="nil"/>
              <w:left w:val="nil"/>
              <w:right w:val="nil"/>
            </w:tcBorders>
            <w:shd w:val="clear" w:color="auto" w:fill="auto"/>
            <w:noWrap/>
            <w:vAlign w:val="bottom"/>
            <w:hideMark/>
          </w:tcPr>
          <w:p w14:paraId="35AA9FD4" w14:textId="77777777" w:rsidR="00F949B9" w:rsidRPr="00EB50CD" w:rsidRDefault="00F949B9" w:rsidP="006019F0">
            <w:pPr>
              <w:spacing w:after="0" w:line="240" w:lineRule="auto"/>
              <w:rPr>
                <w:rFonts w:ascii="Times New Roman" w:hAnsi="Times New Roman" w:cs="Times New Roman"/>
                <w:i/>
                <w:color w:val="000000"/>
                <w:sz w:val="16"/>
                <w:szCs w:val="16"/>
                <w:lang w:eastAsia="en-GB"/>
              </w:rPr>
            </w:pPr>
            <w:r w:rsidRPr="00EB50CD">
              <w:rPr>
                <w:rFonts w:ascii="Times New Roman" w:hAnsi="Times New Roman" w:cs="Times New Roman"/>
                <w:i/>
                <w:color w:val="000000"/>
                <w:sz w:val="16"/>
                <w:szCs w:val="16"/>
                <w:lang w:eastAsia="en-GB"/>
              </w:rPr>
              <w:t>D. Momentum</w:t>
            </w:r>
          </w:p>
        </w:tc>
        <w:tc>
          <w:tcPr>
            <w:tcW w:w="1240" w:type="dxa"/>
            <w:tcBorders>
              <w:top w:val="nil"/>
              <w:left w:val="nil"/>
              <w:right w:val="nil"/>
            </w:tcBorders>
            <w:shd w:val="clear" w:color="auto" w:fill="auto"/>
            <w:noWrap/>
            <w:vAlign w:val="bottom"/>
            <w:hideMark/>
          </w:tcPr>
          <w:p w14:paraId="6DC24B4C"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51CFA728"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264C8FCF"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6235CFB7"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256" w:type="dxa"/>
            <w:tcBorders>
              <w:top w:val="nil"/>
              <w:left w:val="nil"/>
              <w:right w:val="nil"/>
            </w:tcBorders>
            <w:shd w:val="clear" w:color="auto" w:fill="auto"/>
            <w:noWrap/>
            <w:vAlign w:val="bottom"/>
            <w:hideMark/>
          </w:tcPr>
          <w:p w14:paraId="456E7F50"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3B17061E"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7D526F82"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5E8CBA6C"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c>
          <w:tcPr>
            <w:tcW w:w="1240" w:type="dxa"/>
            <w:tcBorders>
              <w:top w:val="nil"/>
              <w:left w:val="nil"/>
              <w:right w:val="nil"/>
            </w:tcBorders>
            <w:shd w:val="clear" w:color="auto" w:fill="auto"/>
            <w:noWrap/>
            <w:vAlign w:val="bottom"/>
            <w:hideMark/>
          </w:tcPr>
          <w:p w14:paraId="57D8A629" w14:textId="77777777" w:rsidR="00F949B9" w:rsidRPr="00486F2D" w:rsidRDefault="00F949B9" w:rsidP="006019F0">
            <w:pPr>
              <w:spacing w:after="0" w:line="240" w:lineRule="auto"/>
              <w:rPr>
                <w:rFonts w:ascii="Times New Roman" w:hAnsi="Times New Roman" w:cs="Times New Roman"/>
                <w:b/>
                <w:color w:val="000000"/>
                <w:sz w:val="16"/>
                <w:szCs w:val="16"/>
                <w:lang w:eastAsia="en-GB"/>
              </w:rPr>
            </w:pPr>
          </w:p>
        </w:tc>
      </w:tr>
      <w:tr w:rsidR="00F949B9" w:rsidRPr="00486F2D" w14:paraId="0178D25A" w14:textId="77777777" w:rsidTr="006019F0">
        <w:trPr>
          <w:trHeight w:hRule="exact" w:val="227"/>
        </w:trPr>
        <w:tc>
          <w:tcPr>
            <w:tcW w:w="2540" w:type="dxa"/>
            <w:tcBorders>
              <w:top w:val="nil"/>
              <w:left w:val="nil"/>
              <w:right w:val="nil"/>
            </w:tcBorders>
            <w:shd w:val="clear" w:color="auto" w:fill="auto"/>
            <w:noWrap/>
            <w:vAlign w:val="bottom"/>
            <w:hideMark/>
          </w:tcPr>
          <w:p w14:paraId="0C458D9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A</w:t>
            </w:r>
            <w:r w:rsidRPr="00486F2D">
              <w:rPr>
                <w:rFonts w:ascii="Times New Roman" w:hAnsi="Times New Roman" w:cs="Times New Roman"/>
                <w:color w:val="000000"/>
                <w:sz w:val="16"/>
                <w:szCs w:val="16"/>
                <w:lang w:eastAsia="en-GB"/>
              </w:rPr>
              <w:t>ll bonds</w:t>
            </w:r>
          </w:p>
        </w:tc>
        <w:tc>
          <w:tcPr>
            <w:tcW w:w="1240" w:type="dxa"/>
            <w:tcBorders>
              <w:top w:val="nil"/>
              <w:left w:val="nil"/>
              <w:right w:val="nil"/>
            </w:tcBorders>
            <w:shd w:val="clear" w:color="auto" w:fill="auto"/>
            <w:noWrap/>
            <w:vAlign w:val="bottom"/>
            <w:hideMark/>
          </w:tcPr>
          <w:p w14:paraId="635678F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0.80%</w:t>
            </w:r>
          </w:p>
        </w:tc>
        <w:tc>
          <w:tcPr>
            <w:tcW w:w="1240" w:type="dxa"/>
            <w:tcBorders>
              <w:top w:val="nil"/>
              <w:left w:val="nil"/>
              <w:right w:val="nil"/>
            </w:tcBorders>
            <w:shd w:val="clear" w:color="auto" w:fill="auto"/>
            <w:noWrap/>
            <w:vAlign w:val="bottom"/>
            <w:hideMark/>
          </w:tcPr>
          <w:p w14:paraId="076C10D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4.32%</w:t>
            </w:r>
          </w:p>
        </w:tc>
        <w:tc>
          <w:tcPr>
            <w:tcW w:w="1240" w:type="dxa"/>
            <w:tcBorders>
              <w:top w:val="nil"/>
              <w:left w:val="nil"/>
              <w:right w:val="nil"/>
            </w:tcBorders>
            <w:shd w:val="clear" w:color="auto" w:fill="auto"/>
            <w:noWrap/>
            <w:vAlign w:val="bottom"/>
            <w:hideMark/>
          </w:tcPr>
          <w:p w14:paraId="57CE27B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0.19</w:t>
            </w:r>
          </w:p>
        </w:tc>
        <w:tc>
          <w:tcPr>
            <w:tcW w:w="1240" w:type="dxa"/>
            <w:tcBorders>
              <w:top w:val="nil"/>
              <w:left w:val="nil"/>
              <w:right w:val="nil"/>
            </w:tcBorders>
            <w:shd w:val="clear" w:color="auto" w:fill="auto"/>
            <w:noWrap/>
            <w:vAlign w:val="bottom"/>
            <w:hideMark/>
          </w:tcPr>
          <w:p w14:paraId="1AD7B3F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0.35%</w:t>
            </w:r>
          </w:p>
        </w:tc>
        <w:tc>
          <w:tcPr>
            <w:tcW w:w="256" w:type="dxa"/>
            <w:tcBorders>
              <w:top w:val="nil"/>
              <w:left w:val="nil"/>
              <w:right w:val="nil"/>
            </w:tcBorders>
            <w:shd w:val="clear" w:color="auto" w:fill="auto"/>
            <w:noWrap/>
            <w:vAlign w:val="bottom"/>
            <w:hideMark/>
          </w:tcPr>
          <w:p w14:paraId="601FBB9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hideMark/>
          </w:tcPr>
          <w:p w14:paraId="3C6C2D7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4.37%</w:t>
            </w:r>
          </w:p>
        </w:tc>
        <w:tc>
          <w:tcPr>
            <w:tcW w:w="1240" w:type="dxa"/>
            <w:tcBorders>
              <w:top w:val="nil"/>
              <w:left w:val="nil"/>
              <w:right w:val="nil"/>
            </w:tcBorders>
            <w:shd w:val="clear" w:color="auto" w:fill="auto"/>
            <w:noWrap/>
            <w:vAlign w:val="bottom"/>
            <w:hideMark/>
          </w:tcPr>
          <w:p w14:paraId="1D188B5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10.29%</w:t>
            </w:r>
          </w:p>
        </w:tc>
        <w:tc>
          <w:tcPr>
            <w:tcW w:w="1240" w:type="dxa"/>
            <w:tcBorders>
              <w:top w:val="nil"/>
              <w:left w:val="nil"/>
              <w:right w:val="nil"/>
            </w:tcBorders>
            <w:shd w:val="clear" w:color="auto" w:fill="auto"/>
            <w:noWrap/>
            <w:vAlign w:val="bottom"/>
            <w:hideMark/>
          </w:tcPr>
          <w:p w14:paraId="51A5638A"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0.42*</w:t>
            </w:r>
          </w:p>
        </w:tc>
        <w:tc>
          <w:tcPr>
            <w:tcW w:w="1240" w:type="dxa"/>
            <w:tcBorders>
              <w:top w:val="nil"/>
              <w:left w:val="nil"/>
              <w:right w:val="nil"/>
            </w:tcBorders>
            <w:shd w:val="clear" w:color="auto" w:fill="auto"/>
            <w:noWrap/>
            <w:vAlign w:val="bottom"/>
            <w:hideMark/>
          </w:tcPr>
          <w:p w14:paraId="50E8790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2.15%*</w:t>
            </w:r>
          </w:p>
        </w:tc>
      </w:tr>
      <w:tr w:rsidR="00F949B9" w:rsidRPr="00486F2D" w14:paraId="7BD9910D" w14:textId="77777777" w:rsidTr="006019F0">
        <w:trPr>
          <w:trHeight w:hRule="exact" w:val="227"/>
        </w:trPr>
        <w:tc>
          <w:tcPr>
            <w:tcW w:w="2540" w:type="dxa"/>
            <w:tcBorders>
              <w:top w:val="nil"/>
              <w:left w:val="nil"/>
              <w:right w:val="nil"/>
            </w:tcBorders>
            <w:shd w:val="clear" w:color="auto" w:fill="auto"/>
            <w:noWrap/>
            <w:vAlign w:val="bottom"/>
            <w:hideMark/>
          </w:tcPr>
          <w:p w14:paraId="132A660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L</w:t>
            </w:r>
            <w:r w:rsidRPr="00486F2D">
              <w:rPr>
                <w:rFonts w:ascii="Times New Roman" w:hAnsi="Times New Roman" w:cs="Times New Roman"/>
                <w:color w:val="000000"/>
                <w:sz w:val="16"/>
                <w:szCs w:val="16"/>
                <w:lang w:eastAsia="en-GB"/>
              </w:rPr>
              <w:t>iquid subsample</w:t>
            </w:r>
          </w:p>
        </w:tc>
        <w:tc>
          <w:tcPr>
            <w:tcW w:w="1240" w:type="dxa"/>
            <w:tcBorders>
              <w:top w:val="nil"/>
              <w:left w:val="nil"/>
              <w:right w:val="nil"/>
            </w:tcBorders>
            <w:shd w:val="clear" w:color="auto" w:fill="auto"/>
            <w:noWrap/>
            <w:vAlign w:val="center"/>
          </w:tcPr>
          <w:p w14:paraId="5C987E7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1.17</w:t>
            </w:r>
          </w:p>
        </w:tc>
        <w:tc>
          <w:tcPr>
            <w:tcW w:w="1240" w:type="dxa"/>
            <w:tcBorders>
              <w:top w:val="nil"/>
              <w:left w:val="nil"/>
              <w:right w:val="nil"/>
            </w:tcBorders>
            <w:shd w:val="clear" w:color="auto" w:fill="auto"/>
            <w:noWrap/>
            <w:vAlign w:val="center"/>
          </w:tcPr>
          <w:p w14:paraId="6137BC5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4.06</w:t>
            </w:r>
          </w:p>
        </w:tc>
        <w:tc>
          <w:tcPr>
            <w:tcW w:w="1240" w:type="dxa"/>
            <w:tcBorders>
              <w:top w:val="nil"/>
              <w:left w:val="nil"/>
              <w:right w:val="nil"/>
            </w:tcBorders>
            <w:shd w:val="clear" w:color="auto" w:fill="auto"/>
            <w:noWrap/>
            <w:vAlign w:val="center"/>
          </w:tcPr>
          <w:p w14:paraId="3240F40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0.29</w:t>
            </w:r>
          </w:p>
        </w:tc>
        <w:tc>
          <w:tcPr>
            <w:tcW w:w="1240" w:type="dxa"/>
            <w:tcBorders>
              <w:top w:val="nil"/>
              <w:left w:val="nil"/>
              <w:right w:val="nil"/>
            </w:tcBorders>
            <w:shd w:val="clear" w:color="auto" w:fill="auto"/>
            <w:noWrap/>
            <w:vAlign w:val="center"/>
          </w:tcPr>
          <w:p w14:paraId="00DE80A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0.75</w:t>
            </w:r>
          </w:p>
        </w:tc>
        <w:tc>
          <w:tcPr>
            <w:tcW w:w="256" w:type="dxa"/>
            <w:tcBorders>
              <w:top w:val="nil"/>
              <w:left w:val="nil"/>
              <w:right w:val="nil"/>
            </w:tcBorders>
            <w:shd w:val="clear" w:color="auto" w:fill="auto"/>
            <w:noWrap/>
            <w:vAlign w:val="center"/>
          </w:tcPr>
          <w:p w14:paraId="72F9F41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center"/>
          </w:tcPr>
          <w:p w14:paraId="7A15C80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4.55</w:t>
            </w:r>
          </w:p>
        </w:tc>
        <w:tc>
          <w:tcPr>
            <w:tcW w:w="1240" w:type="dxa"/>
            <w:tcBorders>
              <w:top w:val="nil"/>
              <w:left w:val="nil"/>
              <w:right w:val="nil"/>
            </w:tcBorders>
            <w:shd w:val="clear" w:color="auto" w:fill="auto"/>
            <w:noWrap/>
            <w:vAlign w:val="center"/>
          </w:tcPr>
          <w:p w14:paraId="30A7D0C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9.95</w:t>
            </w:r>
          </w:p>
        </w:tc>
        <w:tc>
          <w:tcPr>
            <w:tcW w:w="1240" w:type="dxa"/>
            <w:tcBorders>
              <w:top w:val="nil"/>
              <w:left w:val="nil"/>
              <w:right w:val="nil"/>
            </w:tcBorders>
            <w:shd w:val="clear" w:color="auto" w:fill="auto"/>
            <w:noWrap/>
            <w:vAlign w:val="center"/>
          </w:tcPr>
          <w:p w14:paraId="3100E4C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0.46**</w:t>
            </w:r>
          </w:p>
        </w:tc>
        <w:tc>
          <w:tcPr>
            <w:tcW w:w="1240" w:type="dxa"/>
            <w:tcBorders>
              <w:top w:val="nil"/>
              <w:left w:val="nil"/>
              <w:right w:val="nil"/>
            </w:tcBorders>
            <w:shd w:val="clear" w:color="auto" w:fill="auto"/>
            <w:noWrap/>
            <w:vAlign w:val="center"/>
          </w:tcPr>
          <w:p w14:paraId="0A550CD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2.44*</w:t>
            </w:r>
          </w:p>
        </w:tc>
      </w:tr>
      <w:tr w:rsidR="00F949B9" w:rsidRPr="00486F2D" w14:paraId="33D4BAF9" w14:textId="77777777" w:rsidTr="006019F0">
        <w:trPr>
          <w:trHeight w:hRule="exact" w:val="227"/>
        </w:trPr>
        <w:tc>
          <w:tcPr>
            <w:tcW w:w="2540" w:type="dxa"/>
            <w:tcBorders>
              <w:top w:val="nil"/>
              <w:left w:val="nil"/>
              <w:right w:val="nil"/>
            </w:tcBorders>
            <w:shd w:val="clear" w:color="auto" w:fill="auto"/>
            <w:noWrap/>
            <w:vAlign w:val="bottom"/>
          </w:tcPr>
          <w:p w14:paraId="649EABD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3633245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3069B50"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0F81274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68CB9E4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right w:val="nil"/>
            </w:tcBorders>
            <w:shd w:val="clear" w:color="auto" w:fill="auto"/>
            <w:noWrap/>
            <w:vAlign w:val="bottom"/>
          </w:tcPr>
          <w:p w14:paraId="66834C4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561214C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0EB355E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10F4642E"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right w:val="nil"/>
            </w:tcBorders>
            <w:shd w:val="clear" w:color="auto" w:fill="auto"/>
            <w:noWrap/>
            <w:vAlign w:val="bottom"/>
          </w:tcPr>
          <w:p w14:paraId="0AB3EE9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2F1411FD" w14:textId="77777777" w:rsidTr="006019F0">
        <w:trPr>
          <w:trHeight w:hRule="exact" w:val="227"/>
        </w:trPr>
        <w:tc>
          <w:tcPr>
            <w:tcW w:w="2540" w:type="dxa"/>
            <w:tcBorders>
              <w:top w:val="nil"/>
              <w:left w:val="nil"/>
              <w:bottom w:val="nil"/>
              <w:right w:val="nil"/>
            </w:tcBorders>
            <w:shd w:val="clear" w:color="auto" w:fill="auto"/>
            <w:noWrap/>
            <w:vAlign w:val="bottom"/>
          </w:tcPr>
          <w:p w14:paraId="0315AB11" w14:textId="77777777" w:rsidR="00F949B9" w:rsidRPr="00EB50CD" w:rsidRDefault="00F949B9" w:rsidP="006019F0">
            <w:pPr>
              <w:spacing w:after="0" w:line="240" w:lineRule="auto"/>
              <w:rPr>
                <w:rFonts w:ascii="Times New Roman" w:hAnsi="Times New Roman" w:cs="Times New Roman"/>
                <w:i/>
                <w:color w:val="000000"/>
                <w:sz w:val="16"/>
                <w:szCs w:val="16"/>
                <w:lang w:eastAsia="en-GB"/>
              </w:rPr>
            </w:pPr>
            <w:r w:rsidRPr="00EB50CD">
              <w:rPr>
                <w:rFonts w:ascii="Times New Roman" w:hAnsi="Times New Roman" w:cs="Times New Roman"/>
                <w:i/>
                <w:color w:val="000000"/>
                <w:sz w:val="16"/>
                <w:szCs w:val="16"/>
                <w:lang w:eastAsia="en-GB"/>
              </w:rPr>
              <w:t>E. Multi-factor</w:t>
            </w:r>
          </w:p>
        </w:tc>
        <w:tc>
          <w:tcPr>
            <w:tcW w:w="1240" w:type="dxa"/>
            <w:tcBorders>
              <w:top w:val="nil"/>
              <w:left w:val="nil"/>
              <w:bottom w:val="nil"/>
              <w:right w:val="nil"/>
            </w:tcBorders>
            <w:shd w:val="clear" w:color="auto" w:fill="auto"/>
            <w:noWrap/>
            <w:vAlign w:val="bottom"/>
          </w:tcPr>
          <w:p w14:paraId="71505F06"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335A5DB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2CC9517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4246962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256" w:type="dxa"/>
            <w:tcBorders>
              <w:top w:val="nil"/>
              <w:left w:val="nil"/>
              <w:bottom w:val="nil"/>
              <w:right w:val="nil"/>
            </w:tcBorders>
            <w:shd w:val="clear" w:color="auto" w:fill="auto"/>
            <w:noWrap/>
            <w:vAlign w:val="bottom"/>
          </w:tcPr>
          <w:p w14:paraId="28FBF75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654BB664"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24A0FD9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4F2E16F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36351FD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r>
      <w:tr w:rsidR="00F949B9" w:rsidRPr="00486F2D" w14:paraId="1B0C4E89" w14:textId="77777777" w:rsidTr="006019F0">
        <w:trPr>
          <w:trHeight w:hRule="exact" w:val="227"/>
        </w:trPr>
        <w:tc>
          <w:tcPr>
            <w:tcW w:w="2540" w:type="dxa"/>
            <w:tcBorders>
              <w:top w:val="nil"/>
              <w:left w:val="nil"/>
              <w:bottom w:val="nil"/>
              <w:right w:val="nil"/>
            </w:tcBorders>
            <w:shd w:val="clear" w:color="auto" w:fill="auto"/>
            <w:noWrap/>
            <w:vAlign w:val="bottom"/>
          </w:tcPr>
          <w:p w14:paraId="3002F34C"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A</w:t>
            </w:r>
            <w:r w:rsidRPr="00486F2D">
              <w:rPr>
                <w:rFonts w:ascii="Times New Roman" w:hAnsi="Times New Roman" w:cs="Times New Roman"/>
                <w:color w:val="000000"/>
                <w:sz w:val="16"/>
                <w:szCs w:val="16"/>
                <w:lang w:eastAsia="en-GB"/>
              </w:rPr>
              <w:t>ll bonds</w:t>
            </w:r>
          </w:p>
        </w:tc>
        <w:tc>
          <w:tcPr>
            <w:tcW w:w="1240" w:type="dxa"/>
            <w:tcBorders>
              <w:top w:val="nil"/>
              <w:left w:val="nil"/>
              <w:bottom w:val="nil"/>
              <w:right w:val="nil"/>
            </w:tcBorders>
            <w:shd w:val="clear" w:color="auto" w:fill="auto"/>
            <w:noWrap/>
            <w:vAlign w:val="bottom"/>
          </w:tcPr>
          <w:p w14:paraId="7C3C830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1.28%</w:t>
            </w:r>
          </w:p>
        </w:tc>
        <w:tc>
          <w:tcPr>
            <w:tcW w:w="1240" w:type="dxa"/>
            <w:tcBorders>
              <w:top w:val="nil"/>
              <w:left w:val="nil"/>
              <w:bottom w:val="nil"/>
              <w:right w:val="nil"/>
            </w:tcBorders>
            <w:shd w:val="clear" w:color="auto" w:fill="auto"/>
            <w:noWrap/>
            <w:vAlign w:val="bottom"/>
          </w:tcPr>
          <w:p w14:paraId="387B63E8"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3.98%</w:t>
            </w:r>
          </w:p>
        </w:tc>
        <w:tc>
          <w:tcPr>
            <w:tcW w:w="1240" w:type="dxa"/>
            <w:tcBorders>
              <w:top w:val="nil"/>
              <w:left w:val="nil"/>
              <w:bottom w:val="nil"/>
              <w:right w:val="nil"/>
            </w:tcBorders>
            <w:shd w:val="clear" w:color="auto" w:fill="auto"/>
            <w:noWrap/>
            <w:vAlign w:val="bottom"/>
          </w:tcPr>
          <w:p w14:paraId="70B4965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0.32**</w:t>
            </w:r>
          </w:p>
        </w:tc>
        <w:tc>
          <w:tcPr>
            <w:tcW w:w="1240" w:type="dxa"/>
            <w:tcBorders>
              <w:top w:val="nil"/>
              <w:left w:val="nil"/>
              <w:bottom w:val="nil"/>
              <w:right w:val="nil"/>
            </w:tcBorders>
            <w:shd w:val="clear" w:color="auto" w:fill="auto"/>
            <w:noWrap/>
            <w:vAlign w:val="bottom"/>
          </w:tcPr>
          <w:p w14:paraId="5AF795D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0.84%**</w:t>
            </w:r>
          </w:p>
        </w:tc>
        <w:tc>
          <w:tcPr>
            <w:tcW w:w="256" w:type="dxa"/>
            <w:tcBorders>
              <w:top w:val="nil"/>
              <w:left w:val="nil"/>
              <w:bottom w:val="nil"/>
              <w:right w:val="nil"/>
            </w:tcBorders>
            <w:shd w:val="clear" w:color="auto" w:fill="auto"/>
            <w:noWrap/>
            <w:vAlign w:val="bottom"/>
          </w:tcPr>
          <w:p w14:paraId="673D239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nil"/>
              <w:right w:val="nil"/>
            </w:tcBorders>
            <w:shd w:val="clear" w:color="auto" w:fill="auto"/>
            <w:noWrap/>
            <w:vAlign w:val="bottom"/>
          </w:tcPr>
          <w:p w14:paraId="2F8C203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5.64%</w:t>
            </w:r>
          </w:p>
        </w:tc>
        <w:tc>
          <w:tcPr>
            <w:tcW w:w="1240" w:type="dxa"/>
            <w:tcBorders>
              <w:top w:val="nil"/>
              <w:left w:val="nil"/>
              <w:bottom w:val="nil"/>
              <w:right w:val="nil"/>
            </w:tcBorders>
            <w:shd w:val="clear" w:color="auto" w:fill="auto"/>
            <w:noWrap/>
            <w:vAlign w:val="bottom"/>
          </w:tcPr>
          <w:p w14:paraId="2DBBCFB1"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10.04%</w:t>
            </w:r>
          </w:p>
        </w:tc>
        <w:tc>
          <w:tcPr>
            <w:tcW w:w="1240" w:type="dxa"/>
            <w:tcBorders>
              <w:top w:val="nil"/>
              <w:left w:val="nil"/>
              <w:bottom w:val="nil"/>
              <w:right w:val="nil"/>
            </w:tcBorders>
            <w:shd w:val="clear" w:color="auto" w:fill="auto"/>
            <w:noWrap/>
            <w:vAlign w:val="bottom"/>
          </w:tcPr>
          <w:p w14:paraId="191B959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0.56**</w:t>
            </w:r>
          </w:p>
        </w:tc>
        <w:tc>
          <w:tcPr>
            <w:tcW w:w="1240" w:type="dxa"/>
            <w:tcBorders>
              <w:top w:val="nil"/>
              <w:left w:val="nil"/>
              <w:bottom w:val="nil"/>
              <w:right w:val="nil"/>
            </w:tcBorders>
            <w:shd w:val="clear" w:color="auto" w:fill="auto"/>
            <w:noWrap/>
            <w:vAlign w:val="bottom"/>
          </w:tcPr>
          <w:p w14:paraId="5247797B"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3.49%**</w:t>
            </w:r>
          </w:p>
        </w:tc>
      </w:tr>
      <w:tr w:rsidR="00F949B9" w:rsidRPr="00486F2D" w14:paraId="109F049D" w14:textId="77777777" w:rsidTr="006019F0">
        <w:trPr>
          <w:trHeight w:hRule="exact" w:val="227"/>
        </w:trPr>
        <w:tc>
          <w:tcPr>
            <w:tcW w:w="2540" w:type="dxa"/>
            <w:tcBorders>
              <w:top w:val="nil"/>
              <w:left w:val="nil"/>
              <w:bottom w:val="single" w:sz="4" w:space="0" w:color="auto"/>
              <w:right w:val="nil"/>
            </w:tcBorders>
            <w:shd w:val="clear" w:color="auto" w:fill="auto"/>
            <w:noWrap/>
            <w:vAlign w:val="bottom"/>
          </w:tcPr>
          <w:p w14:paraId="422D91F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Pr>
                <w:rFonts w:ascii="Times New Roman" w:hAnsi="Times New Roman" w:cs="Times New Roman"/>
                <w:color w:val="000000"/>
                <w:sz w:val="16"/>
                <w:szCs w:val="16"/>
                <w:lang w:eastAsia="en-GB"/>
              </w:rPr>
              <w:t>L</w:t>
            </w:r>
            <w:r w:rsidRPr="00486F2D">
              <w:rPr>
                <w:rFonts w:ascii="Times New Roman" w:hAnsi="Times New Roman" w:cs="Times New Roman"/>
                <w:color w:val="000000"/>
                <w:sz w:val="16"/>
                <w:szCs w:val="16"/>
                <w:lang w:eastAsia="en-GB"/>
              </w:rPr>
              <w:t>iquid subsample</w:t>
            </w:r>
          </w:p>
        </w:tc>
        <w:tc>
          <w:tcPr>
            <w:tcW w:w="1240" w:type="dxa"/>
            <w:tcBorders>
              <w:top w:val="nil"/>
              <w:left w:val="nil"/>
              <w:bottom w:val="single" w:sz="4" w:space="0" w:color="auto"/>
              <w:right w:val="nil"/>
            </w:tcBorders>
            <w:shd w:val="clear" w:color="auto" w:fill="auto"/>
            <w:noWrap/>
            <w:vAlign w:val="center"/>
          </w:tcPr>
          <w:p w14:paraId="6946AE43"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1.43</w:t>
            </w:r>
          </w:p>
        </w:tc>
        <w:tc>
          <w:tcPr>
            <w:tcW w:w="1240" w:type="dxa"/>
            <w:tcBorders>
              <w:top w:val="nil"/>
              <w:left w:val="nil"/>
              <w:bottom w:val="single" w:sz="4" w:space="0" w:color="auto"/>
              <w:right w:val="nil"/>
            </w:tcBorders>
            <w:shd w:val="clear" w:color="auto" w:fill="auto"/>
            <w:noWrap/>
            <w:vAlign w:val="center"/>
          </w:tcPr>
          <w:p w14:paraId="57983D3F"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4.11</w:t>
            </w:r>
          </w:p>
        </w:tc>
        <w:tc>
          <w:tcPr>
            <w:tcW w:w="1240" w:type="dxa"/>
            <w:tcBorders>
              <w:top w:val="nil"/>
              <w:left w:val="nil"/>
              <w:bottom w:val="single" w:sz="4" w:space="0" w:color="auto"/>
              <w:right w:val="nil"/>
            </w:tcBorders>
            <w:shd w:val="clear" w:color="auto" w:fill="auto"/>
            <w:noWrap/>
            <w:vAlign w:val="center"/>
          </w:tcPr>
          <w:p w14:paraId="06726BD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0.35**</w:t>
            </w:r>
          </w:p>
        </w:tc>
        <w:tc>
          <w:tcPr>
            <w:tcW w:w="1240" w:type="dxa"/>
            <w:tcBorders>
              <w:top w:val="nil"/>
              <w:left w:val="nil"/>
              <w:bottom w:val="single" w:sz="4" w:space="0" w:color="auto"/>
              <w:right w:val="nil"/>
            </w:tcBorders>
            <w:shd w:val="clear" w:color="auto" w:fill="auto"/>
            <w:noWrap/>
            <w:vAlign w:val="center"/>
          </w:tcPr>
          <w:p w14:paraId="6EA0A5D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1.00*</w:t>
            </w:r>
          </w:p>
        </w:tc>
        <w:tc>
          <w:tcPr>
            <w:tcW w:w="256" w:type="dxa"/>
            <w:tcBorders>
              <w:top w:val="nil"/>
              <w:left w:val="nil"/>
              <w:bottom w:val="single" w:sz="4" w:space="0" w:color="auto"/>
              <w:right w:val="nil"/>
            </w:tcBorders>
            <w:shd w:val="clear" w:color="auto" w:fill="auto"/>
            <w:noWrap/>
            <w:vAlign w:val="center"/>
          </w:tcPr>
          <w:p w14:paraId="24064D6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p>
        </w:tc>
        <w:tc>
          <w:tcPr>
            <w:tcW w:w="1240" w:type="dxa"/>
            <w:tcBorders>
              <w:top w:val="nil"/>
              <w:left w:val="nil"/>
              <w:bottom w:val="single" w:sz="4" w:space="0" w:color="auto"/>
              <w:right w:val="nil"/>
            </w:tcBorders>
            <w:shd w:val="clear" w:color="auto" w:fill="auto"/>
            <w:noWrap/>
            <w:vAlign w:val="center"/>
          </w:tcPr>
          <w:p w14:paraId="20D3E8F2"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5.83</w:t>
            </w:r>
          </w:p>
        </w:tc>
        <w:tc>
          <w:tcPr>
            <w:tcW w:w="1240" w:type="dxa"/>
            <w:tcBorders>
              <w:top w:val="nil"/>
              <w:left w:val="nil"/>
              <w:bottom w:val="single" w:sz="4" w:space="0" w:color="auto"/>
              <w:right w:val="nil"/>
            </w:tcBorders>
            <w:shd w:val="clear" w:color="auto" w:fill="auto"/>
            <w:noWrap/>
            <w:vAlign w:val="center"/>
          </w:tcPr>
          <w:p w14:paraId="7C9C49CD"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10.18</w:t>
            </w:r>
          </w:p>
        </w:tc>
        <w:tc>
          <w:tcPr>
            <w:tcW w:w="1240" w:type="dxa"/>
            <w:tcBorders>
              <w:top w:val="nil"/>
              <w:left w:val="nil"/>
              <w:bottom w:val="single" w:sz="4" w:space="0" w:color="auto"/>
              <w:right w:val="nil"/>
            </w:tcBorders>
            <w:shd w:val="clear" w:color="auto" w:fill="auto"/>
            <w:noWrap/>
            <w:vAlign w:val="center"/>
          </w:tcPr>
          <w:p w14:paraId="12C83F07"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0.57**</w:t>
            </w:r>
          </w:p>
        </w:tc>
        <w:tc>
          <w:tcPr>
            <w:tcW w:w="1240" w:type="dxa"/>
            <w:tcBorders>
              <w:top w:val="nil"/>
              <w:left w:val="nil"/>
              <w:bottom w:val="single" w:sz="4" w:space="0" w:color="auto"/>
              <w:right w:val="nil"/>
            </w:tcBorders>
            <w:shd w:val="clear" w:color="auto" w:fill="auto"/>
            <w:noWrap/>
            <w:vAlign w:val="center"/>
          </w:tcPr>
          <w:p w14:paraId="2726A545" w14:textId="77777777" w:rsidR="00F949B9" w:rsidRPr="00486F2D" w:rsidRDefault="00F949B9" w:rsidP="006019F0">
            <w:pPr>
              <w:spacing w:after="0" w:line="240" w:lineRule="auto"/>
              <w:rPr>
                <w:rFonts w:ascii="Times New Roman" w:hAnsi="Times New Roman" w:cs="Times New Roman"/>
                <w:color w:val="000000"/>
                <w:sz w:val="16"/>
                <w:szCs w:val="16"/>
                <w:lang w:eastAsia="en-GB"/>
              </w:rPr>
            </w:pPr>
            <w:r w:rsidRPr="00486F2D">
              <w:rPr>
                <w:rFonts w:ascii="Times New Roman" w:hAnsi="Times New Roman" w:cs="Times New Roman"/>
                <w:color w:val="000000"/>
                <w:sz w:val="16"/>
                <w:szCs w:val="16"/>
                <w:lang w:eastAsia="en-GB"/>
              </w:rPr>
              <w:t>3.72**</w:t>
            </w:r>
          </w:p>
        </w:tc>
      </w:tr>
    </w:tbl>
    <w:p w14:paraId="3F80A585" w14:textId="77777777" w:rsidR="00F949B9" w:rsidRDefault="00F949B9" w:rsidP="00F949B9">
      <w:pPr>
        <w:spacing w:line="276" w:lineRule="auto"/>
        <w:rPr>
          <w:rFonts w:ascii="Times New Roman" w:hAnsi="Times New Roman" w:cs="Times New Roman"/>
          <w:sz w:val="20"/>
          <w:lang w:val="en-US"/>
        </w:rPr>
      </w:pPr>
      <w:r w:rsidRPr="006467BB">
        <w:rPr>
          <w:rFonts w:ascii="Times New Roman" w:hAnsi="Times New Roman" w:cs="Times New Roman"/>
          <w:i/>
          <w:sz w:val="20"/>
          <w:lang w:val="en-US"/>
        </w:rPr>
        <w:t>Notes:</w:t>
      </w:r>
      <w:r>
        <w:rPr>
          <w:rFonts w:ascii="Times New Roman" w:hAnsi="Times New Roman" w:cs="Times New Roman"/>
          <w:sz w:val="20"/>
          <w:lang w:val="en-US"/>
        </w:rPr>
        <w:t xml:space="preserve"> </w:t>
      </w:r>
      <w:r w:rsidRPr="00486F2D">
        <w:rPr>
          <w:rFonts w:ascii="Times New Roman" w:hAnsi="Times New Roman" w:cs="Times New Roman"/>
          <w:sz w:val="20"/>
          <w:lang w:val="en-US"/>
        </w:rPr>
        <w:t xml:space="preserve">This table </w:t>
      </w:r>
      <w:r>
        <w:rPr>
          <w:rFonts w:ascii="Times New Roman" w:hAnsi="Times New Roman" w:cs="Times New Roman"/>
          <w:sz w:val="20"/>
          <w:lang w:val="en-US"/>
        </w:rPr>
        <w:t>report</w:t>
      </w:r>
      <w:r w:rsidRPr="00486F2D">
        <w:rPr>
          <w:rFonts w:ascii="Times New Roman" w:hAnsi="Times New Roman" w:cs="Times New Roman"/>
          <w:sz w:val="20"/>
          <w:lang w:val="en-US"/>
        </w:rPr>
        <w:t xml:space="preserve">s performance statistics of </w:t>
      </w:r>
      <w:r>
        <w:rPr>
          <w:rFonts w:ascii="Times New Roman" w:hAnsi="Times New Roman" w:cs="Times New Roman"/>
          <w:sz w:val="20"/>
          <w:lang w:val="en-US"/>
        </w:rPr>
        <w:t>the s</w:t>
      </w:r>
      <w:r w:rsidRPr="00486F2D">
        <w:rPr>
          <w:rFonts w:ascii="Times New Roman" w:hAnsi="Times New Roman" w:cs="Times New Roman"/>
          <w:sz w:val="20"/>
          <w:lang w:val="en-US"/>
        </w:rPr>
        <w:t xml:space="preserve">ize, </w:t>
      </w:r>
      <w:r>
        <w:rPr>
          <w:rFonts w:ascii="Times New Roman" w:hAnsi="Times New Roman" w:cs="Times New Roman"/>
          <w:sz w:val="20"/>
          <w:lang w:val="en-US"/>
        </w:rPr>
        <w:t>l</w:t>
      </w:r>
      <w:r w:rsidRPr="00486F2D">
        <w:rPr>
          <w:rFonts w:ascii="Times New Roman" w:hAnsi="Times New Roman" w:cs="Times New Roman"/>
          <w:sz w:val="20"/>
          <w:lang w:val="en-US"/>
        </w:rPr>
        <w:t>ow-</w:t>
      </w:r>
      <w:r>
        <w:rPr>
          <w:rFonts w:ascii="Times New Roman" w:hAnsi="Times New Roman" w:cs="Times New Roman"/>
          <w:sz w:val="20"/>
          <w:lang w:val="en-US"/>
        </w:rPr>
        <w:t>r</w:t>
      </w:r>
      <w:r w:rsidRPr="00486F2D">
        <w:rPr>
          <w:rFonts w:ascii="Times New Roman" w:hAnsi="Times New Roman" w:cs="Times New Roman"/>
          <w:sz w:val="20"/>
          <w:lang w:val="en-US"/>
        </w:rPr>
        <w:t xml:space="preserve">isk, </w:t>
      </w:r>
      <w:r>
        <w:rPr>
          <w:rFonts w:ascii="Times New Roman" w:hAnsi="Times New Roman" w:cs="Times New Roman"/>
          <w:sz w:val="20"/>
          <w:lang w:val="en-US"/>
        </w:rPr>
        <w:t>v</w:t>
      </w:r>
      <w:r w:rsidRPr="00486F2D">
        <w:rPr>
          <w:rFonts w:ascii="Times New Roman" w:hAnsi="Times New Roman" w:cs="Times New Roman"/>
          <w:sz w:val="20"/>
          <w:lang w:val="en-US"/>
        </w:rPr>
        <w:t xml:space="preserve">alue, and </w:t>
      </w:r>
      <w:r>
        <w:rPr>
          <w:rFonts w:ascii="Times New Roman" w:hAnsi="Times New Roman" w:cs="Times New Roman"/>
          <w:sz w:val="20"/>
          <w:lang w:val="en-US"/>
        </w:rPr>
        <w:t>m</w:t>
      </w:r>
      <w:r w:rsidRPr="00486F2D">
        <w:rPr>
          <w:rFonts w:ascii="Times New Roman" w:hAnsi="Times New Roman" w:cs="Times New Roman"/>
          <w:sz w:val="20"/>
          <w:lang w:val="en-US"/>
        </w:rPr>
        <w:t xml:space="preserve">omentum factors for US </w:t>
      </w:r>
      <w:r>
        <w:rPr>
          <w:rFonts w:ascii="Times New Roman" w:hAnsi="Times New Roman" w:cs="Times New Roman"/>
          <w:sz w:val="20"/>
          <w:lang w:val="en-US"/>
        </w:rPr>
        <w:t>i</w:t>
      </w:r>
      <w:r w:rsidRPr="00486F2D">
        <w:rPr>
          <w:rFonts w:ascii="Times New Roman" w:hAnsi="Times New Roman" w:cs="Times New Roman"/>
          <w:sz w:val="20"/>
          <w:lang w:val="en-US"/>
        </w:rPr>
        <w:t>nvestment</w:t>
      </w:r>
      <w:r>
        <w:rPr>
          <w:rFonts w:ascii="Times New Roman" w:hAnsi="Times New Roman" w:cs="Times New Roman"/>
          <w:sz w:val="20"/>
          <w:lang w:val="en-US"/>
        </w:rPr>
        <w:t>-g</w:t>
      </w:r>
      <w:r w:rsidRPr="00486F2D">
        <w:rPr>
          <w:rFonts w:ascii="Times New Roman" w:hAnsi="Times New Roman" w:cs="Times New Roman"/>
          <w:sz w:val="20"/>
          <w:lang w:val="en-US"/>
        </w:rPr>
        <w:t xml:space="preserve">rade and US </w:t>
      </w:r>
      <w:r>
        <w:rPr>
          <w:rFonts w:ascii="Times New Roman" w:hAnsi="Times New Roman" w:cs="Times New Roman"/>
          <w:sz w:val="20"/>
          <w:lang w:val="en-US"/>
        </w:rPr>
        <w:t>h</w:t>
      </w:r>
      <w:r w:rsidRPr="00486F2D">
        <w:rPr>
          <w:rFonts w:ascii="Times New Roman" w:hAnsi="Times New Roman" w:cs="Times New Roman"/>
          <w:sz w:val="20"/>
          <w:lang w:val="en-US"/>
        </w:rPr>
        <w:t>igh</w:t>
      </w:r>
      <w:r>
        <w:rPr>
          <w:rFonts w:ascii="Times New Roman" w:hAnsi="Times New Roman" w:cs="Times New Roman"/>
          <w:sz w:val="20"/>
          <w:lang w:val="en-US"/>
        </w:rPr>
        <w:t>-y</w:t>
      </w:r>
      <w:r w:rsidRPr="00486F2D">
        <w:rPr>
          <w:rFonts w:ascii="Times New Roman" w:hAnsi="Times New Roman" w:cs="Times New Roman"/>
          <w:sz w:val="20"/>
          <w:lang w:val="en-US"/>
        </w:rPr>
        <w:t>ield</w:t>
      </w:r>
      <w:r>
        <w:rPr>
          <w:rFonts w:ascii="Times New Roman" w:hAnsi="Times New Roman" w:cs="Times New Roman"/>
          <w:sz w:val="20"/>
          <w:lang w:val="en-US"/>
        </w:rPr>
        <w:t xml:space="preserve"> </w:t>
      </w:r>
      <w:r w:rsidRPr="00486F2D">
        <w:rPr>
          <w:rFonts w:ascii="Times New Roman" w:hAnsi="Times New Roman" w:cs="Times New Roman"/>
          <w:sz w:val="20"/>
          <w:lang w:val="en-US"/>
        </w:rPr>
        <w:t xml:space="preserve">corporate bonds limited to the most liquid bond of each company. The most liquid bond is determined in two steps: </w:t>
      </w:r>
      <w:r>
        <w:rPr>
          <w:rFonts w:ascii="Times New Roman" w:hAnsi="Times New Roman" w:cs="Times New Roman"/>
          <w:sz w:val="20"/>
          <w:lang w:val="en-US"/>
        </w:rPr>
        <w:t>(1) L</w:t>
      </w:r>
      <w:r w:rsidRPr="00486F2D">
        <w:rPr>
          <w:rFonts w:ascii="Times New Roman" w:hAnsi="Times New Roman" w:cs="Times New Roman"/>
          <w:sz w:val="20"/>
          <w:lang w:val="en-US"/>
        </w:rPr>
        <w:t xml:space="preserve">imit </w:t>
      </w:r>
      <w:r>
        <w:rPr>
          <w:rFonts w:ascii="Times New Roman" w:hAnsi="Times New Roman" w:cs="Times New Roman"/>
          <w:sz w:val="20"/>
          <w:lang w:val="en-US"/>
        </w:rPr>
        <w:t xml:space="preserve">the set of bonds </w:t>
      </w:r>
      <w:r w:rsidRPr="00486F2D">
        <w:rPr>
          <w:rFonts w:ascii="Times New Roman" w:hAnsi="Times New Roman" w:cs="Times New Roman"/>
          <w:sz w:val="20"/>
          <w:lang w:val="en-US"/>
        </w:rPr>
        <w:t xml:space="preserve">to bonds with an age of at most </w:t>
      </w:r>
      <w:r>
        <w:rPr>
          <w:rFonts w:ascii="Times New Roman" w:hAnsi="Times New Roman" w:cs="Times New Roman"/>
          <w:sz w:val="20"/>
          <w:lang w:val="en-US"/>
        </w:rPr>
        <w:t>two</w:t>
      </w:r>
      <w:r w:rsidRPr="00486F2D">
        <w:rPr>
          <w:rFonts w:ascii="Times New Roman" w:hAnsi="Times New Roman" w:cs="Times New Roman"/>
          <w:sz w:val="20"/>
          <w:lang w:val="en-US"/>
        </w:rPr>
        <w:t xml:space="preserve"> years</w:t>
      </w:r>
      <w:r>
        <w:rPr>
          <w:rFonts w:ascii="Times New Roman" w:hAnsi="Times New Roman" w:cs="Times New Roman"/>
          <w:sz w:val="20"/>
          <w:lang w:val="en-US"/>
        </w:rPr>
        <w:t>, and i</w:t>
      </w:r>
      <w:r w:rsidRPr="00486F2D">
        <w:rPr>
          <w:rFonts w:ascii="Times New Roman" w:hAnsi="Times New Roman" w:cs="Times New Roman"/>
          <w:sz w:val="20"/>
          <w:lang w:val="en-US"/>
        </w:rPr>
        <w:t xml:space="preserve">f no </w:t>
      </w:r>
      <w:r>
        <w:rPr>
          <w:rFonts w:ascii="Times New Roman" w:hAnsi="Times New Roman" w:cs="Times New Roman"/>
          <w:sz w:val="20"/>
          <w:lang w:val="en-US"/>
        </w:rPr>
        <w:t xml:space="preserve">such </w:t>
      </w:r>
      <w:r w:rsidRPr="00486F2D">
        <w:rPr>
          <w:rFonts w:ascii="Times New Roman" w:hAnsi="Times New Roman" w:cs="Times New Roman"/>
          <w:sz w:val="20"/>
          <w:lang w:val="en-US"/>
        </w:rPr>
        <w:t xml:space="preserve">bonds </w:t>
      </w:r>
      <w:r>
        <w:rPr>
          <w:rFonts w:ascii="Times New Roman" w:hAnsi="Times New Roman" w:cs="Times New Roman"/>
          <w:sz w:val="20"/>
          <w:lang w:val="en-US"/>
        </w:rPr>
        <w:t>a</w:t>
      </w:r>
      <w:r w:rsidRPr="00486F2D">
        <w:rPr>
          <w:rFonts w:ascii="Times New Roman" w:hAnsi="Times New Roman" w:cs="Times New Roman"/>
          <w:sz w:val="20"/>
          <w:lang w:val="en-US"/>
        </w:rPr>
        <w:t xml:space="preserve">re found, restrict to an age of at most </w:t>
      </w:r>
      <w:r>
        <w:rPr>
          <w:rFonts w:ascii="Times New Roman" w:hAnsi="Times New Roman" w:cs="Times New Roman"/>
          <w:sz w:val="20"/>
          <w:lang w:val="en-US"/>
        </w:rPr>
        <w:t>four</w:t>
      </w:r>
      <w:r w:rsidRPr="00486F2D">
        <w:rPr>
          <w:rFonts w:ascii="Times New Roman" w:hAnsi="Times New Roman" w:cs="Times New Roman"/>
          <w:sz w:val="20"/>
          <w:lang w:val="en-US"/>
        </w:rPr>
        <w:t xml:space="preserve"> years</w:t>
      </w:r>
      <w:r>
        <w:rPr>
          <w:rFonts w:ascii="Times New Roman" w:hAnsi="Times New Roman" w:cs="Times New Roman"/>
          <w:sz w:val="20"/>
          <w:lang w:val="en-US"/>
        </w:rPr>
        <w:t>—</w:t>
      </w:r>
      <w:r w:rsidRPr="00486F2D">
        <w:rPr>
          <w:rFonts w:ascii="Times New Roman" w:hAnsi="Times New Roman" w:cs="Times New Roman"/>
          <w:sz w:val="20"/>
          <w:lang w:val="en-US"/>
        </w:rPr>
        <w:t xml:space="preserve">if still no bonds </w:t>
      </w:r>
      <w:r>
        <w:rPr>
          <w:rFonts w:ascii="Times New Roman" w:hAnsi="Times New Roman" w:cs="Times New Roman"/>
          <w:sz w:val="20"/>
          <w:lang w:val="en-US"/>
        </w:rPr>
        <w:t>a</w:t>
      </w:r>
      <w:r w:rsidRPr="00486F2D">
        <w:rPr>
          <w:rFonts w:ascii="Times New Roman" w:hAnsi="Times New Roman" w:cs="Times New Roman"/>
          <w:sz w:val="20"/>
          <w:lang w:val="en-US"/>
        </w:rPr>
        <w:t>re found, select all bonds</w:t>
      </w:r>
      <w:r>
        <w:rPr>
          <w:rFonts w:ascii="Times New Roman" w:hAnsi="Times New Roman" w:cs="Times New Roman"/>
          <w:sz w:val="20"/>
          <w:lang w:val="en-US"/>
        </w:rPr>
        <w:t>;</w:t>
      </w:r>
      <w:r w:rsidRPr="00486F2D">
        <w:rPr>
          <w:rFonts w:ascii="Times New Roman" w:hAnsi="Times New Roman" w:cs="Times New Roman"/>
          <w:sz w:val="20"/>
          <w:lang w:val="en-US"/>
        </w:rPr>
        <w:t xml:space="preserve"> </w:t>
      </w:r>
      <w:r>
        <w:rPr>
          <w:rFonts w:ascii="Times New Roman" w:hAnsi="Times New Roman" w:cs="Times New Roman"/>
          <w:sz w:val="20"/>
          <w:lang w:val="en-US"/>
        </w:rPr>
        <w:t>(</w:t>
      </w:r>
      <w:r w:rsidRPr="00486F2D">
        <w:rPr>
          <w:rFonts w:ascii="Times New Roman" w:hAnsi="Times New Roman" w:cs="Times New Roman"/>
          <w:sz w:val="20"/>
          <w:lang w:val="en-US"/>
        </w:rPr>
        <w:t>2</w:t>
      </w:r>
      <w:r>
        <w:rPr>
          <w:rFonts w:ascii="Times New Roman" w:hAnsi="Times New Roman" w:cs="Times New Roman"/>
          <w:sz w:val="20"/>
          <w:lang w:val="en-US"/>
        </w:rPr>
        <w:t>)</w:t>
      </w:r>
      <w:r w:rsidRPr="00486F2D">
        <w:rPr>
          <w:rFonts w:ascii="Times New Roman" w:hAnsi="Times New Roman" w:cs="Times New Roman"/>
          <w:sz w:val="20"/>
          <w:lang w:val="en-US"/>
        </w:rPr>
        <w:t xml:space="preserve"> within the age-restricted set of bonds, select the bond with the largest amount outstanding. See </w:t>
      </w:r>
      <w:r w:rsidRPr="00DE4C5F">
        <w:rPr>
          <w:rFonts w:ascii="Times New Roman" w:hAnsi="Times New Roman" w:cs="Times New Roman"/>
          <w:sz w:val="20"/>
          <w:lang w:val="en-US"/>
        </w:rPr>
        <w:t>Table 3 in the article</w:t>
      </w:r>
      <w:r w:rsidRPr="00486F2D">
        <w:rPr>
          <w:rFonts w:ascii="Times New Roman" w:hAnsi="Times New Roman" w:cs="Times New Roman"/>
          <w:sz w:val="20"/>
          <w:lang w:val="en-US"/>
        </w:rPr>
        <w:t xml:space="preserve"> for details on the construction of the factor portfolios. The left-hand side of the table shows the mean, volatility, Sharpe ratio</w:t>
      </w:r>
      <w:r>
        <w:rPr>
          <w:rFonts w:ascii="Times New Roman" w:hAnsi="Times New Roman" w:cs="Times New Roman"/>
          <w:sz w:val="20"/>
          <w:lang w:val="en-US"/>
        </w:rPr>
        <w:t xml:space="preserve">, and CAPM </w:t>
      </w:r>
      <w:r w:rsidRPr="00486F2D">
        <w:rPr>
          <w:rFonts w:ascii="Times New Roman" w:hAnsi="Times New Roman" w:cs="Times New Roman"/>
          <w:sz w:val="20"/>
          <w:lang w:val="en-US"/>
        </w:rPr>
        <w:t xml:space="preserve">alpha for </w:t>
      </w:r>
      <w:r>
        <w:rPr>
          <w:rFonts w:ascii="Times New Roman" w:hAnsi="Times New Roman" w:cs="Times New Roman"/>
          <w:sz w:val="20"/>
          <w:lang w:val="en-US"/>
        </w:rPr>
        <w:t>i</w:t>
      </w:r>
      <w:r w:rsidRPr="00486F2D">
        <w:rPr>
          <w:rFonts w:ascii="Times New Roman" w:hAnsi="Times New Roman" w:cs="Times New Roman"/>
          <w:sz w:val="20"/>
          <w:lang w:val="en-US"/>
        </w:rPr>
        <w:t xml:space="preserve">nvestment </w:t>
      </w:r>
      <w:r>
        <w:rPr>
          <w:rFonts w:ascii="Times New Roman" w:hAnsi="Times New Roman" w:cs="Times New Roman"/>
          <w:sz w:val="20"/>
          <w:lang w:val="en-US"/>
        </w:rPr>
        <w:t>grade;</w:t>
      </w:r>
      <w:r w:rsidRPr="00486F2D">
        <w:rPr>
          <w:rFonts w:ascii="Times New Roman" w:hAnsi="Times New Roman" w:cs="Times New Roman"/>
          <w:sz w:val="20"/>
          <w:lang w:val="en-US"/>
        </w:rPr>
        <w:t xml:space="preserve"> the right-hand side shows the same for </w:t>
      </w:r>
      <w:r>
        <w:rPr>
          <w:rFonts w:ascii="Times New Roman" w:hAnsi="Times New Roman" w:cs="Times New Roman"/>
          <w:sz w:val="20"/>
          <w:lang w:val="en-US"/>
        </w:rPr>
        <w:t>h</w:t>
      </w:r>
      <w:r w:rsidRPr="00486F2D">
        <w:rPr>
          <w:rFonts w:ascii="Times New Roman" w:hAnsi="Times New Roman" w:cs="Times New Roman"/>
          <w:sz w:val="20"/>
          <w:lang w:val="en-US"/>
        </w:rPr>
        <w:t xml:space="preserve">igh </w:t>
      </w:r>
      <w:r>
        <w:rPr>
          <w:rFonts w:ascii="Times New Roman" w:hAnsi="Times New Roman" w:cs="Times New Roman"/>
          <w:sz w:val="20"/>
          <w:lang w:val="en-US"/>
        </w:rPr>
        <w:t>y</w:t>
      </w:r>
      <w:r w:rsidRPr="00486F2D">
        <w:rPr>
          <w:rFonts w:ascii="Times New Roman" w:hAnsi="Times New Roman" w:cs="Times New Roman"/>
          <w:sz w:val="20"/>
          <w:lang w:val="en-US"/>
        </w:rPr>
        <w:t>ield. Mean, volatility, and alpha are annualized. Corporate bond returns are measured as excess returns v</w:t>
      </w:r>
      <w:r>
        <w:rPr>
          <w:rFonts w:ascii="Times New Roman" w:hAnsi="Times New Roman" w:cs="Times New Roman"/>
          <w:sz w:val="20"/>
          <w:lang w:val="en-US"/>
        </w:rPr>
        <w:t>ersu</w:t>
      </w:r>
      <w:r w:rsidRPr="00486F2D">
        <w:rPr>
          <w:rFonts w:ascii="Times New Roman" w:hAnsi="Times New Roman" w:cs="Times New Roman"/>
          <w:sz w:val="20"/>
          <w:lang w:val="en-US"/>
        </w:rPr>
        <w:t xml:space="preserve">s duration-matched Treasuries. </w:t>
      </w:r>
      <w:r w:rsidRPr="00C37629">
        <w:rPr>
          <w:rFonts w:ascii="Times New Roman" w:hAnsi="Times New Roman" w:cs="Times New Roman"/>
          <w:sz w:val="20"/>
          <w:szCs w:val="20"/>
        </w:rPr>
        <w:t>Statistical significance is determined through two-sided tests of whether</w:t>
      </w:r>
      <w:r w:rsidRPr="00C37629">
        <w:rPr>
          <w:rFonts w:ascii="Times New Roman" w:hAnsi="Times New Roman" w:cs="Times New Roman"/>
          <w:sz w:val="20"/>
          <w:szCs w:val="20"/>
          <w:lang w:val="en-US"/>
        </w:rPr>
        <w:t xml:space="preserve"> the Sharpe ratio is different from the Sharpe ratio of the corporate bond market (</w:t>
      </w:r>
      <w:r w:rsidRPr="00C37629">
        <w:rPr>
          <w:rFonts w:ascii="Times New Roman" w:hAnsi="Times New Roman" w:cs="Times New Roman"/>
          <w:sz w:val="20"/>
          <w:szCs w:val="20"/>
        </w:rPr>
        <w:t>test in Jobson and Korkie 1981</w:t>
      </w:r>
      <w:r w:rsidRPr="00C37629">
        <w:rPr>
          <w:rFonts w:ascii="Times New Roman" w:hAnsi="Times New Roman" w:cs="Times New Roman"/>
          <w:sz w:val="20"/>
          <w:szCs w:val="20"/>
          <w:lang w:val="en-US"/>
        </w:rPr>
        <w:t>) and whether the CAPM alpha is different from zero (</w:t>
      </w:r>
      <w:r w:rsidRPr="00C37629">
        <w:rPr>
          <w:rFonts w:ascii="Times New Roman" w:hAnsi="Times New Roman" w:cs="Times New Roman"/>
          <w:i/>
          <w:sz w:val="20"/>
          <w:szCs w:val="20"/>
          <w:lang w:val="en-US"/>
        </w:rPr>
        <w:t>t</w:t>
      </w:r>
      <w:r w:rsidRPr="00C37629">
        <w:rPr>
          <w:rFonts w:ascii="Times New Roman" w:hAnsi="Times New Roman" w:cs="Times New Roman"/>
          <w:sz w:val="20"/>
          <w:szCs w:val="20"/>
          <w:lang w:val="en-US"/>
        </w:rPr>
        <w:t>-test with Newey</w:t>
      </w:r>
      <w:r>
        <w:rPr>
          <w:rFonts w:ascii="Times New Roman" w:hAnsi="Times New Roman" w:cs="Times New Roman"/>
          <w:sz w:val="20"/>
          <w:szCs w:val="20"/>
          <w:lang w:val="en-US"/>
        </w:rPr>
        <w:t>–</w:t>
      </w:r>
      <w:r w:rsidRPr="00C37629">
        <w:rPr>
          <w:rFonts w:ascii="Times New Roman" w:hAnsi="Times New Roman" w:cs="Times New Roman"/>
          <w:sz w:val="20"/>
          <w:szCs w:val="20"/>
          <w:lang w:val="en-US"/>
        </w:rPr>
        <w:t>West standard errors)</w:t>
      </w:r>
      <w:r w:rsidRPr="00486F2D">
        <w:rPr>
          <w:rFonts w:ascii="Times New Roman" w:hAnsi="Times New Roman" w:cs="Times New Roman"/>
          <w:sz w:val="20"/>
          <w:lang w:val="en-US"/>
        </w:rPr>
        <w:t>.</w:t>
      </w:r>
    </w:p>
    <w:p w14:paraId="455AB8C8" w14:textId="77777777" w:rsidR="00F949B9" w:rsidRPr="00EE064A" w:rsidRDefault="00F949B9" w:rsidP="00F949B9">
      <w:pPr>
        <w:pStyle w:val="TableTitle"/>
        <w:autoSpaceDE w:val="0"/>
        <w:autoSpaceDN w:val="0"/>
        <w:adjustRightInd w:val="0"/>
        <w:spacing w:after="0"/>
        <w:rPr>
          <w:rFonts w:ascii="Times New Roman" w:hAnsi="Times New Roman"/>
          <w:b w:val="0"/>
          <w:sz w:val="20"/>
          <w:szCs w:val="20"/>
        </w:rPr>
      </w:pPr>
      <w:r w:rsidRPr="00EE064A">
        <w:rPr>
          <w:rFonts w:ascii="Times New Roman" w:hAnsi="Times New Roman"/>
          <w:b w:val="0"/>
          <w:sz w:val="20"/>
          <w:szCs w:val="20"/>
        </w:rPr>
        <w:t>*Significant at the 5% level.</w:t>
      </w:r>
    </w:p>
    <w:p w14:paraId="446FA5DA" w14:textId="77777777" w:rsidR="00F949B9" w:rsidRPr="00486F2D" w:rsidRDefault="00F949B9" w:rsidP="00F949B9">
      <w:pPr>
        <w:spacing w:line="276" w:lineRule="auto"/>
        <w:rPr>
          <w:rFonts w:ascii="Times New Roman" w:hAnsi="Times New Roman" w:cs="Times New Roman"/>
          <w:b/>
          <w:sz w:val="20"/>
        </w:rPr>
      </w:pPr>
      <w:r w:rsidRPr="00EE064A">
        <w:rPr>
          <w:rFonts w:ascii="Times New Roman" w:hAnsi="Times New Roman" w:cs="Times New Roman"/>
          <w:b/>
          <w:sz w:val="20"/>
          <w:szCs w:val="20"/>
        </w:rPr>
        <w:t>**</w:t>
      </w:r>
      <w:r w:rsidRPr="00EE064A">
        <w:rPr>
          <w:rFonts w:ascii="Times New Roman" w:hAnsi="Times New Roman" w:cs="Times New Roman"/>
          <w:sz w:val="20"/>
          <w:szCs w:val="20"/>
        </w:rPr>
        <w:t>Significant at the 1% level.</w:t>
      </w:r>
    </w:p>
    <w:p w14:paraId="4E1459C5" w14:textId="3887ACEF" w:rsidR="005269AF" w:rsidRPr="00B22F11" w:rsidRDefault="005269AF" w:rsidP="00486F2D">
      <w:pPr>
        <w:pStyle w:val="Heading2"/>
        <w:rPr>
          <w:rFonts w:cs="Times New Roman"/>
          <w:i w:val="0"/>
          <w:sz w:val="24"/>
          <w:szCs w:val="24"/>
        </w:rPr>
      </w:pPr>
      <w:r w:rsidRPr="00B22F11">
        <w:rPr>
          <w:rFonts w:cs="Times New Roman"/>
          <w:i w:val="0"/>
          <w:sz w:val="24"/>
          <w:szCs w:val="24"/>
        </w:rPr>
        <w:t xml:space="preserve">Other </w:t>
      </w:r>
      <w:r w:rsidR="00B22F11" w:rsidRPr="00B22F11">
        <w:rPr>
          <w:rFonts w:cs="Times New Roman"/>
          <w:i w:val="0"/>
          <w:sz w:val="24"/>
          <w:szCs w:val="24"/>
        </w:rPr>
        <w:t>R</w:t>
      </w:r>
      <w:r w:rsidRPr="00B22F11">
        <w:rPr>
          <w:rFonts w:cs="Times New Roman"/>
          <w:i w:val="0"/>
          <w:sz w:val="24"/>
          <w:szCs w:val="24"/>
        </w:rPr>
        <w:t xml:space="preserve">obustness </w:t>
      </w:r>
      <w:r w:rsidR="00B22F11" w:rsidRPr="00B22F11">
        <w:rPr>
          <w:rFonts w:cs="Times New Roman"/>
          <w:i w:val="0"/>
          <w:sz w:val="24"/>
          <w:szCs w:val="24"/>
        </w:rPr>
        <w:t>C</w:t>
      </w:r>
      <w:r w:rsidRPr="00B22F11">
        <w:rPr>
          <w:rFonts w:cs="Times New Roman"/>
          <w:i w:val="0"/>
          <w:sz w:val="24"/>
          <w:szCs w:val="24"/>
        </w:rPr>
        <w:t>hecks</w:t>
      </w:r>
    </w:p>
    <w:p w14:paraId="7DC4C569" w14:textId="32DABBFC" w:rsidR="005269AF" w:rsidRPr="00714B7B" w:rsidRDefault="00026274" w:rsidP="00486F2D">
      <w:pPr>
        <w:spacing w:line="480" w:lineRule="auto"/>
        <w:rPr>
          <w:rFonts w:ascii="Times New Roman" w:hAnsi="Times New Roman" w:cs="Times New Roman"/>
          <w:sz w:val="24"/>
          <w:szCs w:val="24"/>
          <w:highlight w:val="yellow"/>
          <w:lang w:val="en-US"/>
        </w:rPr>
      </w:pPr>
      <w:r>
        <w:rPr>
          <w:rFonts w:ascii="Times New Roman" w:hAnsi="Times New Roman" w:cs="Times New Roman"/>
          <w:sz w:val="24"/>
          <w:szCs w:val="24"/>
          <w:lang w:val="en-US"/>
        </w:rPr>
        <w:t>W</w:t>
      </w:r>
      <w:r w:rsidR="005269AF" w:rsidRPr="00486F2D">
        <w:rPr>
          <w:rFonts w:ascii="Times New Roman" w:hAnsi="Times New Roman" w:cs="Times New Roman"/>
          <w:sz w:val="24"/>
          <w:szCs w:val="24"/>
          <w:lang w:val="en-US"/>
        </w:rPr>
        <w:t xml:space="preserve">e conduct three additional robustness checks (tables are available </w:t>
      </w:r>
      <w:r w:rsidR="003C113C">
        <w:rPr>
          <w:rFonts w:ascii="Times New Roman" w:hAnsi="Times New Roman" w:cs="Times New Roman"/>
          <w:sz w:val="24"/>
          <w:szCs w:val="24"/>
          <w:lang w:val="en-US"/>
        </w:rPr>
        <w:t>up</w:t>
      </w:r>
      <w:r w:rsidR="005269AF" w:rsidRPr="00486F2D">
        <w:rPr>
          <w:rFonts w:ascii="Times New Roman" w:hAnsi="Times New Roman" w:cs="Times New Roman"/>
          <w:sz w:val="24"/>
          <w:szCs w:val="24"/>
          <w:lang w:val="en-US"/>
        </w:rPr>
        <w:t>on request). First, we evaluate market value</w:t>
      </w:r>
      <w:r w:rsidR="005269AF" w:rsidRPr="00486F2D">
        <w:rPr>
          <w:rFonts w:ascii="Times New Roman" w:hAnsi="Times New Roman" w:cs="Times New Roman"/>
          <w:color w:val="000000"/>
          <w:sz w:val="24"/>
          <w:szCs w:val="24"/>
          <w:lang w:val="en-US"/>
        </w:rPr>
        <w:t>-</w:t>
      </w:r>
      <w:r w:rsidR="005269AF" w:rsidRPr="00486F2D">
        <w:rPr>
          <w:rFonts w:ascii="Times New Roman" w:hAnsi="Times New Roman" w:cs="Times New Roman"/>
          <w:sz w:val="24"/>
          <w:szCs w:val="24"/>
          <w:lang w:val="en-US"/>
        </w:rPr>
        <w:t xml:space="preserve">weighted portfolios instead of equally weighted portfolios. This means that </w:t>
      </w:r>
      <w:r w:rsidR="005269AF" w:rsidRPr="00486F2D">
        <w:rPr>
          <w:rFonts w:ascii="Times New Roman" w:hAnsi="Times New Roman" w:cs="Times New Roman"/>
          <w:color w:val="000000"/>
          <w:sz w:val="24"/>
          <w:szCs w:val="24"/>
          <w:lang w:val="en-US"/>
        </w:rPr>
        <w:t>the portfolios</w:t>
      </w:r>
      <w:r w:rsidR="005269AF" w:rsidRPr="00486F2D">
        <w:rPr>
          <w:rFonts w:ascii="Times New Roman" w:hAnsi="Times New Roman" w:cs="Times New Roman"/>
          <w:sz w:val="24"/>
          <w:szCs w:val="24"/>
          <w:lang w:val="en-US"/>
        </w:rPr>
        <w:t xml:space="preserve"> do not benefit from the </w:t>
      </w:r>
      <w:r w:rsidR="002B2494">
        <w:rPr>
          <w:rFonts w:ascii="Times New Roman" w:hAnsi="Times New Roman" w:cs="Times New Roman"/>
          <w:sz w:val="24"/>
          <w:szCs w:val="24"/>
          <w:lang w:val="en-US"/>
        </w:rPr>
        <w:t>s</w:t>
      </w:r>
      <w:r w:rsidR="005269AF" w:rsidRPr="00486F2D">
        <w:rPr>
          <w:rFonts w:ascii="Times New Roman" w:hAnsi="Times New Roman" w:cs="Times New Roman"/>
          <w:sz w:val="24"/>
          <w:szCs w:val="24"/>
          <w:lang w:val="en-US"/>
        </w:rPr>
        <w:t>ize premium, leading to lower returns. The return</w:t>
      </w:r>
      <w:r w:rsidR="001F3801">
        <w:rPr>
          <w:rFonts w:ascii="Times New Roman" w:hAnsi="Times New Roman" w:cs="Times New Roman"/>
          <w:sz w:val="24"/>
          <w:szCs w:val="24"/>
          <w:lang w:val="en-US"/>
        </w:rPr>
        <w:t>s</w:t>
      </w:r>
      <w:r w:rsidR="005269AF" w:rsidRPr="00486F2D">
        <w:rPr>
          <w:rFonts w:ascii="Times New Roman" w:hAnsi="Times New Roman" w:cs="Times New Roman"/>
          <w:sz w:val="24"/>
          <w:szCs w:val="24"/>
          <w:lang w:val="en-US"/>
        </w:rPr>
        <w:t xml:space="preserve"> of the multi-factor portfolio</w:t>
      </w:r>
      <w:r w:rsidR="003F1311">
        <w:rPr>
          <w:rFonts w:ascii="Times New Roman" w:hAnsi="Times New Roman" w:cs="Times New Roman"/>
          <w:sz w:val="24"/>
          <w:szCs w:val="24"/>
          <w:lang w:val="en-US"/>
        </w:rPr>
        <w:t>s</w:t>
      </w:r>
      <w:r w:rsidR="005269AF" w:rsidRPr="00486F2D">
        <w:rPr>
          <w:rFonts w:ascii="Times New Roman" w:hAnsi="Times New Roman" w:cs="Times New Roman"/>
          <w:sz w:val="24"/>
          <w:szCs w:val="24"/>
          <w:lang w:val="en-US"/>
        </w:rPr>
        <w:t xml:space="preserve"> decrease from 1.28% (5.64%) to 1.09% (5.03%) for </w:t>
      </w:r>
      <w:r w:rsidR="002B2494">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 xml:space="preserve">nvestment </w:t>
      </w:r>
      <w:r w:rsidR="002B2494">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rade (</w:t>
      </w:r>
      <w:r w:rsidR="002B2494">
        <w:rPr>
          <w:rFonts w:ascii="Times New Roman" w:hAnsi="Times New Roman" w:cs="Times New Roman"/>
          <w:sz w:val="24"/>
          <w:szCs w:val="24"/>
          <w:lang w:val="en-US"/>
        </w:rPr>
        <w:t>h</w:t>
      </w:r>
      <w:r w:rsidR="005269AF" w:rsidRPr="00486F2D">
        <w:rPr>
          <w:rFonts w:ascii="Times New Roman" w:hAnsi="Times New Roman" w:cs="Times New Roman"/>
          <w:sz w:val="24"/>
          <w:szCs w:val="24"/>
          <w:lang w:val="en-US"/>
        </w:rPr>
        <w:t xml:space="preserve">igh </w:t>
      </w:r>
      <w:r w:rsidR="002B2494">
        <w:rPr>
          <w:rFonts w:ascii="Times New Roman" w:hAnsi="Times New Roman" w:cs="Times New Roman"/>
          <w:sz w:val="24"/>
          <w:szCs w:val="24"/>
          <w:lang w:val="en-US"/>
        </w:rPr>
        <w:t>y</w:t>
      </w:r>
      <w:r w:rsidR="005269AF" w:rsidRPr="00486F2D">
        <w:rPr>
          <w:rFonts w:ascii="Times New Roman" w:hAnsi="Times New Roman" w:cs="Times New Roman"/>
          <w:sz w:val="24"/>
          <w:szCs w:val="24"/>
          <w:lang w:val="en-US"/>
        </w:rPr>
        <w:t>ield). The Sharpe ratios also drop</w:t>
      </w:r>
      <w:r w:rsidR="002B2494">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to 0.27 and 0.49 from 0.32 and 0.56</w:t>
      </w:r>
      <w:r w:rsidR="002B2494">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respectively, but are still highly significant</w:t>
      </w:r>
      <w:r w:rsidR="002B2494">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with </w:t>
      </w:r>
      <w:r w:rsidR="005269AF" w:rsidRPr="00486F2D">
        <w:rPr>
          <w:rFonts w:ascii="Times New Roman" w:hAnsi="Times New Roman" w:cs="Times New Roman"/>
          <w:i/>
          <w:iCs/>
          <w:sz w:val="24"/>
          <w:szCs w:val="24"/>
          <w:lang w:val="en-US"/>
        </w:rPr>
        <w:t>t</w:t>
      </w:r>
      <w:r w:rsidR="005269AF" w:rsidRPr="00486F2D">
        <w:rPr>
          <w:rFonts w:ascii="Times New Roman" w:hAnsi="Times New Roman" w:cs="Times New Roman"/>
          <w:sz w:val="24"/>
          <w:szCs w:val="24"/>
          <w:lang w:val="en-US"/>
        </w:rPr>
        <w:t xml:space="preserve">-statistics larger than 3.0. A similar picture </w:t>
      </w:r>
      <w:r w:rsidR="005269AF" w:rsidRPr="00486F2D">
        <w:rPr>
          <w:rFonts w:ascii="Times New Roman" w:hAnsi="Times New Roman" w:cs="Times New Roman"/>
          <w:color w:val="000000"/>
          <w:sz w:val="24"/>
          <w:szCs w:val="24"/>
          <w:lang w:val="en-US"/>
        </w:rPr>
        <w:t>emerges</w:t>
      </w:r>
      <w:r w:rsidR="005269AF" w:rsidRPr="00486F2D">
        <w:rPr>
          <w:rFonts w:ascii="Times New Roman" w:hAnsi="Times New Roman" w:cs="Times New Roman"/>
          <w:sz w:val="24"/>
          <w:szCs w:val="24"/>
          <w:lang w:val="en-US"/>
        </w:rPr>
        <w:t xml:space="preserve"> for the CAPM</w:t>
      </w:r>
      <w:r w:rsidR="002B2494">
        <w:rPr>
          <w:rFonts w:ascii="Times New Roman" w:hAnsi="Times New Roman" w:cs="Times New Roman"/>
          <w:sz w:val="24"/>
          <w:szCs w:val="24"/>
          <w:lang w:val="en-US"/>
        </w:rPr>
        <w:t xml:space="preserve"> </w:t>
      </w:r>
      <w:r w:rsidR="005269AF" w:rsidRPr="00486F2D">
        <w:rPr>
          <w:rFonts w:ascii="Times New Roman" w:hAnsi="Times New Roman" w:cs="Times New Roman"/>
          <w:sz w:val="24"/>
          <w:szCs w:val="24"/>
          <w:lang w:val="en-US"/>
        </w:rPr>
        <w:t>alphas. The alpha</w:t>
      </w:r>
      <w:r w:rsidR="00F11D29">
        <w:rPr>
          <w:rFonts w:ascii="Times New Roman" w:hAnsi="Times New Roman" w:cs="Times New Roman"/>
          <w:sz w:val="24"/>
          <w:szCs w:val="24"/>
          <w:lang w:val="en-US"/>
        </w:rPr>
        <w:t>s</w:t>
      </w:r>
      <w:r w:rsidR="005269AF" w:rsidRPr="00486F2D">
        <w:rPr>
          <w:rFonts w:ascii="Times New Roman" w:hAnsi="Times New Roman" w:cs="Times New Roman"/>
          <w:sz w:val="24"/>
          <w:szCs w:val="24"/>
          <w:lang w:val="en-US"/>
        </w:rPr>
        <w:t xml:space="preserve"> drop from 0.84% (3.49%) to 0.64% (2.78%) for </w:t>
      </w:r>
      <w:r w:rsidR="002B2494">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 xml:space="preserve">nvestment </w:t>
      </w:r>
      <w:r w:rsidR="002B2494">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rade (</w:t>
      </w:r>
      <w:r w:rsidR="002B2494">
        <w:rPr>
          <w:rFonts w:ascii="Times New Roman" w:hAnsi="Times New Roman" w:cs="Times New Roman"/>
          <w:sz w:val="24"/>
          <w:szCs w:val="24"/>
          <w:lang w:val="en-US"/>
        </w:rPr>
        <w:t>h</w:t>
      </w:r>
      <w:r w:rsidR="005269AF" w:rsidRPr="00486F2D">
        <w:rPr>
          <w:rFonts w:ascii="Times New Roman" w:hAnsi="Times New Roman" w:cs="Times New Roman"/>
          <w:sz w:val="24"/>
          <w:szCs w:val="24"/>
          <w:lang w:val="en-US"/>
        </w:rPr>
        <w:t xml:space="preserve">igh </w:t>
      </w:r>
      <w:r w:rsidR="002B2494">
        <w:rPr>
          <w:rFonts w:ascii="Times New Roman" w:hAnsi="Times New Roman" w:cs="Times New Roman"/>
          <w:sz w:val="24"/>
          <w:szCs w:val="24"/>
          <w:lang w:val="en-US"/>
        </w:rPr>
        <w:t>y</w:t>
      </w:r>
      <w:r w:rsidR="005269AF" w:rsidRPr="00486F2D">
        <w:rPr>
          <w:rFonts w:ascii="Times New Roman" w:hAnsi="Times New Roman" w:cs="Times New Roman"/>
          <w:sz w:val="24"/>
          <w:szCs w:val="24"/>
          <w:lang w:val="en-US"/>
        </w:rPr>
        <w:t>ield)</w:t>
      </w:r>
      <w:r w:rsidR="007D4ED2">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w:t>
      </w:r>
      <w:r w:rsidR="007D4ED2">
        <w:rPr>
          <w:rFonts w:ascii="Times New Roman" w:hAnsi="Times New Roman" w:cs="Times New Roman"/>
          <w:sz w:val="24"/>
          <w:szCs w:val="24"/>
          <w:lang w:val="en-US"/>
        </w:rPr>
        <w:t>t</w:t>
      </w:r>
      <w:r w:rsidR="005269AF" w:rsidRPr="00714B7B">
        <w:rPr>
          <w:rFonts w:ascii="Times New Roman" w:hAnsi="Times New Roman" w:cs="Times New Roman"/>
          <w:sz w:val="24"/>
          <w:szCs w:val="24"/>
          <w:lang w:val="en-US"/>
        </w:rPr>
        <w:t xml:space="preserve">he </w:t>
      </w:r>
      <w:r w:rsidR="005269AF" w:rsidRPr="00714B7B">
        <w:rPr>
          <w:rFonts w:ascii="Times New Roman" w:hAnsi="Times New Roman" w:cs="Times New Roman"/>
          <w:i/>
          <w:iCs/>
          <w:sz w:val="24"/>
          <w:szCs w:val="24"/>
          <w:lang w:val="en-US"/>
        </w:rPr>
        <w:t>t</w:t>
      </w:r>
      <w:r w:rsidR="005269AF" w:rsidRPr="00714B7B">
        <w:rPr>
          <w:rFonts w:ascii="Times New Roman" w:hAnsi="Times New Roman" w:cs="Times New Roman"/>
          <w:sz w:val="24"/>
          <w:szCs w:val="24"/>
          <w:lang w:val="en-US"/>
        </w:rPr>
        <w:t>-statistics remain high at 2.49 (3.21).</w:t>
      </w:r>
    </w:p>
    <w:p w14:paraId="00D64E1A" w14:textId="46A4CD52" w:rsidR="005269AF" w:rsidRPr="00486F2D" w:rsidRDefault="005269AF" w:rsidP="00486F2D">
      <w:pPr>
        <w:spacing w:line="480" w:lineRule="auto"/>
        <w:rPr>
          <w:rFonts w:ascii="Times New Roman" w:hAnsi="Times New Roman" w:cs="Times New Roman"/>
          <w:sz w:val="24"/>
          <w:szCs w:val="24"/>
          <w:lang w:val="en-US"/>
        </w:rPr>
      </w:pPr>
      <w:r w:rsidRPr="00486F2D">
        <w:rPr>
          <w:rFonts w:ascii="Times New Roman" w:hAnsi="Times New Roman" w:cs="Times New Roman"/>
          <w:sz w:val="24"/>
          <w:szCs w:val="24"/>
          <w:lang w:val="en-US"/>
        </w:rPr>
        <w:t xml:space="preserve">Second, we </w:t>
      </w:r>
      <w:r w:rsidRPr="00486F2D">
        <w:rPr>
          <w:rFonts w:ascii="Times New Roman" w:hAnsi="Times New Roman" w:cs="Times New Roman"/>
          <w:color w:val="000000"/>
          <w:sz w:val="24"/>
          <w:szCs w:val="24"/>
          <w:lang w:val="en-US"/>
        </w:rPr>
        <w:t>evaluate the factors using</w:t>
      </w:r>
      <w:r w:rsidRPr="00486F2D">
        <w:rPr>
          <w:rFonts w:ascii="Times New Roman" w:hAnsi="Times New Roman" w:cs="Times New Roman"/>
          <w:sz w:val="24"/>
          <w:szCs w:val="24"/>
          <w:lang w:val="en-US"/>
        </w:rPr>
        <w:t xml:space="preserve"> quintile portfolios instead of decile portfolios. In general, the results become a bit weaker, </w:t>
      </w:r>
      <w:r w:rsidR="00E2309F">
        <w:rPr>
          <w:rFonts w:ascii="Times New Roman" w:hAnsi="Times New Roman" w:cs="Times New Roman"/>
          <w:sz w:val="24"/>
          <w:szCs w:val="24"/>
          <w:lang w:val="en-US"/>
        </w:rPr>
        <w:t>because</w:t>
      </w:r>
      <w:r w:rsidRPr="00486F2D">
        <w:rPr>
          <w:rFonts w:ascii="Times New Roman" w:hAnsi="Times New Roman" w:cs="Times New Roman"/>
          <w:sz w:val="24"/>
          <w:szCs w:val="24"/>
          <w:lang w:val="en-US"/>
        </w:rPr>
        <w:t xml:space="preserve"> the portfolios are less</w:t>
      </w:r>
      <w:r w:rsidRPr="00486F2D">
        <w:rPr>
          <w:rFonts w:ascii="Times New Roman" w:hAnsi="Times New Roman" w:cs="Times New Roman"/>
          <w:color w:val="000000"/>
          <w:sz w:val="24"/>
          <w:szCs w:val="24"/>
          <w:lang w:val="en-US"/>
        </w:rPr>
        <w:t xml:space="preserve"> tilted to</w:t>
      </w:r>
      <w:r w:rsidR="00BA4844">
        <w:rPr>
          <w:rFonts w:ascii="Times New Roman" w:hAnsi="Times New Roman" w:cs="Times New Roman"/>
          <w:color w:val="000000"/>
          <w:sz w:val="24"/>
          <w:szCs w:val="24"/>
          <w:lang w:val="en-US"/>
        </w:rPr>
        <w:t>ward</w:t>
      </w:r>
      <w:r w:rsidRPr="00486F2D">
        <w:rPr>
          <w:rFonts w:ascii="Times New Roman" w:hAnsi="Times New Roman" w:cs="Times New Roman"/>
          <w:color w:val="000000"/>
          <w:sz w:val="24"/>
          <w:szCs w:val="24"/>
          <w:lang w:val="en-US"/>
        </w:rPr>
        <w:t xml:space="preserve"> the factors</w:t>
      </w:r>
      <w:r w:rsidRPr="00486F2D">
        <w:rPr>
          <w:rFonts w:ascii="Times New Roman" w:hAnsi="Times New Roman" w:cs="Times New Roman"/>
          <w:sz w:val="24"/>
          <w:szCs w:val="24"/>
          <w:lang w:val="en-US"/>
        </w:rPr>
        <w:t>. The return</w:t>
      </w:r>
      <w:r w:rsidR="00801A60">
        <w:rPr>
          <w:rFonts w:ascii="Times New Roman" w:hAnsi="Times New Roman" w:cs="Times New Roman"/>
          <w:sz w:val="24"/>
          <w:szCs w:val="24"/>
          <w:lang w:val="en-US"/>
        </w:rPr>
        <w:t>s</w:t>
      </w:r>
      <w:r w:rsidRPr="00486F2D">
        <w:rPr>
          <w:rFonts w:ascii="Times New Roman" w:hAnsi="Times New Roman" w:cs="Times New Roman"/>
          <w:sz w:val="24"/>
          <w:szCs w:val="24"/>
          <w:lang w:val="en-US"/>
        </w:rPr>
        <w:t xml:space="preserve"> of the multi-factor portfolio</w:t>
      </w:r>
      <w:r w:rsidR="003F1311">
        <w:rPr>
          <w:rFonts w:ascii="Times New Roman" w:hAnsi="Times New Roman" w:cs="Times New Roman"/>
          <w:sz w:val="24"/>
          <w:szCs w:val="24"/>
          <w:lang w:val="en-US"/>
        </w:rPr>
        <w:t>s</w:t>
      </w:r>
      <w:r w:rsidRPr="00486F2D">
        <w:rPr>
          <w:rFonts w:ascii="Times New Roman" w:hAnsi="Times New Roman" w:cs="Times New Roman"/>
          <w:sz w:val="24"/>
          <w:szCs w:val="24"/>
          <w:lang w:val="en-US"/>
        </w:rPr>
        <w:t xml:space="preserve"> decrease from 1.28% (5.64%) to 1.18% (4.63%) for </w:t>
      </w:r>
      <w:r w:rsidR="00E2309F">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E2309F">
        <w:rPr>
          <w:rFonts w:ascii="Times New Roman" w:hAnsi="Times New Roman" w:cs="Times New Roman"/>
          <w:sz w:val="24"/>
          <w:szCs w:val="24"/>
          <w:lang w:val="en-US"/>
        </w:rPr>
        <w:t>g</w:t>
      </w:r>
      <w:r w:rsidRPr="00486F2D">
        <w:rPr>
          <w:rFonts w:ascii="Times New Roman" w:hAnsi="Times New Roman" w:cs="Times New Roman"/>
          <w:sz w:val="24"/>
          <w:szCs w:val="24"/>
          <w:lang w:val="en-US"/>
        </w:rPr>
        <w:t>rade (</w:t>
      </w:r>
      <w:r w:rsidR="00E2309F">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E2309F">
        <w:rPr>
          <w:rFonts w:ascii="Times New Roman" w:hAnsi="Times New Roman" w:cs="Times New Roman"/>
          <w:sz w:val="24"/>
          <w:szCs w:val="24"/>
          <w:lang w:val="en-US"/>
        </w:rPr>
        <w:t>y</w:t>
      </w:r>
      <w:r w:rsidRPr="00486F2D">
        <w:rPr>
          <w:rFonts w:ascii="Times New Roman" w:hAnsi="Times New Roman" w:cs="Times New Roman"/>
          <w:sz w:val="24"/>
          <w:szCs w:val="24"/>
          <w:lang w:val="en-US"/>
        </w:rPr>
        <w:t>ield). The Sharpe ratios drop to 0.31 and 0.48</w:t>
      </w:r>
      <w:r w:rsidR="00E2309F">
        <w:rPr>
          <w:rFonts w:ascii="Times New Roman" w:hAnsi="Times New Roman" w:cs="Times New Roman"/>
          <w:sz w:val="24"/>
          <w:szCs w:val="24"/>
          <w:lang w:val="en-US"/>
        </w:rPr>
        <w:t>,</w:t>
      </w:r>
      <w:r w:rsidRPr="00486F2D">
        <w:rPr>
          <w:rFonts w:ascii="Times New Roman" w:hAnsi="Times New Roman" w:cs="Times New Roman"/>
          <w:sz w:val="24"/>
          <w:szCs w:val="24"/>
          <w:lang w:val="en-US"/>
        </w:rPr>
        <w:t xml:space="preserve"> respectively. However, the </w:t>
      </w:r>
      <w:r w:rsidRPr="00486F2D">
        <w:rPr>
          <w:rFonts w:ascii="Times New Roman" w:hAnsi="Times New Roman" w:cs="Times New Roman"/>
          <w:i/>
          <w:iCs/>
          <w:sz w:val="24"/>
          <w:szCs w:val="24"/>
          <w:lang w:val="en-US"/>
        </w:rPr>
        <w:t>t</w:t>
      </w:r>
      <w:r w:rsidRPr="00486F2D">
        <w:rPr>
          <w:rFonts w:ascii="Times New Roman" w:hAnsi="Times New Roman" w:cs="Times New Roman"/>
          <w:sz w:val="24"/>
          <w:szCs w:val="24"/>
          <w:lang w:val="en-US"/>
        </w:rPr>
        <w:t xml:space="preserve">-statistics remain large </w:t>
      </w:r>
      <w:r w:rsidR="00E2309F">
        <w:rPr>
          <w:rFonts w:ascii="Times New Roman" w:hAnsi="Times New Roman" w:cs="Times New Roman"/>
          <w:sz w:val="24"/>
          <w:szCs w:val="24"/>
          <w:lang w:val="en-US"/>
        </w:rPr>
        <w:t>(</w:t>
      </w:r>
      <w:r w:rsidRPr="00486F2D">
        <w:rPr>
          <w:rFonts w:ascii="Times New Roman" w:hAnsi="Times New Roman" w:cs="Times New Roman"/>
          <w:sz w:val="24"/>
          <w:szCs w:val="24"/>
          <w:lang w:val="en-US"/>
        </w:rPr>
        <w:t>3.49 and 3.52</w:t>
      </w:r>
      <w:r w:rsidR="00E2309F">
        <w:rPr>
          <w:rFonts w:ascii="Times New Roman" w:hAnsi="Times New Roman" w:cs="Times New Roman"/>
          <w:sz w:val="24"/>
          <w:szCs w:val="24"/>
          <w:lang w:val="en-US"/>
        </w:rPr>
        <w:t>)</w:t>
      </w:r>
      <w:r w:rsidRPr="00486F2D">
        <w:rPr>
          <w:rFonts w:ascii="Times New Roman" w:hAnsi="Times New Roman" w:cs="Times New Roman"/>
          <w:sz w:val="24"/>
          <w:szCs w:val="24"/>
          <w:lang w:val="en-US"/>
        </w:rPr>
        <w:t>, indicating that the multi-factor portfolios still perform significantly better than the corporate bond market. Also</w:t>
      </w:r>
      <w:r w:rsidRPr="00486F2D">
        <w:rPr>
          <w:rFonts w:ascii="Times New Roman" w:hAnsi="Times New Roman" w:cs="Times New Roman"/>
          <w:color w:val="000000"/>
          <w:sz w:val="24"/>
          <w:szCs w:val="24"/>
          <w:lang w:val="en-US"/>
        </w:rPr>
        <w:t>,</w:t>
      </w:r>
      <w:r w:rsidRPr="00486F2D">
        <w:rPr>
          <w:rFonts w:ascii="Times New Roman" w:hAnsi="Times New Roman" w:cs="Times New Roman"/>
          <w:sz w:val="24"/>
          <w:szCs w:val="24"/>
          <w:lang w:val="en-US"/>
        </w:rPr>
        <w:t xml:space="preserve"> the alphas remain large and highly significant at 0.75% and 2.50% for </w:t>
      </w:r>
      <w:r w:rsidR="00E2309F">
        <w:rPr>
          <w:rFonts w:ascii="Times New Roman" w:hAnsi="Times New Roman" w:cs="Times New Roman"/>
          <w:sz w:val="24"/>
          <w:szCs w:val="24"/>
          <w:lang w:val="en-US"/>
        </w:rPr>
        <w:t>i</w:t>
      </w:r>
      <w:r w:rsidRPr="00486F2D">
        <w:rPr>
          <w:rFonts w:ascii="Times New Roman" w:hAnsi="Times New Roman" w:cs="Times New Roman"/>
          <w:sz w:val="24"/>
          <w:szCs w:val="24"/>
          <w:lang w:val="en-US"/>
        </w:rPr>
        <w:t xml:space="preserve">nvestment </w:t>
      </w:r>
      <w:r w:rsidR="00E2309F">
        <w:rPr>
          <w:rFonts w:ascii="Times New Roman" w:hAnsi="Times New Roman" w:cs="Times New Roman"/>
          <w:sz w:val="24"/>
          <w:szCs w:val="24"/>
          <w:lang w:val="en-US"/>
        </w:rPr>
        <w:t>g</w:t>
      </w:r>
      <w:r w:rsidRPr="00486F2D">
        <w:rPr>
          <w:rFonts w:ascii="Times New Roman" w:hAnsi="Times New Roman" w:cs="Times New Roman"/>
          <w:sz w:val="24"/>
          <w:szCs w:val="24"/>
          <w:lang w:val="en-US"/>
        </w:rPr>
        <w:t xml:space="preserve">rade and </w:t>
      </w:r>
      <w:r w:rsidR="00E2309F">
        <w:rPr>
          <w:rFonts w:ascii="Times New Roman" w:hAnsi="Times New Roman" w:cs="Times New Roman"/>
          <w:sz w:val="24"/>
          <w:szCs w:val="24"/>
          <w:lang w:val="en-US"/>
        </w:rPr>
        <w:t>h</w:t>
      </w:r>
      <w:r w:rsidRPr="00486F2D">
        <w:rPr>
          <w:rFonts w:ascii="Times New Roman" w:hAnsi="Times New Roman" w:cs="Times New Roman"/>
          <w:sz w:val="24"/>
          <w:szCs w:val="24"/>
          <w:lang w:val="en-US"/>
        </w:rPr>
        <w:t xml:space="preserve">igh </w:t>
      </w:r>
      <w:r w:rsidR="00E2309F">
        <w:rPr>
          <w:rFonts w:ascii="Times New Roman" w:hAnsi="Times New Roman" w:cs="Times New Roman"/>
          <w:sz w:val="24"/>
          <w:szCs w:val="24"/>
          <w:lang w:val="en-US"/>
        </w:rPr>
        <w:t>y</w:t>
      </w:r>
      <w:r w:rsidRPr="00486F2D">
        <w:rPr>
          <w:rFonts w:ascii="Times New Roman" w:hAnsi="Times New Roman" w:cs="Times New Roman"/>
          <w:sz w:val="24"/>
          <w:szCs w:val="24"/>
          <w:lang w:val="en-US"/>
        </w:rPr>
        <w:t>ield.</w:t>
      </w:r>
    </w:p>
    <w:p w14:paraId="08844600" w14:textId="34D0E203" w:rsidR="008461E3" w:rsidRDefault="009D48FD" w:rsidP="00486F2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Finally</w:t>
      </w:r>
      <w:r w:rsidR="005269AF" w:rsidRPr="00486F2D">
        <w:rPr>
          <w:rFonts w:ascii="Times New Roman" w:hAnsi="Times New Roman" w:cs="Times New Roman"/>
          <w:sz w:val="24"/>
          <w:szCs w:val="24"/>
          <w:lang w:val="en-US"/>
        </w:rPr>
        <w:t xml:space="preserve">, we check the robustness of our results in subsamples. </w:t>
      </w:r>
      <w:r>
        <w:rPr>
          <w:rFonts w:ascii="Times New Roman" w:hAnsi="Times New Roman" w:cs="Times New Roman"/>
          <w:sz w:val="24"/>
          <w:szCs w:val="24"/>
          <w:lang w:val="en-US"/>
        </w:rPr>
        <w:t>F</w:t>
      </w:r>
      <w:r w:rsidRPr="00486F2D">
        <w:rPr>
          <w:rFonts w:ascii="Times New Roman" w:hAnsi="Times New Roman" w:cs="Times New Roman"/>
          <w:sz w:val="24"/>
          <w:szCs w:val="24"/>
          <w:lang w:val="en-US"/>
        </w:rPr>
        <w:t>or example,</w:t>
      </w:r>
      <w:r>
        <w:rPr>
          <w:rFonts w:ascii="Times New Roman" w:hAnsi="Times New Roman" w:cs="Times New Roman"/>
          <w:sz w:val="24"/>
          <w:szCs w:val="24"/>
          <w:lang w:val="en-US"/>
        </w:rPr>
        <w:t xml:space="preserve"> i</w:t>
      </w:r>
      <w:r w:rsidR="005269AF" w:rsidRPr="00486F2D">
        <w:rPr>
          <w:rFonts w:ascii="Times New Roman" w:hAnsi="Times New Roman" w:cs="Times New Roman"/>
          <w:sz w:val="24"/>
          <w:szCs w:val="24"/>
          <w:lang w:val="en-US"/>
        </w:rPr>
        <w:t>t could be that our results are driven by the higher market volatility since 2007. We split our sample in</w:t>
      </w:r>
      <w:r w:rsidR="00F241AF">
        <w:rPr>
          <w:rFonts w:ascii="Times New Roman" w:hAnsi="Times New Roman" w:cs="Times New Roman"/>
          <w:sz w:val="24"/>
          <w:szCs w:val="24"/>
          <w:lang w:val="en-US"/>
        </w:rPr>
        <w:t>to</w:t>
      </w:r>
      <w:r w:rsidR="005269AF" w:rsidRPr="00486F2D">
        <w:rPr>
          <w:rFonts w:ascii="Times New Roman" w:hAnsi="Times New Roman" w:cs="Times New Roman"/>
          <w:sz w:val="24"/>
          <w:szCs w:val="24"/>
          <w:lang w:val="en-US"/>
        </w:rPr>
        <w:t xml:space="preserve"> two subsamples: </w:t>
      </w:r>
      <w:r w:rsidR="004A4DD8">
        <w:rPr>
          <w:rFonts w:ascii="Times New Roman" w:hAnsi="Times New Roman" w:cs="Times New Roman"/>
          <w:sz w:val="24"/>
          <w:szCs w:val="24"/>
          <w:lang w:val="en-US"/>
        </w:rPr>
        <w:t xml:space="preserve">for </w:t>
      </w:r>
      <w:r w:rsidR="005269AF" w:rsidRPr="00486F2D">
        <w:rPr>
          <w:rFonts w:ascii="Times New Roman" w:hAnsi="Times New Roman" w:cs="Times New Roman"/>
          <w:sz w:val="24"/>
          <w:szCs w:val="24"/>
          <w:lang w:val="en-US"/>
        </w:rPr>
        <w:t>the first 10 years (January 1994</w:t>
      </w:r>
      <w:r>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December 2003) and the remaining period (January 2004</w:t>
      </w:r>
      <w:r>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June 2015). The Sharpe ratio </w:t>
      </w:r>
      <w:r w:rsidR="005269AF" w:rsidRPr="00486F2D">
        <w:rPr>
          <w:rFonts w:ascii="Times New Roman" w:hAnsi="Times New Roman" w:cs="Times New Roman"/>
          <w:color w:val="000000"/>
          <w:sz w:val="24"/>
          <w:szCs w:val="24"/>
          <w:lang w:val="en-US"/>
        </w:rPr>
        <w:t>of the</w:t>
      </w:r>
      <w:r w:rsidR="005269AF" w:rsidRPr="00486F2D">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5269AF" w:rsidRPr="00486F2D">
        <w:rPr>
          <w:rFonts w:ascii="Times New Roman" w:hAnsi="Times New Roman" w:cs="Times New Roman"/>
          <w:sz w:val="24"/>
          <w:szCs w:val="24"/>
          <w:lang w:val="en-US"/>
        </w:rPr>
        <w:t>nvestment</w:t>
      </w:r>
      <w:r>
        <w:rPr>
          <w:rFonts w:ascii="Times New Roman" w:hAnsi="Times New Roman" w:cs="Times New Roman"/>
          <w:sz w:val="24"/>
          <w:szCs w:val="24"/>
          <w:lang w:val="en-US"/>
        </w:rPr>
        <w:t>-g</w:t>
      </w:r>
      <w:r w:rsidR="005269AF" w:rsidRPr="00486F2D">
        <w:rPr>
          <w:rFonts w:ascii="Times New Roman" w:hAnsi="Times New Roman" w:cs="Times New Roman"/>
          <w:sz w:val="24"/>
          <w:szCs w:val="24"/>
          <w:lang w:val="en-US"/>
        </w:rPr>
        <w:t>rade long-only</w:t>
      </w:r>
      <w:r w:rsidR="005269AF" w:rsidRPr="00486F2D">
        <w:rPr>
          <w:rFonts w:ascii="Times New Roman" w:hAnsi="Times New Roman" w:cs="Times New Roman"/>
          <w:color w:val="000000"/>
          <w:sz w:val="24"/>
          <w:szCs w:val="24"/>
          <w:lang w:val="en-US"/>
        </w:rPr>
        <w:t xml:space="preserve"> multi-factor portfolio over 1994</w:t>
      </w:r>
      <w:r>
        <w:rPr>
          <w:rFonts w:ascii="Times New Roman" w:hAnsi="Times New Roman" w:cs="Times New Roman"/>
          <w:color w:val="000000"/>
          <w:sz w:val="24"/>
          <w:szCs w:val="24"/>
          <w:lang w:val="en-US"/>
        </w:rPr>
        <w:t>–</w:t>
      </w:r>
      <w:r w:rsidR="005269AF" w:rsidRPr="00486F2D">
        <w:rPr>
          <w:rFonts w:ascii="Times New Roman" w:hAnsi="Times New Roman" w:cs="Times New Roman"/>
          <w:color w:val="000000"/>
          <w:sz w:val="24"/>
          <w:szCs w:val="24"/>
          <w:lang w:val="en-US"/>
        </w:rPr>
        <w:t>2003</w:t>
      </w:r>
      <w:r w:rsidR="005269AF" w:rsidRPr="00486F2D">
        <w:rPr>
          <w:rFonts w:ascii="Times New Roman" w:hAnsi="Times New Roman" w:cs="Times New Roman"/>
          <w:sz w:val="24"/>
          <w:szCs w:val="24"/>
          <w:lang w:val="en-US"/>
        </w:rPr>
        <w:t xml:space="preserve"> (2004</w:t>
      </w:r>
      <w:r>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2015) is 0.56 (0.27) versus 0.32 </w:t>
      </w:r>
      <w:r>
        <w:rPr>
          <w:rFonts w:ascii="Times New Roman" w:hAnsi="Times New Roman" w:cs="Times New Roman"/>
          <w:sz w:val="24"/>
          <w:szCs w:val="24"/>
          <w:lang w:val="en-US"/>
        </w:rPr>
        <w:t xml:space="preserve">for the </w:t>
      </w:r>
      <w:r w:rsidR="005269AF" w:rsidRPr="00486F2D">
        <w:rPr>
          <w:rFonts w:ascii="Times New Roman" w:hAnsi="Times New Roman" w:cs="Times New Roman"/>
          <w:sz w:val="24"/>
          <w:szCs w:val="24"/>
          <w:lang w:val="en-US"/>
        </w:rPr>
        <w:t>full sample</w:t>
      </w:r>
      <w:r>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5269AF" w:rsidRPr="00486F2D">
        <w:rPr>
          <w:rFonts w:ascii="Times New Roman" w:hAnsi="Times New Roman" w:cs="Times New Roman"/>
          <w:sz w:val="24"/>
          <w:szCs w:val="24"/>
          <w:lang w:val="en-US"/>
        </w:rPr>
        <w:t>he alpha is 0.90% (0.80%)</w:t>
      </w:r>
      <w:r>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with a </w:t>
      </w:r>
      <w:r w:rsidR="005269AF" w:rsidRPr="00486F2D">
        <w:rPr>
          <w:rFonts w:ascii="Times New Roman" w:hAnsi="Times New Roman" w:cs="Times New Roman"/>
          <w:i/>
          <w:sz w:val="24"/>
          <w:szCs w:val="24"/>
          <w:lang w:val="en-US"/>
        </w:rPr>
        <w:t>t</w:t>
      </w:r>
      <w:r w:rsidR="005269AF" w:rsidRPr="00486F2D">
        <w:rPr>
          <w:rFonts w:ascii="Times New Roman" w:hAnsi="Times New Roman" w:cs="Times New Roman"/>
          <w:sz w:val="24"/>
          <w:szCs w:val="24"/>
          <w:lang w:val="en-US"/>
        </w:rPr>
        <w:t xml:space="preserve">-statistic of 3.05 (1.56). </w:t>
      </w:r>
      <w:r>
        <w:rPr>
          <w:rFonts w:ascii="Times New Roman" w:hAnsi="Times New Roman" w:cs="Times New Roman"/>
          <w:sz w:val="24"/>
          <w:szCs w:val="24"/>
          <w:lang w:val="en-US"/>
        </w:rPr>
        <w:t>For</w:t>
      </w:r>
      <w:r w:rsidR="005269AF" w:rsidRPr="00486F2D">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005269AF" w:rsidRPr="00486F2D">
        <w:rPr>
          <w:rFonts w:ascii="Times New Roman" w:hAnsi="Times New Roman" w:cs="Times New Roman"/>
          <w:sz w:val="24"/>
          <w:szCs w:val="24"/>
          <w:lang w:val="en-US"/>
        </w:rPr>
        <w:t xml:space="preserve">igh </w:t>
      </w:r>
      <w:r>
        <w:rPr>
          <w:rFonts w:ascii="Times New Roman" w:hAnsi="Times New Roman" w:cs="Times New Roman"/>
          <w:sz w:val="24"/>
          <w:szCs w:val="24"/>
          <w:lang w:val="en-US"/>
        </w:rPr>
        <w:t>y</w:t>
      </w:r>
      <w:r w:rsidR="005269AF" w:rsidRPr="00486F2D">
        <w:rPr>
          <w:rFonts w:ascii="Times New Roman" w:hAnsi="Times New Roman" w:cs="Times New Roman"/>
          <w:sz w:val="24"/>
          <w:szCs w:val="24"/>
          <w:lang w:val="en-US"/>
        </w:rPr>
        <w:t>ield, the Sharpe ratio</w:t>
      </w:r>
      <w:r w:rsidR="009B574C">
        <w:rPr>
          <w:rFonts w:ascii="Times New Roman" w:hAnsi="Times New Roman" w:cs="Times New Roman"/>
          <w:sz w:val="24"/>
          <w:szCs w:val="24"/>
          <w:lang w:val="en-US"/>
        </w:rPr>
        <w:t>s</w:t>
      </w:r>
      <w:r w:rsidR="005269AF" w:rsidRPr="00486F2D">
        <w:rPr>
          <w:rFonts w:ascii="Times New Roman" w:hAnsi="Times New Roman" w:cs="Times New Roman"/>
          <w:sz w:val="24"/>
          <w:szCs w:val="24"/>
          <w:lang w:val="en-US"/>
        </w:rPr>
        <w:t xml:space="preserve"> </w:t>
      </w:r>
      <w:r w:rsidR="005269AF" w:rsidRPr="00486F2D">
        <w:rPr>
          <w:rFonts w:ascii="Times New Roman" w:hAnsi="Times New Roman" w:cs="Times New Roman"/>
          <w:color w:val="000000"/>
          <w:sz w:val="24"/>
          <w:szCs w:val="24"/>
          <w:lang w:val="en-US"/>
        </w:rPr>
        <w:t xml:space="preserve">of the multi-factor portfolio </w:t>
      </w:r>
      <w:r w:rsidR="009B574C">
        <w:rPr>
          <w:rFonts w:ascii="Times New Roman" w:hAnsi="Times New Roman" w:cs="Times New Roman"/>
          <w:color w:val="000000"/>
          <w:sz w:val="24"/>
          <w:szCs w:val="24"/>
          <w:lang w:val="en-US"/>
        </w:rPr>
        <w:t>are</w:t>
      </w:r>
      <w:r w:rsidR="005269AF" w:rsidRPr="00486F2D">
        <w:rPr>
          <w:rFonts w:ascii="Times New Roman" w:hAnsi="Times New Roman" w:cs="Times New Roman"/>
          <w:sz w:val="24"/>
          <w:szCs w:val="24"/>
          <w:lang w:val="en-US"/>
        </w:rPr>
        <w:t xml:space="preserve"> 0.44 and 0.65 for 1994</w:t>
      </w:r>
      <w:r>
        <w:rPr>
          <w:rFonts w:ascii="Times New Roman" w:hAnsi="Times New Roman" w:cs="Times New Roman"/>
          <w:sz w:val="24"/>
          <w:szCs w:val="24"/>
          <w:lang w:val="en-US"/>
        </w:rPr>
        <w:t>–2003 and 2004–</w:t>
      </w:r>
      <w:r w:rsidR="005269AF" w:rsidRPr="00486F2D">
        <w:rPr>
          <w:rFonts w:ascii="Times New Roman" w:hAnsi="Times New Roman" w:cs="Times New Roman"/>
          <w:sz w:val="24"/>
          <w:szCs w:val="24"/>
          <w:lang w:val="en-US"/>
        </w:rPr>
        <w:t>2015</w:t>
      </w:r>
      <w:r>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respectively</w:t>
      </w:r>
      <w:r w:rsidR="00766842">
        <w:rPr>
          <w:rFonts w:ascii="Times New Roman" w:hAnsi="Times New Roman" w:cs="Times New Roman"/>
          <w:sz w:val="24"/>
          <w:szCs w:val="24"/>
          <w:lang w:val="en-US"/>
        </w:rPr>
        <w:t>;</w:t>
      </w:r>
      <w:r w:rsidR="005269AF" w:rsidRPr="00486F2D">
        <w:rPr>
          <w:rFonts w:ascii="Times New Roman" w:hAnsi="Times New Roman" w:cs="Times New Roman"/>
          <w:sz w:val="24"/>
          <w:szCs w:val="24"/>
          <w:lang w:val="en-US"/>
        </w:rPr>
        <w:t xml:space="preserve"> </w:t>
      </w:r>
      <w:r w:rsidR="00766842">
        <w:rPr>
          <w:rFonts w:ascii="Times New Roman" w:hAnsi="Times New Roman" w:cs="Times New Roman"/>
          <w:sz w:val="24"/>
          <w:szCs w:val="24"/>
          <w:lang w:val="en-US"/>
        </w:rPr>
        <w:t>t</w:t>
      </w:r>
      <w:r w:rsidR="005269AF" w:rsidRPr="00486F2D">
        <w:rPr>
          <w:rFonts w:ascii="Times New Roman" w:hAnsi="Times New Roman" w:cs="Times New Roman"/>
          <w:sz w:val="24"/>
          <w:szCs w:val="24"/>
          <w:lang w:val="en-US"/>
        </w:rPr>
        <w:t xml:space="preserve">he alphas </w:t>
      </w:r>
      <w:r w:rsidR="005269AF" w:rsidRPr="00486F2D">
        <w:rPr>
          <w:rFonts w:ascii="Times New Roman" w:hAnsi="Times New Roman" w:cs="Times New Roman"/>
          <w:color w:val="000000"/>
          <w:sz w:val="24"/>
          <w:szCs w:val="24"/>
          <w:lang w:val="en-US"/>
        </w:rPr>
        <w:t>are</w:t>
      </w:r>
      <w:r w:rsidR="005269AF" w:rsidRPr="00486F2D">
        <w:rPr>
          <w:rFonts w:ascii="Times New Roman" w:hAnsi="Times New Roman" w:cs="Times New Roman"/>
          <w:sz w:val="24"/>
          <w:szCs w:val="24"/>
          <w:lang w:val="en-US"/>
        </w:rPr>
        <w:t xml:space="preserve"> 3.41% (with a </w:t>
      </w:r>
      <w:r w:rsidR="005269AF" w:rsidRPr="00486F2D">
        <w:rPr>
          <w:rFonts w:ascii="Times New Roman" w:hAnsi="Times New Roman" w:cs="Times New Roman"/>
          <w:i/>
          <w:iCs/>
          <w:sz w:val="24"/>
          <w:szCs w:val="24"/>
          <w:lang w:val="en-US"/>
        </w:rPr>
        <w:t>t</w:t>
      </w:r>
      <w:r w:rsidR="005269AF" w:rsidRPr="00486F2D">
        <w:rPr>
          <w:rFonts w:ascii="Times New Roman" w:hAnsi="Times New Roman" w:cs="Times New Roman"/>
          <w:sz w:val="24"/>
          <w:szCs w:val="24"/>
          <w:lang w:val="en-US"/>
        </w:rPr>
        <w:t>-statistic of 2.21) and 3.37% (</w:t>
      </w:r>
      <w:r w:rsidR="005269AF" w:rsidRPr="00486F2D">
        <w:rPr>
          <w:rFonts w:ascii="Times New Roman" w:hAnsi="Times New Roman" w:cs="Times New Roman"/>
          <w:i/>
          <w:iCs/>
          <w:sz w:val="24"/>
          <w:szCs w:val="24"/>
          <w:lang w:val="en-US"/>
        </w:rPr>
        <w:t>t</w:t>
      </w:r>
      <w:r w:rsidR="005269AF" w:rsidRPr="00486F2D">
        <w:rPr>
          <w:rFonts w:ascii="Times New Roman" w:hAnsi="Times New Roman" w:cs="Times New Roman"/>
          <w:sz w:val="24"/>
          <w:szCs w:val="24"/>
          <w:lang w:val="en-US"/>
        </w:rPr>
        <w:t>-statistic of 2.28).</w:t>
      </w:r>
    </w:p>
    <w:p w14:paraId="65131D41" w14:textId="26D71135" w:rsidR="008461E3" w:rsidRPr="00EC4089" w:rsidRDefault="00D12EFC" w:rsidP="008461E3">
      <w:pPr>
        <w:pStyle w:val="Heading2"/>
        <w:rPr>
          <w:rFonts w:cs="Times New Roman"/>
          <w:i w:val="0"/>
          <w:sz w:val="24"/>
          <w:szCs w:val="24"/>
        </w:rPr>
      </w:pPr>
      <w:r w:rsidRPr="00EC4089">
        <w:rPr>
          <w:rFonts w:cs="Times New Roman"/>
          <w:i w:val="0"/>
          <w:sz w:val="24"/>
          <w:szCs w:val="24"/>
        </w:rPr>
        <w:t>R</w:t>
      </w:r>
      <w:r w:rsidR="008461E3" w:rsidRPr="00EC4089">
        <w:rPr>
          <w:rFonts w:cs="Times New Roman"/>
          <w:i w:val="0"/>
          <w:sz w:val="24"/>
          <w:szCs w:val="24"/>
        </w:rPr>
        <w:t>eferences</w:t>
      </w:r>
    </w:p>
    <w:p w14:paraId="55DACDE4" w14:textId="45B424F5" w:rsidR="00D12EFC" w:rsidRDefault="00D12EFC" w:rsidP="00F90B7B">
      <w:pPr>
        <w:spacing w:after="120" w:line="480" w:lineRule="auto"/>
        <w:rPr>
          <w:rFonts w:ascii="Times New Roman" w:eastAsia="Times New Roman" w:hAnsi="Times New Roman" w:cs="Times New Roman"/>
          <w:sz w:val="24"/>
          <w:szCs w:val="20"/>
          <w:lang w:val="en-US"/>
        </w:rPr>
      </w:pPr>
      <w:r w:rsidRPr="00D12EFC">
        <w:rPr>
          <w:rFonts w:ascii="Times New Roman" w:eastAsia="Times New Roman" w:hAnsi="Times New Roman" w:cs="Times New Roman"/>
          <w:sz w:val="24"/>
          <w:szCs w:val="20"/>
          <w:lang w:val="en-US"/>
        </w:rPr>
        <w:t xml:space="preserve">Bektic, </w:t>
      </w:r>
      <w:proofErr w:type="spellStart"/>
      <w:r w:rsidRPr="00D12EFC">
        <w:rPr>
          <w:rFonts w:ascii="Times New Roman" w:eastAsia="Times New Roman" w:hAnsi="Times New Roman" w:cs="Times New Roman"/>
          <w:sz w:val="24"/>
          <w:szCs w:val="20"/>
          <w:lang w:val="en-US"/>
        </w:rPr>
        <w:t>Demir</w:t>
      </w:r>
      <w:proofErr w:type="spellEnd"/>
      <w:r w:rsidRPr="00D12EFC">
        <w:rPr>
          <w:rFonts w:ascii="Times New Roman" w:eastAsia="Times New Roman" w:hAnsi="Times New Roman" w:cs="Times New Roman"/>
          <w:sz w:val="24"/>
          <w:szCs w:val="20"/>
          <w:lang w:val="en-US"/>
        </w:rPr>
        <w:t xml:space="preserve">, Josef-Stefan </w:t>
      </w:r>
      <w:proofErr w:type="spellStart"/>
      <w:r w:rsidRPr="00D12EFC">
        <w:rPr>
          <w:rFonts w:ascii="Times New Roman" w:eastAsia="Times New Roman" w:hAnsi="Times New Roman" w:cs="Times New Roman"/>
          <w:sz w:val="24"/>
          <w:szCs w:val="20"/>
          <w:lang w:val="en-US"/>
        </w:rPr>
        <w:t>Wenzler</w:t>
      </w:r>
      <w:proofErr w:type="spellEnd"/>
      <w:r w:rsidRPr="00D12EFC">
        <w:rPr>
          <w:rFonts w:ascii="Times New Roman" w:eastAsia="Times New Roman" w:hAnsi="Times New Roman" w:cs="Times New Roman"/>
          <w:sz w:val="24"/>
          <w:szCs w:val="20"/>
          <w:lang w:val="en-US"/>
        </w:rPr>
        <w:t xml:space="preserve">, Michael Wegener, Dirk </w:t>
      </w:r>
      <w:proofErr w:type="spellStart"/>
      <w:r w:rsidRPr="00D12EFC">
        <w:rPr>
          <w:rFonts w:ascii="Times New Roman" w:eastAsia="Times New Roman" w:hAnsi="Times New Roman" w:cs="Times New Roman"/>
          <w:sz w:val="24"/>
          <w:szCs w:val="20"/>
          <w:lang w:val="en-US"/>
        </w:rPr>
        <w:t>Schiereck</w:t>
      </w:r>
      <w:proofErr w:type="spellEnd"/>
      <w:r w:rsidRPr="00D12EFC">
        <w:rPr>
          <w:rFonts w:ascii="Times New Roman" w:eastAsia="Times New Roman" w:hAnsi="Times New Roman" w:cs="Times New Roman"/>
          <w:sz w:val="24"/>
          <w:szCs w:val="20"/>
          <w:lang w:val="en-US"/>
        </w:rPr>
        <w:t xml:space="preserve">, and </w:t>
      </w:r>
      <w:proofErr w:type="spellStart"/>
      <w:r w:rsidRPr="00D12EFC">
        <w:rPr>
          <w:rFonts w:ascii="Times New Roman" w:eastAsia="Times New Roman" w:hAnsi="Times New Roman" w:cs="Times New Roman"/>
          <w:sz w:val="24"/>
          <w:szCs w:val="20"/>
          <w:lang w:val="en-US"/>
        </w:rPr>
        <w:t>Timo</w:t>
      </w:r>
      <w:proofErr w:type="spellEnd"/>
      <w:r w:rsidRPr="00D12EFC">
        <w:rPr>
          <w:rFonts w:ascii="Times New Roman" w:eastAsia="Times New Roman" w:hAnsi="Times New Roman" w:cs="Times New Roman"/>
          <w:sz w:val="24"/>
          <w:szCs w:val="20"/>
          <w:lang w:val="en-US"/>
        </w:rPr>
        <w:t xml:space="preserve"> </w:t>
      </w:r>
      <w:proofErr w:type="spellStart"/>
      <w:r w:rsidRPr="00D12EFC">
        <w:rPr>
          <w:rFonts w:ascii="Times New Roman" w:eastAsia="Times New Roman" w:hAnsi="Times New Roman" w:cs="Times New Roman"/>
          <w:sz w:val="24"/>
          <w:szCs w:val="20"/>
          <w:lang w:val="en-US"/>
        </w:rPr>
        <w:t>Spielmann</w:t>
      </w:r>
      <w:proofErr w:type="spellEnd"/>
      <w:r w:rsidRPr="00D12EFC">
        <w:rPr>
          <w:rFonts w:ascii="Times New Roman" w:eastAsia="Times New Roman" w:hAnsi="Times New Roman" w:cs="Times New Roman"/>
          <w:sz w:val="24"/>
          <w:szCs w:val="20"/>
          <w:lang w:val="en-US"/>
        </w:rPr>
        <w:t>. 2016. “Extending Fama-French Factors to Corporate Bond Markets</w:t>
      </w:r>
      <w:r w:rsidR="00C820AE">
        <w:rPr>
          <w:rFonts w:ascii="Times New Roman" w:eastAsia="Times New Roman" w:hAnsi="Times New Roman" w:cs="Times New Roman"/>
          <w:sz w:val="24"/>
          <w:szCs w:val="20"/>
          <w:lang w:val="en-US"/>
        </w:rPr>
        <w:t>.</w:t>
      </w:r>
      <w:r w:rsidRPr="00D12EFC">
        <w:rPr>
          <w:rFonts w:ascii="Times New Roman" w:eastAsia="Times New Roman" w:hAnsi="Times New Roman" w:cs="Times New Roman"/>
          <w:sz w:val="24"/>
          <w:szCs w:val="20"/>
          <w:lang w:val="en-US"/>
        </w:rPr>
        <w:t xml:space="preserve">” </w:t>
      </w:r>
      <w:r w:rsidR="00C820AE">
        <w:rPr>
          <w:rFonts w:ascii="Times New Roman" w:eastAsia="Times New Roman" w:hAnsi="Times New Roman" w:cs="Times New Roman"/>
          <w:sz w:val="24"/>
          <w:szCs w:val="20"/>
          <w:lang w:val="en-US"/>
        </w:rPr>
        <w:t>W</w:t>
      </w:r>
      <w:r w:rsidRPr="00C820AE">
        <w:rPr>
          <w:rFonts w:ascii="Times New Roman" w:eastAsia="Times New Roman" w:hAnsi="Times New Roman" w:cs="Times New Roman"/>
          <w:sz w:val="24"/>
          <w:szCs w:val="20"/>
          <w:lang w:val="en-US"/>
        </w:rPr>
        <w:t>orking paper</w:t>
      </w:r>
      <w:r w:rsidRPr="00D12EFC">
        <w:rPr>
          <w:rFonts w:ascii="Times New Roman" w:eastAsia="Times New Roman" w:hAnsi="Times New Roman" w:cs="Times New Roman"/>
          <w:sz w:val="24"/>
          <w:szCs w:val="20"/>
          <w:lang w:val="en-US"/>
        </w:rPr>
        <w:t xml:space="preserve"> </w:t>
      </w:r>
      <w:r w:rsidR="008B7BE3">
        <w:rPr>
          <w:rFonts w:ascii="Times New Roman" w:eastAsia="Times New Roman" w:hAnsi="Times New Roman" w:cs="Times New Roman"/>
          <w:sz w:val="24"/>
          <w:szCs w:val="20"/>
          <w:lang w:val="en-US"/>
        </w:rPr>
        <w:t>(</w:t>
      </w:r>
      <w:r w:rsidRPr="00D12EFC">
        <w:rPr>
          <w:rFonts w:ascii="Times New Roman" w:eastAsia="Times New Roman" w:hAnsi="Times New Roman" w:cs="Times New Roman"/>
          <w:sz w:val="24"/>
          <w:szCs w:val="20"/>
          <w:lang w:val="en-US"/>
        </w:rPr>
        <w:t>ssrn.com/abstract=2715727</w:t>
      </w:r>
      <w:r w:rsidR="008B7BE3">
        <w:rPr>
          <w:rFonts w:ascii="Times New Roman" w:eastAsia="Times New Roman" w:hAnsi="Times New Roman" w:cs="Times New Roman"/>
          <w:sz w:val="24"/>
          <w:szCs w:val="20"/>
          <w:lang w:val="en-US"/>
        </w:rPr>
        <w:t>)</w:t>
      </w:r>
      <w:r w:rsidRPr="00D12EFC">
        <w:rPr>
          <w:rFonts w:ascii="Times New Roman" w:eastAsia="Times New Roman" w:hAnsi="Times New Roman" w:cs="Times New Roman"/>
          <w:sz w:val="24"/>
          <w:szCs w:val="20"/>
          <w:lang w:val="en-US"/>
        </w:rPr>
        <w:t>.</w:t>
      </w:r>
    </w:p>
    <w:p w14:paraId="53F75D8E" w14:textId="3020F32A" w:rsidR="008461E3" w:rsidRDefault="008461E3" w:rsidP="00F90B7B">
      <w:pPr>
        <w:spacing w:after="120" w:line="480" w:lineRule="auto"/>
        <w:rPr>
          <w:rFonts w:ascii="Times New Roman" w:eastAsia="Times New Roman" w:hAnsi="Times New Roman" w:cs="Times New Roman"/>
          <w:sz w:val="24"/>
          <w:szCs w:val="20"/>
          <w:lang w:val="en-US"/>
        </w:rPr>
      </w:pPr>
      <w:r w:rsidRPr="00EC0768">
        <w:rPr>
          <w:rFonts w:ascii="Times New Roman" w:eastAsia="Times New Roman" w:hAnsi="Times New Roman" w:cs="Times New Roman"/>
          <w:sz w:val="24"/>
          <w:szCs w:val="20"/>
          <w:lang w:val="en-US"/>
        </w:rPr>
        <w:t xml:space="preserve">Ben </w:t>
      </w:r>
      <w:proofErr w:type="spellStart"/>
      <w:r w:rsidRPr="00EC0768">
        <w:rPr>
          <w:rFonts w:ascii="Times New Roman" w:eastAsia="Times New Roman" w:hAnsi="Times New Roman" w:cs="Times New Roman"/>
          <w:sz w:val="24"/>
          <w:szCs w:val="20"/>
          <w:lang w:val="en-US"/>
        </w:rPr>
        <w:t>Dor</w:t>
      </w:r>
      <w:proofErr w:type="spellEnd"/>
      <w:r w:rsidRPr="00EC0768">
        <w:rPr>
          <w:rFonts w:ascii="Times New Roman" w:eastAsia="Times New Roman" w:hAnsi="Times New Roman" w:cs="Times New Roman"/>
          <w:sz w:val="24"/>
          <w:szCs w:val="20"/>
          <w:lang w:val="en-US"/>
        </w:rPr>
        <w:t xml:space="preserve">, Arik, Lev </w:t>
      </w:r>
      <w:proofErr w:type="spellStart"/>
      <w:r w:rsidRPr="00EC0768">
        <w:rPr>
          <w:rFonts w:ascii="Times New Roman" w:eastAsia="Times New Roman" w:hAnsi="Times New Roman" w:cs="Times New Roman"/>
          <w:sz w:val="24"/>
          <w:szCs w:val="20"/>
          <w:lang w:val="en-US"/>
        </w:rPr>
        <w:t>Dynkin</w:t>
      </w:r>
      <w:proofErr w:type="spellEnd"/>
      <w:r w:rsidRPr="00EC0768">
        <w:rPr>
          <w:rFonts w:ascii="Times New Roman" w:eastAsia="Times New Roman" w:hAnsi="Times New Roman" w:cs="Times New Roman"/>
          <w:sz w:val="24"/>
          <w:szCs w:val="20"/>
          <w:lang w:val="en-US"/>
        </w:rPr>
        <w:t xml:space="preserve">, Jay Hyman, Patrick </w:t>
      </w:r>
      <w:proofErr w:type="spellStart"/>
      <w:r w:rsidRPr="00EC0768">
        <w:rPr>
          <w:rFonts w:ascii="Times New Roman" w:eastAsia="Times New Roman" w:hAnsi="Times New Roman" w:cs="Times New Roman"/>
          <w:sz w:val="24"/>
          <w:szCs w:val="20"/>
          <w:lang w:val="en-US"/>
        </w:rPr>
        <w:t>Houweling</w:t>
      </w:r>
      <w:proofErr w:type="spellEnd"/>
      <w:r w:rsidRPr="00EC0768">
        <w:rPr>
          <w:rFonts w:ascii="Times New Roman" w:eastAsia="Times New Roman" w:hAnsi="Times New Roman" w:cs="Times New Roman"/>
          <w:sz w:val="24"/>
          <w:szCs w:val="20"/>
          <w:lang w:val="en-US"/>
        </w:rPr>
        <w:t xml:space="preserve">, Erik van </w:t>
      </w:r>
      <w:proofErr w:type="spellStart"/>
      <w:r w:rsidRPr="00EC0768">
        <w:rPr>
          <w:rFonts w:ascii="Times New Roman" w:eastAsia="Times New Roman" w:hAnsi="Times New Roman" w:cs="Times New Roman"/>
          <w:sz w:val="24"/>
          <w:szCs w:val="20"/>
          <w:lang w:val="en-US"/>
        </w:rPr>
        <w:t>Leeuwen</w:t>
      </w:r>
      <w:proofErr w:type="spellEnd"/>
      <w:r w:rsidRPr="00EC0768">
        <w:rPr>
          <w:rFonts w:ascii="Times New Roman" w:eastAsia="Times New Roman" w:hAnsi="Times New Roman" w:cs="Times New Roman"/>
          <w:sz w:val="24"/>
          <w:szCs w:val="20"/>
          <w:lang w:val="en-US"/>
        </w:rPr>
        <w:t xml:space="preserve">, and Olaf </w:t>
      </w:r>
      <w:proofErr w:type="spellStart"/>
      <w:r w:rsidRPr="00EC0768">
        <w:rPr>
          <w:rFonts w:ascii="Times New Roman" w:eastAsia="Times New Roman" w:hAnsi="Times New Roman" w:cs="Times New Roman"/>
          <w:sz w:val="24"/>
          <w:szCs w:val="20"/>
          <w:lang w:val="en-US"/>
        </w:rPr>
        <w:t>Penninga</w:t>
      </w:r>
      <w:proofErr w:type="spellEnd"/>
      <w:r w:rsidRPr="00EC0768">
        <w:rPr>
          <w:rFonts w:ascii="Times New Roman" w:eastAsia="Times New Roman" w:hAnsi="Times New Roman" w:cs="Times New Roman"/>
          <w:sz w:val="24"/>
          <w:szCs w:val="20"/>
          <w:lang w:val="en-US"/>
        </w:rPr>
        <w:t xml:space="preserve">. </w:t>
      </w:r>
      <w:r w:rsidRPr="008461E3">
        <w:rPr>
          <w:rFonts w:ascii="Times New Roman" w:eastAsia="Times New Roman" w:hAnsi="Times New Roman" w:cs="Times New Roman"/>
          <w:sz w:val="24"/>
          <w:szCs w:val="20"/>
          <w:lang w:val="en-US"/>
        </w:rPr>
        <w:t xml:space="preserve">2007. “DTS (Duration Times Spread): A New Measure of Spread Exposure in Credit Portfolios.” </w:t>
      </w:r>
      <w:r w:rsidRPr="008461E3">
        <w:rPr>
          <w:rFonts w:ascii="Times New Roman" w:eastAsia="Times New Roman" w:hAnsi="Times New Roman" w:cs="Times New Roman"/>
          <w:i/>
          <w:sz w:val="24"/>
          <w:szCs w:val="20"/>
          <w:lang w:val="en-US"/>
        </w:rPr>
        <w:t>Journal of Portfolio Management</w:t>
      </w:r>
      <w:r w:rsidRPr="008461E3">
        <w:rPr>
          <w:rFonts w:ascii="Times New Roman" w:eastAsia="Times New Roman" w:hAnsi="Times New Roman" w:cs="Times New Roman"/>
          <w:sz w:val="24"/>
          <w:szCs w:val="20"/>
          <w:lang w:val="en-US"/>
        </w:rPr>
        <w:t>, vol. 33, no. 2: 77</w:t>
      </w:r>
      <w:r w:rsidR="00A45E5E">
        <w:rPr>
          <w:rFonts w:ascii="Times New Roman" w:eastAsia="Times New Roman" w:hAnsi="Times New Roman" w:cs="Times New Roman"/>
          <w:sz w:val="24"/>
          <w:szCs w:val="20"/>
          <w:lang w:val="en-US"/>
        </w:rPr>
        <w:t>–</w:t>
      </w:r>
      <w:r w:rsidRPr="008461E3">
        <w:rPr>
          <w:rFonts w:ascii="Times New Roman" w:eastAsia="Times New Roman" w:hAnsi="Times New Roman" w:cs="Times New Roman"/>
          <w:sz w:val="24"/>
          <w:szCs w:val="20"/>
          <w:lang w:val="en-US"/>
        </w:rPr>
        <w:t>100.</w:t>
      </w:r>
    </w:p>
    <w:p w14:paraId="5934D6E9" w14:textId="48B5575E" w:rsidR="00D12EFC" w:rsidRDefault="00D12EFC" w:rsidP="00E75308">
      <w:pPr>
        <w:spacing w:after="120" w:line="480" w:lineRule="auto"/>
        <w:rPr>
          <w:rFonts w:ascii="Times New Roman" w:eastAsia="Times New Roman" w:hAnsi="Times New Roman" w:cs="Times New Roman"/>
          <w:sz w:val="24"/>
          <w:szCs w:val="20"/>
          <w:lang w:val="en-US"/>
        </w:rPr>
      </w:pPr>
      <w:r w:rsidRPr="00D12EFC">
        <w:rPr>
          <w:rFonts w:ascii="Times New Roman" w:eastAsia="Times New Roman" w:hAnsi="Times New Roman" w:cs="Times New Roman"/>
          <w:sz w:val="24"/>
          <w:szCs w:val="20"/>
          <w:lang w:val="en-US"/>
        </w:rPr>
        <w:t xml:space="preserve">Chen, Long, David A. </w:t>
      </w:r>
      <w:proofErr w:type="spellStart"/>
      <w:r w:rsidRPr="00D12EFC">
        <w:rPr>
          <w:rFonts w:ascii="Times New Roman" w:eastAsia="Times New Roman" w:hAnsi="Times New Roman" w:cs="Times New Roman"/>
          <w:sz w:val="24"/>
          <w:szCs w:val="20"/>
          <w:lang w:val="en-US"/>
        </w:rPr>
        <w:t>Lesmond</w:t>
      </w:r>
      <w:proofErr w:type="spellEnd"/>
      <w:r w:rsidRPr="00D12EFC">
        <w:rPr>
          <w:rFonts w:ascii="Times New Roman" w:eastAsia="Times New Roman" w:hAnsi="Times New Roman" w:cs="Times New Roman"/>
          <w:sz w:val="24"/>
          <w:szCs w:val="20"/>
          <w:lang w:val="en-US"/>
        </w:rPr>
        <w:t xml:space="preserve">, and Jason Wei. 2007. “Corporate Yield Spreads and Bond Liquidity.” </w:t>
      </w:r>
      <w:r w:rsidRPr="00D12EFC">
        <w:rPr>
          <w:rFonts w:ascii="Times New Roman" w:eastAsia="Times New Roman" w:hAnsi="Times New Roman" w:cs="Times New Roman"/>
          <w:i/>
          <w:sz w:val="24"/>
          <w:szCs w:val="20"/>
          <w:lang w:val="en-US"/>
        </w:rPr>
        <w:t>Journal of Finance</w:t>
      </w:r>
      <w:r w:rsidRPr="00D12EFC">
        <w:rPr>
          <w:rFonts w:ascii="Times New Roman" w:eastAsia="Times New Roman" w:hAnsi="Times New Roman" w:cs="Times New Roman"/>
          <w:sz w:val="24"/>
          <w:szCs w:val="20"/>
          <w:lang w:val="en-US"/>
        </w:rPr>
        <w:t>, vol. 62, no.1</w:t>
      </w:r>
      <w:r w:rsidR="00241500">
        <w:rPr>
          <w:rFonts w:ascii="Times New Roman" w:eastAsia="Times New Roman" w:hAnsi="Times New Roman" w:cs="Times New Roman"/>
          <w:sz w:val="24"/>
          <w:szCs w:val="20"/>
          <w:lang w:val="en-US"/>
        </w:rPr>
        <w:t xml:space="preserve"> (February)</w:t>
      </w:r>
      <w:r w:rsidRPr="00D12EFC">
        <w:rPr>
          <w:rFonts w:ascii="Times New Roman" w:eastAsia="Times New Roman" w:hAnsi="Times New Roman" w:cs="Times New Roman"/>
          <w:sz w:val="24"/>
          <w:szCs w:val="20"/>
          <w:lang w:val="en-US"/>
        </w:rPr>
        <w:t>: 119</w:t>
      </w:r>
      <w:r w:rsidR="00EC77AF">
        <w:rPr>
          <w:rFonts w:ascii="Times New Roman" w:eastAsia="Times New Roman" w:hAnsi="Times New Roman" w:cs="Times New Roman"/>
          <w:sz w:val="24"/>
          <w:szCs w:val="20"/>
          <w:lang w:val="en-US"/>
        </w:rPr>
        <w:t>–</w:t>
      </w:r>
      <w:r w:rsidRPr="00D12EFC">
        <w:rPr>
          <w:rFonts w:ascii="Times New Roman" w:eastAsia="Times New Roman" w:hAnsi="Times New Roman" w:cs="Times New Roman"/>
          <w:sz w:val="24"/>
          <w:szCs w:val="20"/>
          <w:lang w:val="en-US"/>
        </w:rPr>
        <w:t>149.</w:t>
      </w:r>
    </w:p>
    <w:p w14:paraId="41853285" w14:textId="5C56855B" w:rsidR="00D12EFC" w:rsidRPr="00D12EFC" w:rsidRDefault="00D12EFC" w:rsidP="00E75308">
      <w:pPr>
        <w:spacing w:after="120" w:line="480" w:lineRule="auto"/>
        <w:rPr>
          <w:rFonts w:ascii="Times New Roman" w:eastAsia="Times New Roman" w:hAnsi="Times New Roman" w:cs="Times New Roman"/>
          <w:sz w:val="24"/>
          <w:szCs w:val="20"/>
          <w:lang w:val="en-US"/>
        </w:rPr>
      </w:pPr>
      <w:r w:rsidRPr="00D12EFC">
        <w:rPr>
          <w:rFonts w:ascii="Times New Roman" w:eastAsia="Times New Roman" w:hAnsi="Times New Roman" w:cs="Times New Roman"/>
          <w:sz w:val="24"/>
          <w:szCs w:val="20"/>
          <w:lang w:val="en-US"/>
        </w:rPr>
        <w:t xml:space="preserve">Crabbe, Leland E., and Christopher M. Turner. 1995. “Does the Liquidity of a Debt Issue Increase with </w:t>
      </w:r>
      <w:r w:rsidR="002E5550">
        <w:rPr>
          <w:rFonts w:ascii="Times New Roman" w:eastAsia="Times New Roman" w:hAnsi="Times New Roman" w:cs="Times New Roman"/>
          <w:sz w:val="24"/>
          <w:szCs w:val="20"/>
          <w:lang w:val="en-US"/>
        </w:rPr>
        <w:t>I</w:t>
      </w:r>
      <w:r w:rsidRPr="00D12EFC">
        <w:rPr>
          <w:rFonts w:ascii="Times New Roman" w:eastAsia="Times New Roman" w:hAnsi="Times New Roman" w:cs="Times New Roman"/>
          <w:sz w:val="24"/>
          <w:szCs w:val="20"/>
          <w:lang w:val="en-US"/>
        </w:rPr>
        <w:t xml:space="preserve">ts Size? Evidence from the Corporate Bond and Medium-Term Note Markets.” </w:t>
      </w:r>
      <w:r w:rsidRPr="00D12EFC">
        <w:rPr>
          <w:rFonts w:ascii="Times New Roman" w:eastAsia="Times New Roman" w:hAnsi="Times New Roman" w:cs="Times New Roman"/>
          <w:i/>
          <w:sz w:val="24"/>
          <w:szCs w:val="20"/>
          <w:lang w:val="en-US"/>
        </w:rPr>
        <w:t>Journal of Finance</w:t>
      </w:r>
      <w:r w:rsidRPr="00D12EFC">
        <w:rPr>
          <w:rFonts w:ascii="Times New Roman" w:eastAsia="Times New Roman" w:hAnsi="Times New Roman" w:cs="Times New Roman"/>
          <w:sz w:val="24"/>
          <w:szCs w:val="20"/>
          <w:lang w:val="en-US"/>
        </w:rPr>
        <w:t>, vol. 50, no. 5: 1719–1734.</w:t>
      </w:r>
    </w:p>
    <w:p w14:paraId="151C6D46" w14:textId="0A03143F" w:rsidR="00D12EFC" w:rsidRDefault="00D12EFC" w:rsidP="00E75308">
      <w:pPr>
        <w:spacing w:after="120" w:line="480" w:lineRule="auto"/>
        <w:rPr>
          <w:rFonts w:ascii="Times New Roman" w:eastAsia="Times New Roman" w:hAnsi="Times New Roman" w:cs="Times New Roman"/>
          <w:sz w:val="24"/>
          <w:szCs w:val="20"/>
          <w:lang w:val="en-US"/>
        </w:rPr>
      </w:pPr>
      <w:proofErr w:type="gramStart"/>
      <w:r w:rsidRPr="008461E3">
        <w:rPr>
          <w:rFonts w:ascii="Times New Roman" w:eastAsia="Times New Roman" w:hAnsi="Times New Roman" w:cs="Times New Roman"/>
          <w:sz w:val="24"/>
          <w:szCs w:val="20"/>
          <w:lang w:val="en-US"/>
        </w:rPr>
        <w:t>de</w:t>
      </w:r>
      <w:proofErr w:type="gramEnd"/>
      <w:r w:rsidRPr="008461E3">
        <w:rPr>
          <w:rFonts w:ascii="Times New Roman" w:eastAsia="Times New Roman" w:hAnsi="Times New Roman" w:cs="Times New Roman"/>
          <w:sz w:val="24"/>
          <w:szCs w:val="20"/>
          <w:lang w:val="en-US"/>
        </w:rPr>
        <w:t xml:space="preserve"> </w:t>
      </w:r>
      <w:proofErr w:type="spellStart"/>
      <w:r w:rsidRPr="008461E3">
        <w:rPr>
          <w:rFonts w:ascii="Times New Roman" w:eastAsia="Times New Roman" w:hAnsi="Times New Roman" w:cs="Times New Roman"/>
          <w:sz w:val="24"/>
          <w:szCs w:val="20"/>
          <w:lang w:val="en-US"/>
        </w:rPr>
        <w:t>Carvalho</w:t>
      </w:r>
      <w:proofErr w:type="spellEnd"/>
      <w:r w:rsidRPr="008461E3">
        <w:rPr>
          <w:rFonts w:ascii="Times New Roman" w:eastAsia="Times New Roman" w:hAnsi="Times New Roman" w:cs="Times New Roman"/>
          <w:sz w:val="24"/>
          <w:szCs w:val="20"/>
          <w:lang w:val="en-US"/>
        </w:rPr>
        <w:t xml:space="preserve">, Raul </w:t>
      </w:r>
      <w:proofErr w:type="spellStart"/>
      <w:r w:rsidRPr="008461E3">
        <w:rPr>
          <w:rFonts w:ascii="Times New Roman" w:eastAsia="Times New Roman" w:hAnsi="Times New Roman" w:cs="Times New Roman"/>
          <w:sz w:val="24"/>
          <w:szCs w:val="20"/>
          <w:lang w:val="en-US"/>
        </w:rPr>
        <w:t>Leote</w:t>
      </w:r>
      <w:proofErr w:type="spellEnd"/>
      <w:r w:rsidRPr="008461E3">
        <w:rPr>
          <w:rFonts w:ascii="Times New Roman" w:eastAsia="Times New Roman" w:hAnsi="Times New Roman" w:cs="Times New Roman"/>
          <w:sz w:val="24"/>
          <w:szCs w:val="20"/>
          <w:lang w:val="en-US"/>
        </w:rPr>
        <w:t xml:space="preserve">, Patrick </w:t>
      </w:r>
      <w:proofErr w:type="spellStart"/>
      <w:r w:rsidRPr="008461E3">
        <w:rPr>
          <w:rFonts w:ascii="Times New Roman" w:eastAsia="Times New Roman" w:hAnsi="Times New Roman" w:cs="Times New Roman"/>
          <w:sz w:val="24"/>
          <w:szCs w:val="20"/>
          <w:lang w:val="en-US"/>
        </w:rPr>
        <w:t>Dugnolle</w:t>
      </w:r>
      <w:proofErr w:type="spellEnd"/>
      <w:r w:rsidRPr="008461E3">
        <w:rPr>
          <w:rFonts w:ascii="Times New Roman" w:eastAsia="Times New Roman" w:hAnsi="Times New Roman" w:cs="Times New Roman"/>
          <w:sz w:val="24"/>
          <w:szCs w:val="20"/>
          <w:lang w:val="en-US"/>
        </w:rPr>
        <w:t xml:space="preserve">, Xiao Lu, and Pierre Moulin. 2014. “Low-Risk Anomalies in Global Fixed Income: Evidence from Major Broad Markets.” </w:t>
      </w:r>
      <w:r w:rsidRPr="008461E3">
        <w:rPr>
          <w:rFonts w:ascii="Times New Roman" w:eastAsia="Times New Roman" w:hAnsi="Times New Roman" w:cs="Times New Roman"/>
          <w:i/>
          <w:sz w:val="24"/>
          <w:szCs w:val="20"/>
          <w:lang w:val="en-US"/>
        </w:rPr>
        <w:t>Journal of Fixed Income</w:t>
      </w:r>
      <w:r w:rsidRPr="008461E3">
        <w:rPr>
          <w:rFonts w:ascii="Times New Roman" w:eastAsia="Times New Roman" w:hAnsi="Times New Roman" w:cs="Times New Roman"/>
          <w:sz w:val="24"/>
          <w:szCs w:val="20"/>
          <w:lang w:val="en-US"/>
        </w:rPr>
        <w:t>, vol. 23, no. 4: 51</w:t>
      </w:r>
      <w:r w:rsidR="0027449E">
        <w:rPr>
          <w:rFonts w:ascii="Times New Roman" w:eastAsia="Times New Roman" w:hAnsi="Times New Roman" w:cs="Times New Roman"/>
          <w:sz w:val="24"/>
          <w:szCs w:val="20"/>
          <w:lang w:val="en-US"/>
        </w:rPr>
        <w:t>–</w:t>
      </w:r>
      <w:r w:rsidRPr="008461E3">
        <w:rPr>
          <w:rFonts w:ascii="Times New Roman" w:eastAsia="Times New Roman" w:hAnsi="Times New Roman" w:cs="Times New Roman"/>
          <w:sz w:val="24"/>
          <w:szCs w:val="20"/>
          <w:lang w:val="en-US"/>
        </w:rPr>
        <w:t>70.</w:t>
      </w:r>
    </w:p>
    <w:p w14:paraId="2E82D986" w14:textId="63D7E8F1" w:rsidR="00D12EFC" w:rsidRDefault="00D12EFC" w:rsidP="00E75308">
      <w:pPr>
        <w:spacing w:after="120" w:line="480" w:lineRule="auto"/>
        <w:rPr>
          <w:rFonts w:ascii="Times New Roman" w:eastAsia="Times New Roman" w:hAnsi="Times New Roman" w:cs="Times New Roman"/>
          <w:sz w:val="24"/>
          <w:szCs w:val="20"/>
          <w:lang w:val="en-US"/>
        </w:rPr>
      </w:pPr>
      <w:proofErr w:type="spellStart"/>
      <w:r w:rsidRPr="00D12EFC">
        <w:rPr>
          <w:rFonts w:ascii="Times New Roman" w:eastAsia="Times New Roman" w:hAnsi="Times New Roman" w:cs="Times New Roman"/>
          <w:sz w:val="24"/>
          <w:szCs w:val="20"/>
          <w:lang w:val="en-US"/>
        </w:rPr>
        <w:t>Gebhardt</w:t>
      </w:r>
      <w:proofErr w:type="spellEnd"/>
      <w:r w:rsidRPr="00D12EFC">
        <w:rPr>
          <w:rFonts w:ascii="Times New Roman" w:eastAsia="Times New Roman" w:hAnsi="Times New Roman" w:cs="Times New Roman"/>
          <w:sz w:val="24"/>
          <w:szCs w:val="20"/>
          <w:lang w:val="en-US"/>
        </w:rPr>
        <w:t xml:space="preserve">, William R., </w:t>
      </w:r>
      <w:proofErr w:type="spellStart"/>
      <w:r w:rsidRPr="00D12EFC">
        <w:rPr>
          <w:rFonts w:ascii="Times New Roman" w:eastAsia="Times New Roman" w:hAnsi="Times New Roman" w:cs="Times New Roman"/>
          <w:sz w:val="24"/>
          <w:szCs w:val="20"/>
          <w:lang w:val="en-US"/>
        </w:rPr>
        <w:t>Soeren</w:t>
      </w:r>
      <w:proofErr w:type="spellEnd"/>
      <w:r w:rsidRPr="00D12EFC">
        <w:rPr>
          <w:rFonts w:ascii="Times New Roman" w:eastAsia="Times New Roman" w:hAnsi="Times New Roman" w:cs="Times New Roman"/>
          <w:sz w:val="24"/>
          <w:szCs w:val="20"/>
          <w:lang w:val="en-US"/>
        </w:rPr>
        <w:t xml:space="preserve"> </w:t>
      </w:r>
      <w:proofErr w:type="spellStart"/>
      <w:r w:rsidRPr="00D12EFC">
        <w:rPr>
          <w:rFonts w:ascii="Times New Roman" w:eastAsia="Times New Roman" w:hAnsi="Times New Roman" w:cs="Times New Roman"/>
          <w:sz w:val="24"/>
          <w:szCs w:val="20"/>
          <w:lang w:val="en-US"/>
        </w:rPr>
        <w:t>Hvidkjaer</w:t>
      </w:r>
      <w:proofErr w:type="spellEnd"/>
      <w:r w:rsidRPr="00D12EFC">
        <w:rPr>
          <w:rFonts w:ascii="Times New Roman" w:eastAsia="Times New Roman" w:hAnsi="Times New Roman" w:cs="Times New Roman"/>
          <w:sz w:val="24"/>
          <w:szCs w:val="20"/>
          <w:lang w:val="en-US"/>
        </w:rPr>
        <w:t xml:space="preserve">, and </w:t>
      </w:r>
      <w:proofErr w:type="spellStart"/>
      <w:r w:rsidRPr="00D12EFC">
        <w:rPr>
          <w:rFonts w:ascii="Times New Roman" w:eastAsia="Times New Roman" w:hAnsi="Times New Roman" w:cs="Times New Roman"/>
          <w:sz w:val="24"/>
          <w:szCs w:val="20"/>
          <w:lang w:val="en-US"/>
        </w:rPr>
        <w:t>Bhaskaran</w:t>
      </w:r>
      <w:proofErr w:type="spellEnd"/>
      <w:r w:rsidRPr="00D12EFC">
        <w:rPr>
          <w:rFonts w:ascii="Times New Roman" w:eastAsia="Times New Roman" w:hAnsi="Times New Roman" w:cs="Times New Roman"/>
          <w:sz w:val="24"/>
          <w:szCs w:val="20"/>
          <w:lang w:val="en-US"/>
        </w:rPr>
        <w:t xml:space="preserve"> </w:t>
      </w:r>
      <w:proofErr w:type="spellStart"/>
      <w:r w:rsidRPr="00D12EFC">
        <w:rPr>
          <w:rFonts w:ascii="Times New Roman" w:eastAsia="Times New Roman" w:hAnsi="Times New Roman" w:cs="Times New Roman"/>
          <w:sz w:val="24"/>
          <w:szCs w:val="20"/>
          <w:lang w:val="en-US"/>
        </w:rPr>
        <w:t>Swaminathan</w:t>
      </w:r>
      <w:proofErr w:type="spellEnd"/>
      <w:r w:rsidRPr="00D12EFC">
        <w:rPr>
          <w:rFonts w:ascii="Times New Roman" w:eastAsia="Times New Roman" w:hAnsi="Times New Roman" w:cs="Times New Roman"/>
          <w:sz w:val="24"/>
          <w:szCs w:val="20"/>
          <w:lang w:val="en-US"/>
        </w:rPr>
        <w:t xml:space="preserve">. 2005. “Stock and Bond Market Interaction: Does Momentum Spill Over?” </w:t>
      </w:r>
      <w:r w:rsidRPr="00D12EFC">
        <w:rPr>
          <w:rFonts w:ascii="Times New Roman" w:eastAsia="Times New Roman" w:hAnsi="Times New Roman" w:cs="Times New Roman"/>
          <w:i/>
          <w:sz w:val="24"/>
          <w:szCs w:val="20"/>
          <w:lang w:val="en-US"/>
        </w:rPr>
        <w:t>Journal of Financial Economics</w:t>
      </w:r>
      <w:r w:rsidRPr="00D12EFC">
        <w:rPr>
          <w:rFonts w:ascii="Times New Roman" w:eastAsia="Times New Roman" w:hAnsi="Times New Roman" w:cs="Times New Roman"/>
          <w:sz w:val="24"/>
          <w:szCs w:val="20"/>
          <w:lang w:val="en-US"/>
        </w:rPr>
        <w:t>, vol. 75, no. 3</w:t>
      </w:r>
      <w:r w:rsidR="00A13738">
        <w:rPr>
          <w:rFonts w:ascii="Times New Roman" w:eastAsia="Times New Roman" w:hAnsi="Times New Roman" w:cs="Times New Roman"/>
          <w:sz w:val="24"/>
          <w:szCs w:val="20"/>
          <w:lang w:val="en-US"/>
        </w:rPr>
        <w:t xml:space="preserve"> (March)</w:t>
      </w:r>
      <w:r w:rsidRPr="00D12EFC">
        <w:rPr>
          <w:rFonts w:ascii="Times New Roman" w:eastAsia="Times New Roman" w:hAnsi="Times New Roman" w:cs="Times New Roman"/>
          <w:sz w:val="24"/>
          <w:szCs w:val="20"/>
          <w:lang w:val="en-US"/>
        </w:rPr>
        <w:t>: 651</w:t>
      </w:r>
      <w:r w:rsidR="007E680E">
        <w:rPr>
          <w:rFonts w:ascii="Times New Roman" w:eastAsia="Times New Roman" w:hAnsi="Times New Roman" w:cs="Times New Roman"/>
          <w:sz w:val="24"/>
          <w:szCs w:val="20"/>
          <w:lang w:val="en-US"/>
        </w:rPr>
        <w:t>–</w:t>
      </w:r>
      <w:r w:rsidRPr="00D12EFC">
        <w:rPr>
          <w:rFonts w:ascii="Times New Roman" w:eastAsia="Times New Roman" w:hAnsi="Times New Roman" w:cs="Times New Roman"/>
          <w:sz w:val="24"/>
          <w:szCs w:val="20"/>
          <w:lang w:val="en-US"/>
        </w:rPr>
        <w:t>690.</w:t>
      </w:r>
    </w:p>
    <w:p w14:paraId="731DBC47" w14:textId="4DF41806" w:rsidR="008461E3" w:rsidRDefault="008461E3" w:rsidP="00E75308">
      <w:pPr>
        <w:spacing w:after="120" w:line="480" w:lineRule="auto"/>
        <w:rPr>
          <w:rFonts w:ascii="Times New Roman" w:eastAsia="Times New Roman" w:hAnsi="Times New Roman" w:cs="Times New Roman"/>
          <w:sz w:val="24"/>
          <w:szCs w:val="20"/>
          <w:lang w:val="en-US"/>
        </w:rPr>
      </w:pPr>
      <w:r w:rsidRPr="00D12EFC">
        <w:rPr>
          <w:rFonts w:ascii="Times New Roman" w:eastAsia="Times New Roman" w:hAnsi="Times New Roman" w:cs="Times New Roman"/>
          <w:sz w:val="24"/>
          <w:szCs w:val="20"/>
        </w:rPr>
        <w:t xml:space="preserve">Haesen, Daniel, Patrick Houweling, and Jeroen van Zundert. </w:t>
      </w:r>
      <w:r w:rsidRPr="008461E3">
        <w:rPr>
          <w:rFonts w:ascii="Times New Roman" w:eastAsia="Times New Roman" w:hAnsi="Times New Roman" w:cs="Times New Roman"/>
          <w:sz w:val="24"/>
          <w:szCs w:val="20"/>
          <w:lang w:val="en-US"/>
        </w:rPr>
        <w:t xml:space="preserve">2015. “Momentum Spillover from Stocks to Corporate Bonds.” </w:t>
      </w:r>
      <w:r w:rsidR="000B68B0">
        <w:rPr>
          <w:rFonts w:ascii="Times New Roman" w:eastAsia="Times New Roman" w:hAnsi="Times New Roman" w:cs="Times New Roman"/>
          <w:sz w:val="24"/>
          <w:szCs w:val="20"/>
          <w:lang w:val="en-US"/>
        </w:rPr>
        <w:t>W</w:t>
      </w:r>
      <w:r w:rsidRPr="000B68B0">
        <w:rPr>
          <w:rFonts w:ascii="Times New Roman" w:eastAsia="Times New Roman" w:hAnsi="Times New Roman" w:cs="Times New Roman"/>
          <w:sz w:val="24"/>
          <w:szCs w:val="20"/>
          <w:lang w:val="en-US"/>
        </w:rPr>
        <w:t>orking paper</w:t>
      </w:r>
      <w:r w:rsidRPr="008461E3">
        <w:rPr>
          <w:rFonts w:ascii="Times New Roman" w:eastAsia="Times New Roman" w:hAnsi="Times New Roman" w:cs="Times New Roman"/>
          <w:sz w:val="24"/>
          <w:szCs w:val="20"/>
          <w:lang w:val="en-US"/>
        </w:rPr>
        <w:t xml:space="preserve"> </w:t>
      </w:r>
      <w:r w:rsidR="000B68B0">
        <w:rPr>
          <w:rFonts w:ascii="Times New Roman" w:eastAsia="Times New Roman" w:hAnsi="Times New Roman" w:cs="Times New Roman"/>
          <w:sz w:val="24"/>
          <w:szCs w:val="20"/>
          <w:lang w:val="en-US"/>
        </w:rPr>
        <w:t>(</w:t>
      </w:r>
      <w:r w:rsidRPr="008461E3">
        <w:rPr>
          <w:rFonts w:ascii="Times New Roman" w:eastAsia="Times New Roman" w:hAnsi="Times New Roman" w:cs="Times New Roman"/>
          <w:sz w:val="24"/>
          <w:szCs w:val="20"/>
          <w:lang w:val="en-US"/>
        </w:rPr>
        <w:t>ssrn.com/abstract=2131032</w:t>
      </w:r>
      <w:r w:rsidR="000B68B0">
        <w:rPr>
          <w:rFonts w:ascii="Times New Roman" w:eastAsia="Times New Roman" w:hAnsi="Times New Roman" w:cs="Times New Roman"/>
          <w:sz w:val="24"/>
          <w:szCs w:val="20"/>
          <w:lang w:val="en-US"/>
        </w:rPr>
        <w:t>)</w:t>
      </w:r>
      <w:r w:rsidRPr="008461E3">
        <w:rPr>
          <w:rFonts w:ascii="Times New Roman" w:eastAsia="Times New Roman" w:hAnsi="Times New Roman" w:cs="Times New Roman"/>
          <w:sz w:val="24"/>
          <w:szCs w:val="20"/>
          <w:lang w:val="en-US"/>
        </w:rPr>
        <w:t>.</w:t>
      </w:r>
    </w:p>
    <w:p w14:paraId="1ED9FA3E" w14:textId="19B5A80F" w:rsidR="00D12EFC" w:rsidRDefault="00D12EFC" w:rsidP="00E75308">
      <w:pPr>
        <w:spacing w:after="120" w:line="480" w:lineRule="auto"/>
        <w:rPr>
          <w:rFonts w:ascii="Times New Roman" w:eastAsia="Times New Roman" w:hAnsi="Times New Roman" w:cs="Times New Roman"/>
          <w:sz w:val="24"/>
          <w:szCs w:val="20"/>
          <w:lang w:val="en-US"/>
        </w:rPr>
      </w:pPr>
      <w:r w:rsidRPr="00D12EFC">
        <w:rPr>
          <w:rFonts w:ascii="Times New Roman" w:eastAsia="Times New Roman" w:hAnsi="Times New Roman" w:cs="Times New Roman"/>
          <w:sz w:val="24"/>
          <w:szCs w:val="20"/>
          <w:lang w:val="en-US"/>
        </w:rPr>
        <w:t xml:space="preserve">Jobson, J. Dave, and Bob M. </w:t>
      </w:r>
      <w:proofErr w:type="spellStart"/>
      <w:r w:rsidRPr="00D12EFC">
        <w:rPr>
          <w:rFonts w:ascii="Times New Roman" w:eastAsia="Times New Roman" w:hAnsi="Times New Roman" w:cs="Times New Roman"/>
          <w:sz w:val="24"/>
          <w:szCs w:val="20"/>
          <w:lang w:val="en-US"/>
        </w:rPr>
        <w:t>Korkie</w:t>
      </w:r>
      <w:proofErr w:type="spellEnd"/>
      <w:r w:rsidRPr="00D12EFC">
        <w:rPr>
          <w:rFonts w:ascii="Times New Roman" w:eastAsia="Times New Roman" w:hAnsi="Times New Roman" w:cs="Times New Roman"/>
          <w:sz w:val="24"/>
          <w:szCs w:val="20"/>
          <w:lang w:val="en-US"/>
        </w:rPr>
        <w:t xml:space="preserve">. 1981. “Performance Hypothesis Testing with the Sharpe and Treynor Measures.” </w:t>
      </w:r>
      <w:r w:rsidRPr="00D12EFC">
        <w:rPr>
          <w:rFonts w:ascii="Times New Roman" w:eastAsia="Times New Roman" w:hAnsi="Times New Roman" w:cs="Times New Roman"/>
          <w:i/>
          <w:sz w:val="24"/>
          <w:szCs w:val="20"/>
          <w:lang w:val="en-US"/>
        </w:rPr>
        <w:t>Journal of Finance</w:t>
      </w:r>
      <w:r w:rsidRPr="00D12EFC">
        <w:rPr>
          <w:rFonts w:ascii="Times New Roman" w:eastAsia="Times New Roman" w:hAnsi="Times New Roman" w:cs="Times New Roman"/>
          <w:sz w:val="24"/>
          <w:szCs w:val="20"/>
          <w:lang w:val="en-US"/>
        </w:rPr>
        <w:t>, vol. 36, no. 4</w:t>
      </w:r>
      <w:r w:rsidR="00D85D7B">
        <w:rPr>
          <w:rFonts w:ascii="Times New Roman" w:eastAsia="Times New Roman" w:hAnsi="Times New Roman" w:cs="Times New Roman"/>
          <w:sz w:val="24"/>
          <w:szCs w:val="20"/>
          <w:lang w:val="en-US"/>
        </w:rPr>
        <w:t xml:space="preserve"> (September)</w:t>
      </w:r>
      <w:r w:rsidRPr="00D12EFC">
        <w:rPr>
          <w:rFonts w:ascii="Times New Roman" w:eastAsia="Times New Roman" w:hAnsi="Times New Roman" w:cs="Times New Roman"/>
          <w:sz w:val="24"/>
          <w:szCs w:val="20"/>
          <w:lang w:val="en-US"/>
        </w:rPr>
        <w:t>: 889</w:t>
      </w:r>
      <w:r w:rsidR="00911860">
        <w:rPr>
          <w:rFonts w:ascii="Times New Roman" w:eastAsia="Times New Roman" w:hAnsi="Times New Roman" w:cs="Times New Roman"/>
          <w:sz w:val="24"/>
          <w:szCs w:val="20"/>
          <w:lang w:val="en-US"/>
        </w:rPr>
        <w:t>–</w:t>
      </w:r>
      <w:r w:rsidRPr="00D12EFC">
        <w:rPr>
          <w:rFonts w:ascii="Times New Roman" w:eastAsia="Times New Roman" w:hAnsi="Times New Roman" w:cs="Times New Roman"/>
          <w:sz w:val="24"/>
          <w:szCs w:val="20"/>
          <w:lang w:val="en-US"/>
        </w:rPr>
        <w:t>908.</w:t>
      </w:r>
    </w:p>
    <w:p w14:paraId="44265452" w14:textId="05A80EAC" w:rsidR="00D12EFC" w:rsidRPr="00D12EFC" w:rsidRDefault="00D12EFC" w:rsidP="00E75308">
      <w:pPr>
        <w:spacing w:after="120" w:line="480" w:lineRule="auto"/>
        <w:rPr>
          <w:rFonts w:ascii="Times New Roman" w:eastAsia="Times New Roman" w:hAnsi="Times New Roman" w:cs="Times New Roman"/>
          <w:sz w:val="24"/>
          <w:szCs w:val="20"/>
          <w:lang w:val="en-US"/>
        </w:rPr>
      </w:pPr>
      <w:proofErr w:type="spellStart"/>
      <w:r w:rsidRPr="00D12EFC">
        <w:rPr>
          <w:rFonts w:ascii="Times New Roman" w:eastAsia="Times New Roman" w:hAnsi="Times New Roman" w:cs="Times New Roman"/>
          <w:sz w:val="24"/>
          <w:szCs w:val="20"/>
          <w:lang w:val="en-US"/>
        </w:rPr>
        <w:t>Sarig</w:t>
      </w:r>
      <w:proofErr w:type="spellEnd"/>
      <w:r w:rsidRPr="00D12EFC">
        <w:rPr>
          <w:rFonts w:ascii="Times New Roman" w:eastAsia="Times New Roman" w:hAnsi="Times New Roman" w:cs="Times New Roman"/>
          <w:sz w:val="24"/>
          <w:szCs w:val="20"/>
          <w:lang w:val="en-US"/>
        </w:rPr>
        <w:t xml:space="preserve">, </w:t>
      </w:r>
      <w:proofErr w:type="spellStart"/>
      <w:proofErr w:type="gramStart"/>
      <w:r w:rsidRPr="00D12EFC">
        <w:rPr>
          <w:rFonts w:ascii="Times New Roman" w:eastAsia="Times New Roman" w:hAnsi="Times New Roman" w:cs="Times New Roman"/>
          <w:sz w:val="24"/>
          <w:szCs w:val="20"/>
          <w:lang w:val="en-US"/>
        </w:rPr>
        <w:t>Oded</w:t>
      </w:r>
      <w:proofErr w:type="spellEnd"/>
      <w:proofErr w:type="gramEnd"/>
      <w:r w:rsidRPr="00D12EFC">
        <w:rPr>
          <w:rFonts w:ascii="Times New Roman" w:eastAsia="Times New Roman" w:hAnsi="Times New Roman" w:cs="Times New Roman"/>
          <w:sz w:val="24"/>
          <w:szCs w:val="20"/>
          <w:lang w:val="en-US"/>
        </w:rPr>
        <w:t xml:space="preserve">, and Arthur D. </w:t>
      </w:r>
      <w:proofErr w:type="spellStart"/>
      <w:r w:rsidRPr="00D12EFC">
        <w:rPr>
          <w:rFonts w:ascii="Times New Roman" w:eastAsia="Times New Roman" w:hAnsi="Times New Roman" w:cs="Times New Roman"/>
          <w:sz w:val="24"/>
          <w:szCs w:val="20"/>
          <w:lang w:val="en-US"/>
        </w:rPr>
        <w:t>Warga</w:t>
      </w:r>
      <w:proofErr w:type="spellEnd"/>
      <w:r w:rsidRPr="00D12EFC">
        <w:rPr>
          <w:rFonts w:ascii="Times New Roman" w:eastAsia="Times New Roman" w:hAnsi="Times New Roman" w:cs="Times New Roman"/>
          <w:sz w:val="24"/>
          <w:szCs w:val="20"/>
          <w:lang w:val="en-US"/>
        </w:rPr>
        <w:t>. 1989. “Bond Price Data and Bond Market Liquidity</w:t>
      </w:r>
      <w:r w:rsidR="00116A00">
        <w:rPr>
          <w:rFonts w:ascii="Times New Roman" w:eastAsia="Times New Roman" w:hAnsi="Times New Roman" w:cs="Times New Roman"/>
          <w:sz w:val="24"/>
          <w:szCs w:val="20"/>
          <w:lang w:val="en-US"/>
        </w:rPr>
        <w:t>.</w:t>
      </w:r>
      <w:r w:rsidRPr="00D12EFC">
        <w:rPr>
          <w:rFonts w:ascii="Times New Roman" w:eastAsia="Times New Roman" w:hAnsi="Times New Roman" w:cs="Times New Roman"/>
          <w:sz w:val="24"/>
          <w:szCs w:val="20"/>
          <w:lang w:val="en-US"/>
        </w:rPr>
        <w:t xml:space="preserve">” </w:t>
      </w:r>
      <w:r w:rsidRPr="00D12EFC">
        <w:rPr>
          <w:rFonts w:ascii="Times New Roman" w:eastAsia="Times New Roman" w:hAnsi="Times New Roman" w:cs="Times New Roman"/>
          <w:i/>
          <w:sz w:val="24"/>
          <w:szCs w:val="20"/>
          <w:lang w:val="en-US"/>
        </w:rPr>
        <w:t>Journal of Financial and Quantitative Analysis</w:t>
      </w:r>
      <w:r w:rsidRPr="00D12EFC">
        <w:rPr>
          <w:rFonts w:ascii="Times New Roman" w:eastAsia="Times New Roman" w:hAnsi="Times New Roman" w:cs="Times New Roman"/>
          <w:sz w:val="24"/>
          <w:szCs w:val="20"/>
          <w:lang w:val="en-US"/>
        </w:rPr>
        <w:t>, vol. 24, no. 3</w:t>
      </w:r>
      <w:r w:rsidR="001E1FB5">
        <w:rPr>
          <w:rFonts w:ascii="Times New Roman" w:eastAsia="Times New Roman" w:hAnsi="Times New Roman" w:cs="Times New Roman"/>
          <w:sz w:val="24"/>
          <w:szCs w:val="20"/>
          <w:lang w:val="en-US"/>
        </w:rPr>
        <w:t xml:space="preserve"> (September)</w:t>
      </w:r>
      <w:r w:rsidRPr="00D12EFC">
        <w:rPr>
          <w:rFonts w:ascii="Times New Roman" w:eastAsia="Times New Roman" w:hAnsi="Times New Roman" w:cs="Times New Roman"/>
          <w:sz w:val="24"/>
          <w:szCs w:val="20"/>
          <w:lang w:val="en-US"/>
        </w:rPr>
        <w:t>: 367–378.</w:t>
      </w:r>
    </w:p>
    <w:p w14:paraId="3F42FE35" w14:textId="1B8E524E" w:rsidR="00486F2D" w:rsidRDefault="00486F2D">
      <w:pPr>
        <w:rPr>
          <w:rFonts w:ascii="Times New Roman" w:hAnsi="Times New Roman" w:cs="Times New Roman"/>
          <w:lang w:val="en-US"/>
        </w:rPr>
      </w:pPr>
    </w:p>
    <w:p w14:paraId="3B62FE53" w14:textId="77777777" w:rsidR="007836D3" w:rsidRDefault="007836D3" w:rsidP="00F949B9">
      <w:pPr>
        <w:spacing w:after="0" w:line="240" w:lineRule="auto"/>
        <w:rPr>
          <w:rFonts w:ascii="Times New Roman" w:hAnsi="Times New Roman" w:cs="Times New Roman"/>
          <w:b/>
          <w:sz w:val="20"/>
          <w:lang w:val="en-US"/>
        </w:rPr>
      </w:pPr>
      <w:bookmarkStart w:id="4" w:name="_Ref451085221"/>
    </w:p>
    <w:bookmarkEnd w:id="4"/>
    <w:sectPr w:rsidR="007836D3" w:rsidSect="00486F2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zLF SemiLight">
    <w:altName w:val="Corbel"/>
    <w:charset w:val="00"/>
    <w:family w:val="swiss"/>
    <w:pitch w:val="variable"/>
    <w:sig w:usb0="00000001" w:usb1="5000206A" w:usb2="00000000" w:usb3="00000000" w:csb0="00000093"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4B67"/>
    <w:multiLevelType w:val="multilevel"/>
    <w:tmpl w:val="CED697A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6A5F5B"/>
    <w:multiLevelType w:val="hybridMultilevel"/>
    <w:tmpl w:val="E76CD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AF"/>
    <w:rsid w:val="00002041"/>
    <w:rsid w:val="00026274"/>
    <w:rsid w:val="00031042"/>
    <w:rsid w:val="00040F00"/>
    <w:rsid w:val="0004551C"/>
    <w:rsid w:val="00051CAE"/>
    <w:rsid w:val="0007279F"/>
    <w:rsid w:val="00080273"/>
    <w:rsid w:val="000A6FE1"/>
    <w:rsid w:val="000B341C"/>
    <w:rsid w:val="000B68B0"/>
    <w:rsid w:val="000B7AFA"/>
    <w:rsid w:val="000C2CE3"/>
    <w:rsid w:val="000D14E6"/>
    <w:rsid w:val="000F1F94"/>
    <w:rsid w:val="000F7277"/>
    <w:rsid w:val="00116A00"/>
    <w:rsid w:val="0013184A"/>
    <w:rsid w:val="00147BEB"/>
    <w:rsid w:val="001617A5"/>
    <w:rsid w:val="00166A8C"/>
    <w:rsid w:val="00174B61"/>
    <w:rsid w:val="0018011D"/>
    <w:rsid w:val="00187E90"/>
    <w:rsid w:val="001A2294"/>
    <w:rsid w:val="001A40D2"/>
    <w:rsid w:val="001B3527"/>
    <w:rsid w:val="001B53EF"/>
    <w:rsid w:val="001C6D22"/>
    <w:rsid w:val="001C7230"/>
    <w:rsid w:val="001D6EED"/>
    <w:rsid w:val="001E1444"/>
    <w:rsid w:val="001E1FB5"/>
    <w:rsid w:val="001F3801"/>
    <w:rsid w:val="001F3D11"/>
    <w:rsid w:val="00204ACC"/>
    <w:rsid w:val="00225E5F"/>
    <w:rsid w:val="00227DC9"/>
    <w:rsid w:val="00241500"/>
    <w:rsid w:val="00241891"/>
    <w:rsid w:val="00261C1B"/>
    <w:rsid w:val="002655A9"/>
    <w:rsid w:val="00265F03"/>
    <w:rsid w:val="0027449E"/>
    <w:rsid w:val="00284480"/>
    <w:rsid w:val="002B2460"/>
    <w:rsid w:val="002B2494"/>
    <w:rsid w:val="002B42DC"/>
    <w:rsid w:val="002C0301"/>
    <w:rsid w:val="002C66D1"/>
    <w:rsid w:val="002D01A2"/>
    <w:rsid w:val="002D2EE7"/>
    <w:rsid w:val="002D3A96"/>
    <w:rsid w:val="002E5550"/>
    <w:rsid w:val="002E7B21"/>
    <w:rsid w:val="002F7E8C"/>
    <w:rsid w:val="00301E88"/>
    <w:rsid w:val="0034054C"/>
    <w:rsid w:val="0035003B"/>
    <w:rsid w:val="003822ED"/>
    <w:rsid w:val="00385C70"/>
    <w:rsid w:val="003A2EFB"/>
    <w:rsid w:val="003B539C"/>
    <w:rsid w:val="003B562E"/>
    <w:rsid w:val="003C113C"/>
    <w:rsid w:val="003C56A5"/>
    <w:rsid w:val="003C5EA4"/>
    <w:rsid w:val="003E2CFA"/>
    <w:rsid w:val="003F1311"/>
    <w:rsid w:val="00400DC3"/>
    <w:rsid w:val="0040384E"/>
    <w:rsid w:val="00404A63"/>
    <w:rsid w:val="00404AB8"/>
    <w:rsid w:val="0041197E"/>
    <w:rsid w:val="00424BC9"/>
    <w:rsid w:val="00424D58"/>
    <w:rsid w:val="004271AD"/>
    <w:rsid w:val="00443F4C"/>
    <w:rsid w:val="00453867"/>
    <w:rsid w:val="004545D7"/>
    <w:rsid w:val="00461B26"/>
    <w:rsid w:val="00461DD3"/>
    <w:rsid w:val="00465C61"/>
    <w:rsid w:val="00484F02"/>
    <w:rsid w:val="00486F2D"/>
    <w:rsid w:val="004A4DD8"/>
    <w:rsid w:val="004B34CF"/>
    <w:rsid w:val="004C29AF"/>
    <w:rsid w:val="004D4D52"/>
    <w:rsid w:val="004F0DE2"/>
    <w:rsid w:val="004F6885"/>
    <w:rsid w:val="005148C7"/>
    <w:rsid w:val="00525E2E"/>
    <w:rsid w:val="0052683A"/>
    <w:rsid w:val="005269AF"/>
    <w:rsid w:val="005272C2"/>
    <w:rsid w:val="005313AC"/>
    <w:rsid w:val="005338B8"/>
    <w:rsid w:val="00544553"/>
    <w:rsid w:val="00546F63"/>
    <w:rsid w:val="00574AC7"/>
    <w:rsid w:val="005779FF"/>
    <w:rsid w:val="005863AD"/>
    <w:rsid w:val="005D6F3B"/>
    <w:rsid w:val="005F448D"/>
    <w:rsid w:val="005F44CD"/>
    <w:rsid w:val="005F5FCD"/>
    <w:rsid w:val="0060533B"/>
    <w:rsid w:val="00607BC0"/>
    <w:rsid w:val="006210E0"/>
    <w:rsid w:val="00627453"/>
    <w:rsid w:val="00642E60"/>
    <w:rsid w:val="006467BB"/>
    <w:rsid w:val="00684EFC"/>
    <w:rsid w:val="00691082"/>
    <w:rsid w:val="00691837"/>
    <w:rsid w:val="00696A10"/>
    <w:rsid w:val="00697377"/>
    <w:rsid w:val="006A5EB4"/>
    <w:rsid w:val="006B063E"/>
    <w:rsid w:val="006B726A"/>
    <w:rsid w:val="006D37E1"/>
    <w:rsid w:val="006D7C2A"/>
    <w:rsid w:val="00701624"/>
    <w:rsid w:val="00707513"/>
    <w:rsid w:val="00714B7B"/>
    <w:rsid w:val="00722C5D"/>
    <w:rsid w:val="00731A35"/>
    <w:rsid w:val="0073245E"/>
    <w:rsid w:val="0074438C"/>
    <w:rsid w:val="00753797"/>
    <w:rsid w:val="00755D19"/>
    <w:rsid w:val="00766842"/>
    <w:rsid w:val="00767554"/>
    <w:rsid w:val="00770D59"/>
    <w:rsid w:val="007836D3"/>
    <w:rsid w:val="007879B4"/>
    <w:rsid w:val="00797458"/>
    <w:rsid w:val="007B0CFF"/>
    <w:rsid w:val="007C0EF4"/>
    <w:rsid w:val="007C1C77"/>
    <w:rsid w:val="007C5C23"/>
    <w:rsid w:val="007D4ED2"/>
    <w:rsid w:val="007E2ABA"/>
    <w:rsid w:val="007E680E"/>
    <w:rsid w:val="007F07C4"/>
    <w:rsid w:val="007F196A"/>
    <w:rsid w:val="007F1C02"/>
    <w:rsid w:val="007F38BF"/>
    <w:rsid w:val="00801A60"/>
    <w:rsid w:val="008047F0"/>
    <w:rsid w:val="00823891"/>
    <w:rsid w:val="008261CA"/>
    <w:rsid w:val="008461E3"/>
    <w:rsid w:val="00857B5C"/>
    <w:rsid w:val="008637B7"/>
    <w:rsid w:val="00863D67"/>
    <w:rsid w:val="008727FF"/>
    <w:rsid w:val="008737A7"/>
    <w:rsid w:val="00875FA3"/>
    <w:rsid w:val="008A2B72"/>
    <w:rsid w:val="008A6495"/>
    <w:rsid w:val="008B7BE3"/>
    <w:rsid w:val="008D7955"/>
    <w:rsid w:val="008F2670"/>
    <w:rsid w:val="008F7485"/>
    <w:rsid w:val="00911860"/>
    <w:rsid w:val="00926EE8"/>
    <w:rsid w:val="00937FB7"/>
    <w:rsid w:val="00961D6D"/>
    <w:rsid w:val="009728EC"/>
    <w:rsid w:val="009860A3"/>
    <w:rsid w:val="00994716"/>
    <w:rsid w:val="009B0256"/>
    <w:rsid w:val="009B574C"/>
    <w:rsid w:val="009B77A8"/>
    <w:rsid w:val="009C2554"/>
    <w:rsid w:val="009C4178"/>
    <w:rsid w:val="009C7D73"/>
    <w:rsid w:val="009D48FD"/>
    <w:rsid w:val="009F465F"/>
    <w:rsid w:val="00A12180"/>
    <w:rsid w:val="00A13738"/>
    <w:rsid w:val="00A23255"/>
    <w:rsid w:val="00A305FE"/>
    <w:rsid w:val="00A45E5E"/>
    <w:rsid w:val="00A54824"/>
    <w:rsid w:val="00A7079F"/>
    <w:rsid w:val="00A752F3"/>
    <w:rsid w:val="00A77D37"/>
    <w:rsid w:val="00A83B5D"/>
    <w:rsid w:val="00AA78A6"/>
    <w:rsid w:val="00AC5B43"/>
    <w:rsid w:val="00AD4401"/>
    <w:rsid w:val="00AE1239"/>
    <w:rsid w:val="00B06A19"/>
    <w:rsid w:val="00B22F11"/>
    <w:rsid w:val="00B34A66"/>
    <w:rsid w:val="00B44F4A"/>
    <w:rsid w:val="00B63F0A"/>
    <w:rsid w:val="00B64E7A"/>
    <w:rsid w:val="00BA4844"/>
    <w:rsid w:val="00BB5EEB"/>
    <w:rsid w:val="00BC2072"/>
    <w:rsid w:val="00BE0177"/>
    <w:rsid w:val="00BE21C2"/>
    <w:rsid w:val="00C02E44"/>
    <w:rsid w:val="00C04379"/>
    <w:rsid w:val="00C334D0"/>
    <w:rsid w:val="00C36B3D"/>
    <w:rsid w:val="00C37629"/>
    <w:rsid w:val="00C51BD1"/>
    <w:rsid w:val="00C60EB8"/>
    <w:rsid w:val="00C62D92"/>
    <w:rsid w:val="00C7035D"/>
    <w:rsid w:val="00C77691"/>
    <w:rsid w:val="00C820AE"/>
    <w:rsid w:val="00C944A0"/>
    <w:rsid w:val="00CA0F5F"/>
    <w:rsid w:val="00CB4F10"/>
    <w:rsid w:val="00CD72BF"/>
    <w:rsid w:val="00CE0A08"/>
    <w:rsid w:val="00D07BC6"/>
    <w:rsid w:val="00D12EFC"/>
    <w:rsid w:val="00D27D90"/>
    <w:rsid w:val="00D7554E"/>
    <w:rsid w:val="00D81947"/>
    <w:rsid w:val="00D8238E"/>
    <w:rsid w:val="00D85D7B"/>
    <w:rsid w:val="00D91B4D"/>
    <w:rsid w:val="00D92E3B"/>
    <w:rsid w:val="00D948AF"/>
    <w:rsid w:val="00D94E0B"/>
    <w:rsid w:val="00DD4EE4"/>
    <w:rsid w:val="00DE137A"/>
    <w:rsid w:val="00DE4C5F"/>
    <w:rsid w:val="00DE6CDB"/>
    <w:rsid w:val="00DF0923"/>
    <w:rsid w:val="00DF5EB6"/>
    <w:rsid w:val="00E12FD9"/>
    <w:rsid w:val="00E2309F"/>
    <w:rsid w:val="00E33328"/>
    <w:rsid w:val="00E402DA"/>
    <w:rsid w:val="00E6264F"/>
    <w:rsid w:val="00E70125"/>
    <w:rsid w:val="00E75308"/>
    <w:rsid w:val="00E85698"/>
    <w:rsid w:val="00E97C63"/>
    <w:rsid w:val="00EA1556"/>
    <w:rsid w:val="00EA3F98"/>
    <w:rsid w:val="00EB50CD"/>
    <w:rsid w:val="00EC0768"/>
    <w:rsid w:val="00EC0E6B"/>
    <w:rsid w:val="00EC4089"/>
    <w:rsid w:val="00EC4ED4"/>
    <w:rsid w:val="00EC77AF"/>
    <w:rsid w:val="00ED6417"/>
    <w:rsid w:val="00EE064A"/>
    <w:rsid w:val="00EE2DEA"/>
    <w:rsid w:val="00EE7797"/>
    <w:rsid w:val="00EF2DC8"/>
    <w:rsid w:val="00EF5149"/>
    <w:rsid w:val="00F00BD7"/>
    <w:rsid w:val="00F11D29"/>
    <w:rsid w:val="00F13F40"/>
    <w:rsid w:val="00F241AF"/>
    <w:rsid w:val="00F42D94"/>
    <w:rsid w:val="00F45C2A"/>
    <w:rsid w:val="00F573B7"/>
    <w:rsid w:val="00F90B7B"/>
    <w:rsid w:val="00F949B9"/>
    <w:rsid w:val="00FA0342"/>
    <w:rsid w:val="00FC1A0F"/>
    <w:rsid w:val="00FD12A9"/>
    <w:rsid w:val="00FD6587"/>
    <w:rsid w:val="00FE7E67"/>
    <w:rsid w:val="00FF18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C246"/>
  <w15:chartTrackingRefBased/>
  <w15:docId w15:val="{6C0D2A83-BBE2-4EAF-BA97-B8BC3AC1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9AF"/>
    <w:pPr>
      <w:keepNext/>
      <w:keepLines/>
      <w:numPr>
        <w:numId w:val="1"/>
      </w:numPr>
      <w:suppressAutoHyphens/>
      <w:spacing w:before="320" w:after="0" w:line="480" w:lineRule="auto"/>
      <w:ind w:left="357" w:hanging="357"/>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5269AF"/>
    <w:pPr>
      <w:keepNext/>
      <w:keepLines/>
      <w:suppressAutoHyphens/>
      <w:spacing w:before="200" w:after="0" w:line="480" w:lineRule="auto"/>
      <w:outlineLvl w:val="1"/>
    </w:pPr>
    <w:rPr>
      <w:rFonts w:ascii="Times New Roman" w:eastAsiaTheme="majorEastAsia" w:hAnsi="Times New Roman" w:cstheme="majorBidi"/>
      <w:b/>
      <w:bCs/>
      <w: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AF"/>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5269AF"/>
    <w:rPr>
      <w:rFonts w:ascii="Times New Roman" w:eastAsiaTheme="majorEastAsia" w:hAnsi="Times New Roman" w:cstheme="majorBidi"/>
      <w:b/>
      <w:bCs/>
      <w:i/>
      <w:sz w:val="26"/>
      <w:szCs w:val="26"/>
      <w:lang w:val="en-US"/>
    </w:rPr>
  </w:style>
  <w:style w:type="paragraph" w:styleId="ListParagraph">
    <w:name w:val="List Paragraph"/>
    <w:basedOn w:val="Normal"/>
    <w:uiPriority w:val="34"/>
    <w:qFormat/>
    <w:rsid w:val="005269AF"/>
    <w:pPr>
      <w:suppressAutoHyphens/>
      <w:spacing w:after="200" w:line="480" w:lineRule="auto"/>
      <w:ind w:left="720"/>
      <w:contextualSpacing/>
    </w:pPr>
    <w:rPr>
      <w:rFonts w:ascii="Times New Roman" w:eastAsia="Times New Roman" w:hAnsi="Times New Roman" w:cs="Times New Roman"/>
      <w:sz w:val="24"/>
      <w:szCs w:val="20"/>
      <w:lang w:val="en-US"/>
    </w:rPr>
  </w:style>
  <w:style w:type="paragraph" w:customStyle="1" w:styleId="RobecoStandardTableContent">
    <w:name w:val="Robeco_StandardTableContent"/>
    <w:basedOn w:val="Normal"/>
    <w:qFormat/>
    <w:rsid w:val="00486F2D"/>
    <w:pPr>
      <w:spacing w:after="200" w:line="480" w:lineRule="auto"/>
    </w:pPr>
    <w:rPr>
      <w:rFonts w:ascii="TazLF SemiLight" w:eastAsia="Times New Roman" w:hAnsi="TazLF SemiLight" w:cs="Times New Roman"/>
      <w:sz w:val="18"/>
      <w:szCs w:val="20"/>
      <w:lang w:val="en-US"/>
    </w:rPr>
  </w:style>
  <w:style w:type="table" w:customStyle="1" w:styleId="RobecoStandardTable">
    <w:name w:val="Robeco_StandardTable"/>
    <w:basedOn w:val="TableNormal"/>
    <w:rsid w:val="00714B7B"/>
    <w:pPr>
      <w:spacing w:after="0" w:line="240" w:lineRule="atLeast"/>
    </w:pPr>
    <w:rPr>
      <w:rFonts w:ascii="TazLF SemiLight" w:eastAsia="Times New Roman" w:hAnsi="TazLF SemiLight" w:cs="Times New Roman"/>
      <w:sz w:val="18"/>
      <w:szCs w:val="20"/>
      <w:lang w:eastAsia="nl-NL"/>
    </w:rPr>
    <w:tblPr>
      <w:tblInd w:w="68" w:type="dxa"/>
      <w:tblBorders>
        <w:insideH w:val="dotted" w:sz="4" w:space="0" w:color="00A2BD"/>
      </w:tblBorders>
      <w:tblCellMar>
        <w:left w:w="68" w:type="dxa"/>
        <w:bottom w:w="20" w:type="dxa"/>
        <w:right w:w="68" w:type="dxa"/>
      </w:tblCellMar>
    </w:tblPr>
    <w:tcPr>
      <w:vAlign w:val="center"/>
    </w:tcPr>
    <w:tblStylePr w:type="firstRow">
      <w:rPr>
        <w:i/>
      </w:rPr>
      <w:tblPr/>
      <w:tcPr>
        <w:tcBorders>
          <w:top w:val="single" w:sz="24" w:space="0" w:color="F79608"/>
          <w:bottom w:val="single" w:sz="12" w:space="0" w:color="00A2BD"/>
        </w:tcBorders>
      </w:tcPr>
    </w:tblStylePr>
    <w:tblStylePr w:type="lastRow">
      <w:tblPr/>
      <w:tcPr>
        <w:tcBorders>
          <w:top w:val="nil"/>
          <w:left w:val="nil"/>
          <w:bottom w:val="single" w:sz="12" w:space="0" w:color="00A2BD"/>
          <w:right w:val="nil"/>
          <w:insideH w:val="nil"/>
          <w:insideV w:val="nil"/>
        </w:tcBorders>
      </w:tcPr>
    </w:tblStylePr>
  </w:style>
  <w:style w:type="paragraph" w:styleId="BalloonText">
    <w:name w:val="Balloon Text"/>
    <w:basedOn w:val="Normal"/>
    <w:link w:val="BalloonTextChar"/>
    <w:uiPriority w:val="99"/>
    <w:semiHidden/>
    <w:unhideWhenUsed/>
    <w:rsid w:val="00846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1E3"/>
    <w:rPr>
      <w:rFonts w:ascii="Segoe UI" w:hAnsi="Segoe UI" w:cs="Segoe UI"/>
      <w:sz w:val="18"/>
      <w:szCs w:val="18"/>
    </w:rPr>
  </w:style>
  <w:style w:type="character" w:styleId="CommentReference">
    <w:name w:val="annotation reference"/>
    <w:basedOn w:val="DefaultParagraphFont"/>
    <w:uiPriority w:val="99"/>
    <w:semiHidden/>
    <w:unhideWhenUsed/>
    <w:rsid w:val="00DE4C5F"/>
    <w:rPr>
      <w:sz w:val="16"/>
      <w:szCs w:val="16"/>
    </w:rPr>
  </w:style>
  <w:style w:type="paragraph" w:styleId="CommentText">
    <w:name w:val="annotation text"/>
    <w:basedOn w:val="Normal"/>
    <w:link w:val="CommentTextChar"/>
    <w:uiPriority w:val="99"/>
    <w:semiHidden/>
    <w:unhideWhenUsed/>
    <w:rsid w:val="00DE4C5F"/>
    <w:pPr>
      <w:spacing w:line="240" w:lineRule="auto"/>
    </w:pPr>
    <w:rPr>
      <w:sz w:val="20"/>
      <w:szCs w:val="20"/>
    </w:rPr>
  </w:style>
  <w:style w:type="character" w:customStyle="1" w:styleId="CommentTextChar">
    <w:name w:val="Comment Text Char"/>
    <w:basedOn w:val="DefaultParagraphFont"/>
    <w:link w:val="CommentText"/>
    <w:uiPriority w:val="99"/>
    <w:semiHidden/>
    <w:rsid w:val="00DE4C5F"/>
    <w:rPr>
      <w:sz w:val="20"/>
      <w:szCs w:val="20"/>
    </w:rPr>
  </w:style>
  <w:style w:type="paragraph" w:styleId="CommentSubject">
    <w:name w:val="annotation subject"/>
    <w:basedOn w:val="CommentText"/>
    <w:next w:val="CommentText"/>
    <w:link w:val="CommentSubjectChar"/>
    <w:uiPriority w:val="99"/>
    <w:semiHidden/>
    <w:unhideWhenUsed/>
    <w:rsid w:val="00DE4C5F"/>
    <w:rPr>
      <w:b/>
      <w:bCs/>
    </w:rPr>
  </w:style>
  <w:style w:type="character" w:customStyle="1" w:styleId="CommentSubjectChar">
    <w:name w:val="Comment Subject Char"/>
    <w:basedOn w:val="CommentTextChar"/>
    <w:link w:val="CommentSubject"/>
    <w:uiPriority w:val="99"/>
    <w:semiHidden/>
    <w:rsid w:val="00DE4C5F"/>
    <w:rPr>
      <w:b/>
      <w:bCs/>
      <w:sz w:val="20"/>
      <w:szCs w:val="20"/>
    </w:rPr>
  </w:style>
  <w:style w:type="paragraph" w:styleId="Revision">
    <w:name w:val="Revision"/>
    <w:hidden/>
    <w:uiPriority w:val="99"/>
    <w:semiHidden/>
    <w:rsid w:val="00225E5F"/>
    <w:pPr>
      <w:spacing w:after="0" w:line="240" w:lineRule="auto"/>
    </w:pPr>
  </w:style>
  <w:style w:type="character" w:customStyle="1" w:styleId="bibissue">
    <w:name w:val="bib_issue"/>
    <w:rsid w:val="00241500"/>
    <w:rPr>
      <w:sz w:val="24"/>
      <w:bdr w:val="none" w:sz="0" w:space="0" w:color="auto"/>
      <w:shd w:val="clear" w:color="auto" w:fill="FFFF00"/>
    </w:rPr>
  </w:style>
  <w:style w:type="paragraph" w:customStyle="1" w:styleId="TableTitle">
    <w:name w:val="TableTitle"/>
    <w:basedOn w:val="Normal"/>
    <w:rsid w:val="00EE064A"/>
    <w:pPr>
      <w:spacing w:after="200" w:line="240" w:lineRule="auto"/>
    </w:pPr>
    <w:rPr>
      <w:rFonts w:ascii="Bookman Old Style" w:eastAsia="Times New Roman" w:hAnsi="Bookman Old Style" w:cs="Times New Roman"/>
      <w:b/>
      <w:sz w:val="24"/>
      <w:lang w:val="en-US"/>
    </w:rPr>
  </w:style>
  <w:style w:type="character" w:customStyle="1" w:styleId="audeg">
    <w:name w:val="au_deg"/>
    <w:rsid w:val="00F949B9"/>
    <w:rPr>
      <w:sz w:val="24"/>
      <w:bdr w:val="none" w:sz="0" w:space="0" w:color="auto"/>
      <w:shd w:val="clear" w:color="auto" w:fill="FFFF00"/>
    </w:rPr>
  </w:style>
  <w:style w:type="character" w:customStyle="1" w:styleId="aufname">
    <w:name w:val="au_fname"/>
    <w:rsid w:val="00F949B9"/>
    <w:rPr>
      <w:sz w:val="24"/>
      <w:bdr w:val="none" w:sz="0" w:space="0" w:color="auto"/>
      <w:shd w:val="clear" w:color="auto" w:fill="00FFFF"/>
    </w:rPr>
  </w:style>
  <w:style w:type="character" w:customStyle="1" w:styleId="ausurname">
    <w:name w:val="au_surname"/>
    <w:rsid w:val="00F949B9"/>
    <w:rPr>
      <w:sz w:val="24"/>
      <w:bdr w:val="none" w:sz="0" w:space="0" w:color="auto"/>
      <w:shd w:val="clear" w:color="auto" w:fill="00FF00"/>
    </w:rPr>
  </w:style>
  <w:style w:type="paragraph" w:customStyle="1" w:styleId="Affiliations">
    <w:name w:val="Affiliations"/>
    <w:basedOn w:val="Normal"/>
    <w:link w:val="AffiliationsChar"/>
    <w:rsid w:val="00F949B9"/>
    <w:pPr>
      <w:spacing w:after="200" w:line="240" w:lineRule="auto"/>
    </w:pPr>
    <w:rPr>
      <w:rFonts w:ascii="Bookman Old Style" w:eastAsia="Times New Roman" w:hAnsi="Bookman Old Style" w:cs="Times New Roman"/>
      <w:i/>
      <w:sz w:val="24"/>
      <w:lang w:val="en-US"/>
    </w:rPr>
  </w:style>
  <w:style w:type="paragraph" w:customStyle="1" w:styleId="Authors">
    <w:name w:val="Authors"/>
    <w:basedOn w:val="Normal"/>
    <w:rsid w:val="00F949B9"/>
    <w:pPr>
      <w:spacing w:before="120" w:after="200" w:line="240" w:lineRule="auto"/>
    </w:pPr>
    <w:rPr>
      <w:rFonts w:ascii="Bookman Old Style" w:eastAsia="Times New Roman" w:hAnsi="Bookman Old Style" w:cs="Times New Roman"/>
      <w:sz w:val="24"/>
      <w:lang w:val="en-US"/>
    </w:rPr>
  </w:style>
  <w:style w:type="paragraph" w:customStyle="1" w:styleId="CTitle">
    <w:name w:val="CTitle"/>
    <w:basedOn w:val="Normal"/>
    <w:link w:val="CTitleChar"/>
    <w:rsid w:val="00F949B9"/>
    <w:pPr>
      <w:spacing w:before="120" w:after="200" w:line="240" w:lineRule="auto"/>
    </w:pPr>
    <w:rPr>
      <w:rFonts w:ascii="Bookman Old Style" w:eastAsia="Times New Roman" w:hAnsi="Bookman Old Style" w:cs="Times New Roman"/>
      <w:b/>
      <w:sz w:val="28"/>
      <w:lang w:val="en-US"/>
    </w:rPr>
  </w:style>
  <w:style w:type="character" w:customStyle="1" w:styleId="CTitleChar">
    <w:name w:val="CTitle Char"/>
    <w:basedOn w:val="DefaultParagraphFont"/>
    <w:link w:val="CTitle"/>
    <w:rsid w:val="00F949B9"/>
    <w:rPr>
      <w:rFonts w:ascii="Bookman Old Style" w:eastAsia="Times New Roman" w:hAnsi="Bookman Old Style" w:cs="Times New Roman"/>
      <w:b/>
      <w:sz w:val="28"/>
      <w:lang w:val="en-US"/>
    </w:rPr>
  </w:style>
  <w:style w:type="character" w:customStyle="1" w:styleId="AffiliationsChar">
    <w:name w:val="Affiliations Char"/>
    <w:basedOn w:val="DefaultParagraphFont"/>
    <w:link w:val="Affiliations"/>
    <w:rsid w:val="00F949B9"/>
    <w:rPr>
      <w:rFonts w:ascii="Bookman Old Style" w:eastAsia="Times New Roman" w:hAnsi="Bookman Old Style" w:cs="Times New Roman"/>
      <w: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ed_x0020_FAJ_x0020_Issue xmlns="3b32a760-17d4-4778-a7cf-04a1704e15ec">2Q 2017</Projected_x0020_FAJ_x0020_Issue>
    <File_x0020_Type0 xmlns="c9483e79-8743-445a-8448-7b0bf70155ee">Supplemental Material</File_x0020_Type0>
    <AssignedTo xmlns="http://schemas.microsoft.com/sharepoint/v3">
      <UserInfo>
        <DisplayName/>
        <AccountId xsi:nil="true"/>
        <AccountType/>
      </UserInfo>
    </AssignedTo>
    <Copyright_x0020_Owner xmlns="3b32a760-17d4-4778-a7cf-04a1704e15ec">CFA Institute</Copyright_x0020_Owner>
    <Author_x0020_Name xmlns="3b32a760-17d4-4778-a7cf-04a1704e15ec" xsi:nil="true"/>
    <Year xmlns="3b32a760-17d4-4778-a7cf-04a1704e15ec">2017</Year>
    <Edit_x0020_Stage xmlns="3b32a760-17d4-4778-a7cf-04a1704e15ec">Copy Editing</Edit_x0020_Stage>
    <Lead_x0020_Author xmlns="3b32a760-17d4-4778-a7cf-04a1704e15ec">Houweling</Lead_x0020_Author>
    <Article_x0020_Stage xmlns="3b32a760-17d4-4778-a7cf-04a1704e15ec">Author Original</Article_x0020_Stage>
    <Article_x0020_ID xmlns="c9483e79-8743-445a-8448-7b0bf70155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72DAE1B7D1542BE3AFE6B2D9DC42D" ma:contentTypeVersion="16" ma:contentTypeDescription="Create a new document." ma:contentTypeScope="" ma:versionID="9d824b6c956f4914e22fb1e94b358dc4">
  <xsd:schema xmlns:xsd="http://www.w3.org/2001/XMLSchema" xmlns:xs="http://www.w3.org/2001/XMLSchema" xmlns:p="http://schemas.microsoft.com/office/2006/metadata/properties" xmlns:ns1="http://schemas.microsoft.com/sharepoint/v3" xmlns:ns2="3b32a760-17d4-4778-a7cf-04a1704e15ec" xmlns:ns3="c9483e79-8743-445a-8448-7b0bf70155ee" targetNamespace="http://schemas.microsoft.com/office/2006/metadata/properties" ma:root="true" ma:fieldsID="636dd9d20e83e2d33da191b3d03a3eb3" ns1:_="" ns2:_="" ns3:_="">
    <xsd:import namespace="http://schemas.microsoft.com/sharepoint/v3"/>
    <xsd:import namespace="3b32a760-17d4-4778-a7cf-04a1704e15ec"/>
    <xsd:import namespace="c9483e79-8743-445a-8448-7b0bf70155ee"/>
    <xsd:element name="properties">
      <xsd:complexType>
        <xsd:sequence>
          <xsd:element name="documentManagement">
            <xsd:complexType>
              <xsd:all>
                <xsd:element ref="ns2:Lead_x0020_Author"/>
                <xsd:element ref="ns2:Author_x0020_Name" minOccurs="0"/>
                <xsd:element ref="ns3:File_x0020_Type0"/>
                <xsd:element ref="ns2:Article_x0020_Stage"/>
                <xsd:element ref="ns2:Edit_x0020_Stage"/>
                <xsd:element ref="ns1:AssignedTo" minOccurs="0"/>
                <xsd:element ref="ns2:Year"/>
                <xsd:element ref="ns2:Projected_x0020_FAJ_x0020_Issue"/>
                <xsd:element ref="ns2:Copyright_x0020_Owner" minOccurs="0"/>
                <xsd:element ref="ns2:SharedWithUsers" minOccurs="0"/>
                <xsd:element ref="ns2:SharedWithDetails" minOccurs="0"/>
                <xsd:element ref="ns2:LastSharedByUser" minOccurs="0"/>
                <xsd:element ref="ns2:LastSharedByTime" minOccurs="0"/>
                <xsd:element ref="ns3:Article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32a760-17d4-4778-a7cf-04a1704e15ec" elementFormDefault="qualified">
    <xsd:import namespace="http://schemas.microsoft.com/office/2006/documentManagement/types"/>
    <xsd:import namespace="http://schemas.microsoft.com/office/infopath/2007/PartnerControls"/>
    <xsd:element name="Lead_x0020_Author" ma:index="2" ma:displayName="Lead Author" ma:description="Lead author's last/family name" ma:internalName="Lead_x0020_Author">
      <xsd:simpleType>
        <xsd:restriction base="dms:Text">
          <xsd:maxLength value="255"/>
        </xsd:restriction>
      </xsd:simpleType>
    </xsd:element>
    <xsd:element name="Author_x0020_Name" ma:index="3" nillable="true" ma:displayName="Author Names" ma:description="List all author names as would be printed on article." ma:internalName="Author_x0020_Name">
      <xsd:simpleType>
        <xsd:restriction base="dms:Note">
          <xsd:maxLength value="255"/>
        </xsd:restriction>
      </xsd:simpleType>
    </xsd:element>
    <xsd:element name="Article_x0020_Stage" ma:index="5" ma:displayName="Article Stage" ma:description="Stage of the editing cycle" ma:format="Dropdown" ma:internalName="Article_x0020_Stage">
      <xsd:simpleType>
        <xsd:restriction base="dms:Choice">
          <xsd:enumeration value="Author Original"/>
          <xsd:enumeration value="Pre-Author"/>
          <xsd:enumeration value="Post-Author"/>
          <xsd:enumeration value="With Author"/>
          <xsd:enumeration value="In Production"/>
          <xsd:enumeration value="Published"/>
        </xsd:restriction>
      </xsd:simpleType>
    </xsd:element>
    <xsd:element name="Edit_x0020_Stage" ma:index="6" ma:displayName="Edit Stage" ma:description="The stage of the editing cycle" ma:format="RadioButtons" ma:internalName="Edit_x0020_Stage">
      <xsd:simpleType>
        <xsd:restriction base="dms:Choice">
          <xsd:enumeration value="Author Editing"/>
          <xsd:enumeration value="Clean up"/>
          <xsd:enumeration value="Content Editing"/>
          <xsd:enumeration value="Copy Editing"/>
          <xsd:enumeration value="Final"/>
          <xsd:enumeration value="Sub Editing"/>
          <xsd:enumeration value="Transcription"/>
          <xsd:enumeration value="Review"/>
          <xsd:enumeration value="NA"/>
        </xsd:restriction>
      </xsd:simpleType>
    </xsd:element>
    <xsd:element name="Year" ma:index="9" ma:displayName="Year" ma:format="Dropdown" ma:internalName="Year">
      <xsd:simpleType>
        <xsd:union memberTypes="dms:Text">
          <xsd:simpleType>
            <xsd:restriction base="dms:Choice">
              <xsd:enumeration value="2014"/>
              <xsd:enumeration value="2015"/>
              <xsd:enumeration value="2016"/>
              <xsd:enumeration value="2017"/>
            </xsd:restriction>
          </xsd:simpleType>
        </xsd:union>
      </xsd:simpleType>
    </xsd:element>
    <xsd:element name="Projected_x0020_FAJ_x0020_Issue" ma:index="10" ma:displayName="FAJ Issue" ma:description="M/M YY or Reviews" ma:internalName="Projected_x0020_FAJ_x0020_Issue">
      <xsd:simpleType>
        <xsd:restriction base="dms:Text">
          <xsd:maxLength value="255"/>
        </xsd:restriction>
      </xsd:simpleType>
    </xsd:element>
    <xsd:element name="Copyright_x0020_Owner" ma:index="11" nillable="true" ma:displayName="Copyright Owner" ma:default="CFA Institute" ma:description="Name the copyright holder" ma:format="Dropdown" ma:internalName="Copyright_x0020_Owner">
      <xsd:simpleType>
        <xsd:union memberTypes="dms:Text">
          <xsd:simpleType>
            <xsd:restriction base="dms:Choice">
              <xsd:enumeration value="CFA Institute"/>
              <xsd:enumeration value="CFA Institute Research Foundation"/>
            </xsd:restriction>
          </xsd:simpleType>
        </xsd:union>
      </xsd:simpleType>
    </xsd:element>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description="" ma:internalName="SharedWithDetails" ma:readOnly="true">
      <xsd:simpleType>
        <xsd:restriction base="dms:Note">
          <xsd:maxLength value="255"/>
        </xsd:restriction>
      </xsd:simple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9483e79-8743-445a-8448-7b0bf70155ee" elementFormDefault="qualified">
    <xsd:import namespace="http://schemas.microsoft.com/office/2006/documentManagement/types"/>
    <xsd:import namespace="http://schemas.microsoft.com/office/infopath/2007/PartnerControls"/>
    <xsd:element name="File_x0020_Type0" ma:index="4" ma:displayName="File Type" ma:default="Article" ma:format="RadioButtons" ma:internalName="File_x0020_Type0">
      <xsd:simpleType>
        <xsd:union memberTypes="dms:Text">
          <xsd:simpleType>
            <xsd:restriction base="dms:Choice">
              <xsd:enumeration value="Article"/>
              <xsd:enumeration value="Abstract"/>
              <xsd:enumeration value="Acceptance Notes"/>
              <xsd:enumeration value="iThenticate Report"/>
              <xsd:enumeration value="Table/Figure Originals"/>
              <xsd:enumeration value="Copyright/License Agreement"/>
              <xsd:enumeration value="COIS"/>
              <xsd:enumeration value="Correspondence"/>
              <xsd:enumeration value="Supplemental Material"/>
              <xsd:enumeration value="Style Sheet"/>
            </xsd:restriction>
          </xsd:simpleType>
        </xsd:union>
      </xsd:simpleType>
    </xsd:element>
    <xsd:element name="Article_x0020_ID" ma:index="22" nillable="true" ma:displayName="Article ID" ma:description="Used for lookups. Format as LeadAuthor_Article" ma:internalName="Article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D83C-1A7B-40FA-92DC-ADDDBFBA88CA}">
  <ds:schemaRefs>
    <ds:schemaRef ds:uri="http://schemas.microsoft.com/office/2006/documentManagement/types"/>
    <ds:schemaRef ds:uri="http://purl.org/dc/terms/"/>
    <ds:schemaRef ds:uri="http://schemas.microsoft.com/office/infopath/2007/PartnerControls"/>
    <ds:schemaRef ds:uri="c9483e79-8743-445a-8448-7b0bf70155ee"/>
    <ds:schemaRef ds:uri="http://purl.org/dc/elements/1.1/"/>
    <ds:schemaRef ds:uri="http://www.w3.org/XML/1998/namespace"/>
    <ds:schemaRef ds:uri="3b32a760-17d4-4778-a7cf-04a1704e15ec"/>
    <ds:schemaRef ds:uri="http://schemas.microsoft.com/office/2006/metadata/properties"/>
    <ds:schemaRef ds:uri="http://purl.org/dc/dcmitype/"/>
    <ds:schemaRef ds:uri="http://schemas.openxmlformats.org/package/2006/metadata/core-properties"/>
    <ds:schemaRef ds:uri="http://schemas.microsoft.com/sharepoint/v3"/>
  </ds:schemaRefs>
</ds:datastoreItem>
</file>

<file path=customXml/itemProps2.xml><?xml version="1.0" encoding="utf-8"?>
<ds:datastoreItem xmlns:ds="http://schemas.openxmlformats.org/officeDocument/2006/customXml" ds:itemID="{69D2E585-D75A-414B-9BCC-36EA0499E80F}">
  <ds:schemaRefs>
    <ds:schemaRef ds:uri="http://schemas.microsoft.com/sharepoint/v3/contenttype/forms"/>
  </ds:schemaRefs>
</ds:datastoreItem>
</file>

<file path=customXml/itemProps3.xml><?xml version="1.0" encoding="utf-8"?>
<ds:datastoreItem xmlns:ds="http://schemas.openxmlformats.org/officeDocument/2006/customXml" ds:itemID="{2CE787E3-DFA2-45E5-82DF-4E9E6D4BE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32a760-17d4-4778-a7cf-04a1704e15ec"/>
    <ds:schemaRef ds:uri="c9483e79-8743-445a-8448-7b0bf7015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AC542-ADD2-4268-A264-0977ED11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Zundert, Jeroen van</dc:creator>
  <cp:keywords/>
  <dc:description>SE complete. Ready for CE.</dc:description>
  <cp:lastModifiedBy>Brian Fagan</cp:lastModifiedBy>
  <cp:revision>2</cp:revision>
  <dcterms:created xsi:type="dcterms:W3CDTF">2018-06-13T03:00:00Z</dcterms:created>
  <dcterms:modified xsi:type="dcterms:W3CDTF">2018-06-13T03:00:00Z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0x01010081E72DAE1B7D1542BE3AFE6B2D9DC42D</vt:lpwstr>
  </property>
</Properties>
</file>